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570A" w14:textId="6784B495" w:rsidR="0029286B" w:rsidRPr="00520A3A" w:rsidRDefault="004026C1" w:rsidP="004026C1">
      <w:pPr>
        <w:jc w:val="center"/>
        <w:rPr>
          <w:rFonts w:ascii="Arial" w:hAnsi="Arial" w:cs="Arial"/>
          <w:b/>
          <w:sz w:val="20"/>
          <w:szCs w:val="20"/>
        </w:rPr>
      </w:pPr>
      <w:r w:rsidRPr="00520A3A">
        <w:rPr>
          <w:rFonts w:ascii="Arial" w:hAnsi="Arial" w:cs="Arial"/>
          <w:b/>
          <w:sz w:val="20"/>
          <w:szCs w:val="20"/>
        </w:rPr>
        <w:t>Čestné prohlášení o plnění povinností v oblasti veřejné podpory</w:t>
      </w:r>
    </w:p>
    <w:p w14:paraId="261DD6FB" w14:textId="77777777" w:rsidR="004026C1" w:rsidRPr="00520A3A" w:rsidRDefault="004026C1" w:rsidP="00261942">
      <w:pPr>
        <w:rPr>
          <w:rFonts w:ascii="Arial" w:hAnsi="Arial" w:cs="Arial"/>
          <w:sz w:val="20"/>
          <w:szCs w:val="20"/>
        </w:rPr>
      </w:pPr>
    </w:p>
    <w:p w14:paraId="7609C179" w14:textId="4CB13CC3" w:rsidR="004026C1" w:rsidRPr="00520A3A" w:rsidRDefault="004026C1" w:rsidP="004026C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20A3A">
        <w:rPr>
          <w:rFonts w:ascii="Arial" w:hAnsi="Arial" w:cs="Arial"/>
          <w:bCs/>
          <w:color w:val="000000"/>
          <w:sz w:val="20"/>
          <w:szCs w:val="20"/>
        </w:rPr>
        <w:t>Název příjemce: …………</w:t>
      </w:r>
      <w:r w:rsidR="007A0763" w:rsidRPr="00520A3A">
        <w:rPr>
          <w:rFonts w:ascii="Arial" w:hAnsi="Arial" w:cs="Arial"/>
          <w:bCs/>
          <w:color w:val="000000"/>
          <w:sz w:val="20"/>
          <w:szCs w:val="20"/>
        </w:rPr>
        <w:t>……………</w:t>
      </w:r>
    </w:p>
    <w:p w14:paraId="2A6FBBD1" w14:textId="6B35C3FB" w:rsidR="004026C1" w:rsidRPr="00520A3A" w:rsidRDefault="004026C1" w:rsidP="004026C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20A3A">
        <w:rPr>
          <w:rFonts w:ascii="Arial" w:hAnsi="Arial" w:cs="Arial"/>
          <w:bCs/>
          <w:color w:val="000000"/>
          <w:sz w:val="20"/>
          <w:szCs w:val="20"/>
        </w:rPr>
        <w:t>Název projektu:</w:t>
      </w:r>
      <w:r w:rsidR="007A0763" w:rsidRPr="00520A3A">
        <w:rPr>
          <w:rFonts w:ascii="Arial" w:hAnsi="Arial" w:cs="Arial"/>
          <w:bCs/>
          <w:color w:val="000000"/>
          <w:sz w:val="20"/>
          <w:szCs w:val="20"/>
        </w:rPr>
        <w:t xml:space="preserve"> ……………………….</w:t>
      </w:r>
    </w:p>
    <w:p w14:paraId="4977D5EA" w14:textId="415CF1BA" w:rsidR="00D42F20" w:rsidRPr="00520A3A" w:rsidRDefault="004026C1" w:rsidP="00261942">
      <w:pPr>
        <w:rPr>
          <w:rFonts w:ascii="Arial" w:hAnsi="Arial" w:cs="Arial"/>
          <w:sz w:val="20"/>
          <w:szCs w:val="20"/>
        </w:rPr>
      </w:pPr>
      <w:proofErr w:type="spellStart"/>
      <w:r w:rsidRPr="00520A3A">
        <w:rPr>
          <w:rFonts w:ascii="Arial" w:hAnsi="Arial" w:cs="Arial"/>
          <w:sz w:val="20"/>
          <w:szCs w:val="20"/>
        </w:rPr>
        <w:t>Reg</w:t>
      </w:r>
      <w:proofErr w:type="spellEnd"/>
      <w:r w:rsidRPr="00520A3A">
        <w:rPr>
          <w:rFonts w:ascii="Arial" w:hAnsi="Arial" w:cs="Arial"/>
          <w:sz w:val="20"/>
          <w:szCs w:val="20"/>
        </w:rPr>
        <w:t>. č. projektu: ……………</w:t>
      </w:r>
      <w:r w:rsidR="007A0763" w:rsidRPr="00520A3A">
        <w:rPr>
          <w:rFonts w:ascii="Arial" w:hAnsi="Arial" w:cs="Arial"/>
          <w:sz w:val="20"/>
          <w:szCs w:val="20"/>
        </w:rPr>
        <w:t>………...</w:t>
      </w:r>
    </w:p>
    <w:p w14:paraId="76ED08CC" w14:textId="77777777" w:rsidR="004026C1" w:rsidRPr="00520A3A" w:rsidRDefault="004026C1" w:rsidP="00261942">
      <w:pPr>
        <w:rPr>
          <w:rFonts w:ascii="Arial" w:hAnsi="Arial" w:cs="Arial"/>
          <w:sz w:val="20"/>
          <w:szCs w:val="20"/>
        </w:rPr>
      </w:pPr>
    </w:p>
    <w:p w14:paraId="43AA7880" w14:textId="36DC3F98" w:rsidR="004026C1" w:rsidRPr="00520A3A" w:rsidRDefault="004026C1" w:rsidP="004026C1">
      <w:p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V souvislosti s veřejnou podporou (v rámci evropské legislativy též „státní podporou“)</w:t>
      </w:r>
      <w:r w:rsidR="00E47793" w:rsidRPr="00520A3A">
        <w:rPr>
          <w:rFonts w:ascii="Arial" w:hAnsi="Arial" w:cs="Arial"/>
          <w:sz w:val="20"/>
          <w:szCs w:val="20"/>
        </w:rPr>
        <w:t xml:space="preserve"> je příjemce</w:t>
      </w:r>
      <w:r w:rsidRPr="00520A3A">
        <w:rPr>
          <w:rFonts w:ascii="Arial" w:hAnsi="Arial" w:cs="Arial"/>
          <w:sz w:val="20"/>
          <w:szCs w:val="20"/>
        </w:rPr>
        <w:t xml:space="preserve"> podpory povinen plnit některé povinnosti i po skončení samotné realizace projektu. Tyto povinnosti vyplývají z příslušné legislativy</w:t>
      </w:r>
      <w:r w:rsidR="00BC77F3" w:rsidRPr="00520A3A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20A3A">
        <w:rPr>
          <w:rFonts w:ascii="Arial" w:hAnsi="Arial" w:cs="Arial"/>
          <w:sz w:val="20"/>
          <w:szCs w:val="20"/>
        </w:rPr>
        <w:t>, popř. ze smlouvy o financování daného projektu</w:t>
      </w:r>
      <w:r w:rsidR="009677C1" w:rsidRPr="00520A3A">
        <w:rPr>
          <w:rFonts w:ascii="Arial" w:hAnsi="Arial" w:cs="Arial"/>
          <w:sz w:val="20"/>
          <w:szCs w:val="20"/>
        </w:rPr>
        <w:t xml:space="preserve"> z Operačního programu Praha – pól růstu ČR (OP PPR)</w:t>
      </w:r>
      <w:r w:rsidRPr="00520A3A">
        <w:rPr>
          <w:rFonts w:ascii="Arial" w:hAnsi="Arial" w:cs="Arial"/>
          <w:sz w:val="20"/>
          <w:szCs w:val="20"/>
        </w:rPr>
        <w:t>. Jedná se např. o tyto povinnosti</w:t>
      </w:r>
      <w:r w:rsidR="00C72F33" w:rsidRPr="00520A3A">
        <w:rPr>
          <w:rFonts w:ascii="Arial" w:hAnsi="Arial" w:cs="Arial"/>
          <w:sz w:val="20"/>
          <w:szCs w:val="20"/>
        </w:rPr>
        <w:t>:</w:t>
      </w:r>
    </w:p>
    <w:p w14:paraId="4673E0DF" w14:textId="02A9729E" w:rsidR="00C72F33" w:rsidRPr="00520A3A" w:rsidRDefault="009677C1" w:rsidP="00DC634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v</w:t>
      </w:r>
      <w:r w:rsidR="00BC77F3" w:rsidRPr="00520A3A">
        <w:rPr>
          <w:rFonts w:ascii="Arial" w:hAnsi="Arial" w:cs="Arial"/>
          <w:sz w:val="20"/>
          <w:szCs w:val="20"/>
        </w:rPr>
        <w:t>yužívat majetek pořízený z dotace (podpory) k hospodářským činnostem jen</w:t>
      </w:r>
      <w:r w:rsidR="00C72F33" w:rsidRPr="00520A3A">
        <w:rPr>
          <w:rFonts w:ascii="Arial" w:hAnsi="Arial" w:cs="Arial"/>
          <w:sz w:val="20"/>
          <w:szCs w:val="20"/>
        </w:rPr>
        <w:t xml:space="preserve"> v míře stanovené příslušnými pravidly pro veřejnou podporu</w:t>
      </w:r>
      <w:r w:rsidRPr="00520A3A">
        <w:rPr>
          <w:rFonts w:ascii="Arial" w:hAnsi="Arial" w:cs="Arial"/>
          <w:sz w:val="20"/>
          <w:szCs w:val="20"/>
        </w:rPr>
        <w:t>,</w:t>
      </w:r>
    </w:p>
    <w:p w14:paraId="0D6AF22F" w14:textId="02E6D970" w:rsidR="00BC77F3" w:rsidRPr="00520A3A" w:rsidRDefault="009677C1" w:rsidP="00DC634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n</w:t>
      </w:r>
      <w:r w:rsidR="00C72F33" w:rsidRPr="00520A3A">
        <w:rPr>
          <w:rFonts w:ascii="Arial" w:hAnsi="Arial" w:cs="Arial"/>
          <w:sz w:val="20"/>
          <w:szCs w:val="20"/>
        </w:rPr>
        <w:t>eměnit charakter činností, k němuž je majetek pořízený z dotace využíván</w:t>
      </w:r>
      <w:r w:rsidRPr="00520A3A">
        <w:rPr>
          <w:rFonts w:ascii="Arial" w:hAnsi="Arial" w:cs="Arial"/>
          <w:sz w:val="20"/>
          <w:szCs w:val="20"/>
        </w:rPr>
        <w:t>,</w:t>
      </w:r>
    </w:p>
    <w:p w14:paraId="03CAB4A4" w14:textId="6FF19D96" w:rsidR="00C72F33" w:rsidRPr="00520A3A" w:rsidRDefault="009677C1" w:rsidP="00DC634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n</w:t>
      </w:r>
      <w:r w:rsidR="00C72F33" w:rsidRPr="00520A3A">
        <w:rPr>
          <w:rFonts w:ascii="Arial" w:hAnsi="Arial" w:cs="Arial"/>
          <w:sz w:val="20"/>
          <w:szCs w:val="20"/>
        </w:rPr>
        <w:t>epřenášet veřejnou podporu nedovoleně dále, např. prostřednictvím slev při prodeji a pronájmů produktů souvisejících s projektem nebo např. prostřednictvím nevymáhání sankcí, nezajištěním dostatečné ochrany v oblasti duševního vlastnictví atd.</w:t>
      </w:r>
    </w:p>
    <w:p w14:paraId="52AEC737" w14:textId="6CF3623A" w:rsidR="00C72F33" w:rsidRPr="00520A3A" w:rsidRDefault="00E47793" w:rsidP="00C72F33">
      <w:p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Dále</w:t>
      </w:r>
      <w:r w:rsidR="00CC2351" w:rsidRPr="00520A3A">
        <w:rPr>
          <w:rFonts w:ascii="Arial" w:hAnsi="Arial" w:cs="Arial"/>
          <w:sz w:val="20"/>
          <w:szCs w:val="20"/>
        </w:rPr>
        <w:t xml:space="preserve"> se jedná např.</w:t>
      </w:r>
      <w:r w:rsidRPr="00520A3A">
        <w:rPr>
          <w:rFonts w:ascii="Arial" w:hAnsi="Arial" w:cs="Arial"/>
          <w:sz w:val="20"/>
          <w:szCs w:val="20"/>
        </w:rPr>
        <w:t xml:space="preserve"> o tyto povinnosti u následujících režimů veřejné podpory:</w:t>
      </w:r>
    </w:p>
    <w:p w14:paraId="7BB6E080" w14:textId="234B5AD8" w:rsidR="00C72F33" w:rsidRPr="00520A3A" w:rsidRDefault="009677C1" w:rsidP="00DC634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v</w:t>
      </w:r>
      <w:r w:rsidR="000B7E04" w:rsidRPr="00520A3A">
        <w:rPr>
          <w:rFonts w:ascii="Arial" w:hAnsi="Arial" w:cs="Arial"/>
          <w:sz w:val="20"/>
          <w:szCs w:val="20"/>
        </w:rPr>
        <w:t> příp</w:t>
      </w:r>
      <w:r w:rsidR="00BC6112" w:rsidRPr="00520A3A">
        <w:rPr>
          <w:rFonts w:ascii="Arial" w:hAnsi="Arial" w:cs="Arial"/>
          <w:sz w:val="20"/>
          <w:szCs w:val="20"/>
        </w:rPr>
        <w:t>adě podpory poskytnuté v režimu</w:t>
      </w:r>
      <w:r w:rsidR="00CD66C7" w:rsidRPr="00520A3A">
        <w:rPr>
          <w:rFonts w:ascii="Arial" w:hAnsi="Arial" w:cs="Arial"/>
          <w:sz w:val="20"/>
          <w:szCs w:val="20"/>
        </w:rPr>
        <w:t xml:space="preserve"> čl. 26 N</w:t>
      </w:r>
      <w:r w:rsidR="00A23D2B" w:rsidRPr="00520A3A">
        <w:rPr>
          <w:rFonts w:ascii="Arial" w:hAnsi="Arial" w:cs="Arial"/>
          <w:sz w:val="20"/>
          <w:szCs w:val="20"/>
        </w:rPr>
        <w:t>ařízení Komise (EU) č. 651/2014 ze dne 17. června 2014, kterým se v souladu s články 107 a 108 Smlouvy</w:t>
      </w:r>
      <w:r w:rsidR="00E65C0B" w:rsidRPr="00520A3A">
        <w:rPr>
          <w:rFonts w:ascii="Arial" w:hAnsi="Arial" w:cs="Arial"/>
          <w:sz w:val="20"/>
          <w:szCs w:val="20"/>
        </w:rPr>
        <w:t xml:space="preserve"> o fungování</w:t>
      </w:r>
      <w:r w:rsidR="003C3469" w:rsidRPr="00520A3A">
        <w:rPr>
          <w:rFonts w:ascii="Arial" w:hAnsi="Arial" w:cs="Arial"/>
          <w:sz w:val="20"/>
          <w:szCs w:val="20"/>
        </w:rPr>
        <w:t xml:space="preserve"> Evropské u</w:t>
      </w:r>
      <w:r w:rsidR="00E65C0B" w:rsidRPr="00520A3A">
        <w:rPr>
          <w:rFonts w:ascii="Arial" w:hAnsi="Arial" w:cs="Arial"/>
          <w:sz w:val="20"/>
          <w:szCs w:val="20"/>
        </w:rPr>
        <w:t>n</w:t>
      </w:r>
      <w:r w:rsidR="003C3469" w:rsidRPr="00520A3A">
        <w:rPr>
          <w:rFonts w:ascii="Arial" w:hAnsi="Arial" w:cs="Arial"/>
          <w:sz w:val="20"/>
          <w:szCs w:val="20"/>
        </w:rPr>
        <w:t>i</w:t>
      </w:r>
      <w:r w:rsidR="00E65C0B" w:rsidRPr="00520A3A">
        <w:rPr>
          <w:rFonts w:ascii="Arial" w:hAnsi="Arial" w:cs="Arial"/>
          <w:sz w:val="20"/>
          <w:szCs w:val="20"/>
        </w:rPr>
        <w:t>e</w:t>
      </w:r>
      <w:r w:rsidR="00A23D2B" w:rsidRPr="00520A3A">
        <w:rPr>
          <w:rFonts w:ascii="Arial" w:hAnsi="Arial" w:cs="Arial"/>
          <w:sz w:val="20"/>
          <w:szCs w:val="20"/>
        </w:rPr>
        <w:t xml:space="preserve"> prohlašují určité kategorie podpory za slučitelné s vnitřním trhem, zajistit, aby: </w:t>
      </w:r>
    </w:p>
    <w:p w14:paraId="013D862A" w14:textId="0EDD62BD" w:rsidR="00FA23F2" w:rsidRPr="00520A3A" w:rsidRDefault="00FA23F2" w:rsidP="00DC634D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u výzkumné infr</w:t>
      </w:r>
      <w:r w:rsidR="007445C3" w:rsidRPr="00520A3A">
        <w:rPr>
          <w:rFonts w:ascii="Arial" w:hAnsi="Arial" w:cs="Arial"/>
          <w:sz w:val="20"/>
          <w:szCs w:val="20"/>
        </w:rPr>
        <w:t>astruktury</w:t>
      </w:r>
      <w:r w:rsidRPr="00520A3A">
        <w:rPr>
          <w:rFonts w:ascii="Arial" w:hAnsi="Arial" w:cs="Arial"/>
          <w:sz w:val="20"/>
          <w:szCs w:val="20"/>
        </w:rPr>
        <w:t xml:space="preserve"> vykonávající hospo</w:t>
      </w:r>
      <w:r w:rsidR="007445C3" w:rsidRPr="00520A3A">
        <w:rPr>
          <w:rFonts w:ascii="Arial" w:hAnsi="Arial" w:cs="Arial"/>
          <w:sz w:val="20"/>
          <w:szCs w:val="20"/>
        </w:rPr>
        <w:t xml:space="preserve">dářské i </w:t>
      </w:r>
      <w:proofErr w:type="spellStart"/>
      <w:r w:rsidR="007445C3" w:rsidRPr="00520A3A">
        <w:rPr>
          <w:rFonts w:ascii="Arial" w:hAnsi="Arial" w:cs="Arial"/>
          <w:sz w:val="20"/>
          <w:szCs w:val="20"/>
        </w:rPr>
        <w:t>nehospodářské</w:t>
      </w:r>
      <w:proofErr w:type="spellEnd"/>
      <w:r w:rsidR="007445C3" w:rsidRPr="00520A3A">
        <w:rPr>
          <w:rFonts w:ascii="Arial" w:hAnsi="Arial" w:cs="Arial"/>
          <w:sz w:val="20"/>
          <w:szCs w:val="20"/>
        </w:rPr>
        <w:t xml:space="preserve"> činnosti</w:t>
      </w:r>
      <w:r w:rsidRPr="00520A3A">
        <w:rPr>
          <w:rFonts w:ascii="Arial" w:hAnsi="Arial" w:cs="Arial"/>
          <w:sz w:val="20"/>
          <w:szCs w:val="20"/>
        </w:rPr>
        <w:t xml:space="preserve"> byly odděleně účtovány financování, náklady a výnosy jednotlivých druhů činností na základě důsledně uplatňovaných a objektivně zdůvodnitelných zásad nákladového účetnictví,</w:t>
      </w:r>
    </w:p>
    <w:p w14:paraId="717B18FA" w14:textId="3E9C2200" w:rsidR="00A23D2B" w:rsidRPr="00520A3A" w:rsidRDefault="00FA23F2" w:rsidP="00DC634D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 xml:space="preserve">byl </w:t>
      </w:r>
      <w:r w:rsidR="00A23D2B" w:rsidRPr="00520A3A">
        <w:rPr>
          <w:rFonts w:ascii="Arial" w:hAnsi="Arial" w:cs="Arial"/>
          <w:sz w:val="20"/>
          <w:szCs w:val="20"/>
        </w:rPr>
        <w:t xml:space="preserve">přístup </w:t>
      </w:r>
      <w:r w:rsidRPr="00520A3A">
        <w:rPr>
          <w:rFonts w:ascii="Arial" w:hAnsi="Arial" w:cs="Arial"/>
          <w:sz w:val="20"/>
          <w:szCs w:val="20"/>
        </w:rPr>
        <w:t>k infrastruktuře umožněn</w:t>
      </w:r>
      <w:r w:rsidR="00A23D2B" w:rsidRPr="00520A3A">
        <w:rPr>
          <w:rFonts w:ascii="Arial" w:hAnsi="Arial" w:cs="Arial"/>
          <w:sz w:val="20"/>
          <w:szCs w:val="20"/>
        </w:rPr>
        <w:t xml:space="preserve"> více uživatelům za transparentních a nediskriminačních podmínek,</w:t>
      </w:r>
    </w:p>
    <w:p w14:paraId="59D6AAE0" w14:textId="4E634C22" w:rsidR="00A23D2B" w:rsidRPr="00520A3A" w:rsidRDefault="009677C1" w:rsidP="00DC634D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 xml:space="preserve">se při financování hospodářských i </w:t>
      </w:r>
      <w:proofErr w:type="spellStart"/>
      <w:r w:rsidRPr="00520A3A">
        <w:rPr>
          <w:rFonts w:ascii="Arial" w:hAnsi="Arial" w:cs="Arial"/>
          <w:sz w:val="20"/>
          <w:szCs w:val="20"/>
        </w:rPr>
        <w:t>nehospodářských</w:t>
      </w:r>
      <w:proofErr w:type="spellEnd"/>
      <w:r w:rsidRPr="00520A3A">
        <w:rPr>
          <w:rFonts w:ascii="Arial" w:hAnsi="Arial" w:cs="Arial"/>
          <w:sz w:val="20"/>
          <w:szCs w:val="20"/>
        </w:rPr>
        <w:t xml:space="preserve"> činností</w:t>
      </w:r>
      <w:r w:rsidR="00FA23F2" w:rsidRPr="00520A3A">
        <w:rPr>
          <w:rFonts w:ascii="Arial" w:hAnsi="Arial" w:cs="Arial"/>
          <w:sz w:val="20"/>
          <w:szCs w:val="20"/>
        </w:rPr>
        <w:t xml:space="preserve"> výzkumné infrastruktury nenavyšoval podíl hospodářských činností oproti stavu při uzavření smlouvy o podpoře,</w:t>
      </w:r>
    </w:p>
    <w:p w14:paraId="022C7453" w14:textId="2C9D1F74" w:rsidR="002304DC" w:rsidRPr="00520A3A" w:rsidRDefault="002304DC" w:rsidP="002304DC">
      <w:pPr>
        <w:pStyle w:val="Odstavecseseznamem"/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cena účtovaná za provoz nebo užívání infrastruktury odpovídala ceně tržní</w:t>
      </w:r>
      <w:r w:rsidR="009677C1" w:rsidRPr="00520A3A">
        <w:rPr>
          <w:rFonts w:ascii="Arial" w:hAnsi="Arial" w:cs="Arial"/>
          <w:sz w:val="20"/>
          <w:szCs w:val="20"/>
        </w:rPr>
        <w:t>,</w:t>
      </w:r>
    </w:p>
    <w:p w14:paraId="4D84176C" w14:textId="1CDEAC6C" w:rsidR="00B15DDA" w:rsidRPr="00520A3A" w:rsidRDefault="009677C1" w:rsidP="00DC634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v</w:t>
      </w:r>
      <w:r w:rsidR="00DF215A" w:rsidRPr="00520A3A">
        <w:rPr>
          <w:rFonts w:ascii="Arial" w:hAnsi="Arial" w:cs="Arial"/>
          <w:sz w:val="20"/>
          <w:szCs w:val="20"/>
        </w:rPr>
        <w:t> případě podpory poskytnuté v režimu dle bodu 2.1.1 Sdělení Komise – Rámce pro státní podporu výzkumu, vývoje a inovací (2014/C 198/01)</w:t>
      </w:r>
      <w:r w:rsidR="00DC634D" w:rsidRPr="00520A3A">
        <w:rPr>
          <w:rFonts w:ascii="Arial" w:hAnsi="Arial" w:cs="Arial"/>
          <w:sz w:val="20"/>
          <w:szCs w:val="20"/>
        </w:rPr>
        <w:t xml:space="preserve"> zajistit</w:t>
      </w:r>
      <w:r w:rsidR="003106CA" w:rsidRPr="00520A3A">
        <w:rPr>
          <w:rFonts w:ascii="Arial" w:hAnsi="Arial" w:cs="Arial"/>
          <w:sz w:val="20"/>
          <w:szCs w:val="20"/>
        </w:rPr>
        <w:t xml:space="preserve"> plnění</w:t>
      </w:r>
      <w:r w:rsidR="00DC634D" w:rsidRPr="00520A3A">
        <w:rPr>
          <w:rFonts w:ascii="Arial" w:hAnsi="Arial" w:cs="Arial"/>
          <w:sz w:val="20"/>
          <w:szCs w:val="20"/>
        </w:rPr>
        <w:t xml:space="preserve"> povinností uvedených výše v bodech 1.- 3., přičemž využití pro hospodářské </w:t>
      </w:r>
      <w:r w:rsidR="003106CA" w:rsidRPr="00520A3A">
        <w:rPr>
          <w:rFonts w:ascii="Arial" w:hAnsi="Arial" w:cs="Arial"/>
          <w:sz w:val="20"/>
          <w:szCs w:val="20"/>
        </w:rPr>
        <w:t>využití dle</w:t>
      </w:r>
      <w:r w:rsidR="00DC634D" w:rsidRPr="00520A3A">
        <w:rPr>
          <w:rFonts w:ascii="Arial" w:hAnsi="Arial" w:cs="Arial"/>
          <w:sz w:val="20"/>
          <w:szCs w:val="20"/>
        </w:rPr>
        <w:t xml:space="preserve"> bodu 1. nesmí překročit 20 % celkové roční kapacity</w:t>
      </w:r>
      <w:r w:rsidRPr="00520A3A">
        <w:rPr>
          <w:rFonts w:ascii="Arial" w:hAnsi="Arial" w:cs="Arial"/>
          <w:sz w:val="20"/>
          <w:szCs w:val="20"/>
        </w:rPr>
        <w:t>,</w:t>
      </w:r>
    </w:p>
    <w:p w14:paraId="61C4499F" w14:textId="526C948F" w:rsidR="000B7E04" w:rsidRPr="00520A3A" w:rsidRDefault="009677C1" w:rsidP="00DC634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v</w:t>
      </w:r>
      <w:r w:rsidR="00A23D2B" w:rsidRPr="00520A3A">
        <w:rPr>
          <w:rFonts w:ascii="Arial" w:hAnsi="Arial" w:cs="Arial"/>
          <w:sz w:val="20"/>
          <w:szCs w:val="20"/>
        </w:rPr>
        <w:t xml:space="preserve"> případě podpory </w:t>
      </w:r>
      <w:r w:rsidR="00BC6112" w:rsidRPr="00520A3A">
        <w:rPr>
          <w:rFonts w:ascii="Arial" w:hAnsi="Arial" w:cs="Arial"/>
          <w:sz w:val="20"/>
          <w:szCs w:val="20"/>
        </w:rPr>
        <w:t>poskytnuté v</w:t>
      </w:r>
      <w:r w:rsidR="00DF215A" w:rsidRPr="00520A3A">
        <w:rPr>
          <w:rFonts w:ascii="Arial" w:hAnsi="Arial" w:cs="Arial"/>
          <w:sz w:val="20"/>
          <w:szCs w:val="20"/>
        </w:rPr>
        <w:t> </w:t>
      </w:r>
      <w:r w:rsidR="00BC6112" w:rsidRPr="00520A3A">
        <w:rPr>
          <w:rFonts w:ascii="Arial" w:hAnsi="Arial" w:cs="Arial"/>
          <w:sz w:val="20"/>
          <w:szCs w:val="20"/>
        </w:rPr>
        <w:t>režimu</w:t>
      </w:r>
      <w:r w:rsidR="00DF215A" w:rsidRPr="00520A3A">
        <w:rPr>
          <w:rFonts w:ascii="Arial" w:hAnsi="Arial" w:cs="Arial"/>
          <w:sz w:val="20"/>
          <w:szCs w:val="20"/>
        </w:rPr>
        <w:t xml:space="preserve"> dle bodu 2.1.2 Sdělení Komise – Rámce pro státní podporu výzkumu, vývoje a inovací (2014/C 198/01)</w:t>
      </w:r>
      <w:r w:rsidRPr="00520A3A">
        <w:rPr>
          <w:rFonts w:ascii="Arial" w:hAnsi="Arial" w:cs="Arial"/>
          <w:sz w:val="20"/>
          <w:szCs w:val="20"/>
        </w:rPr>
        <w:t>:</w:t>
      </w:r>
    </w:p>
    <w:p w14:paraId="2550A2E1" w14:textId="2ED358BB" w:rsidR="00A62013" w:rsidRPr="00520A3A" w:rsidRDefault="00A0490D" w:rsidP="00A62013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 xml:space="preserve">prokazatelné </w:t>
      </w:r>
      <w:r w:rsidR="002304DC" w:rsidRPr="00520A3A">
        <w:rPr>
          <w:rFonts w:ascii="Arial" w:hAnsi="Arial" w:cs="Arial"/>
          <w:sz w:val="20"/>
          <w:szCs w:val="20"/>
        </w:rPr>
        <w:t>převést</w:t>
      </w:r>
      <w:r w:rsidR="00A62013" w:rsidRPr="00520A3A">
        <w:rPr>
          <w:rFonts w:ascii="Arial" w:hAnsi="Arial" w:cs="Arial"/>
          <w:sz w:val="20"/>
          <w:szCs w:val="20"/>
        </w:rPr>
        <w:t xml:space="preserve"> financování a výhody na konečné příjemce</w:t>
      </w:r>
    </w:p>
    <w:p w14:paraId="520FDAC8" w14:textId="3AF034A3" w:rsidR="00A62013" w:rsidRPr="00520A3A" w:rsidRDefault="00A0490D" w:rsidP="00A0490D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 xml:space="preserve">při tomto převedení na konečné </w:t>
      </w:r>
      <w:r w:rsidR="002304DC" w:rsidRPr="00520A3A">
        <w:rPr>
          <w:rFonts w:ascii="Arial" w:hAnsi="Arial" w:cs="Arial"/>
          <w:sz w:val="20"/>
          <w:szCs w:val="20"/>
        </w:rPr>
        <w:t>příjemce zohlednit pravid</w:t>
      </w:r>
      <w:r w:rsidR="00FD79A8" w:rsidRPr="00520A3A">
        <w:rPr>
          <w:rFonts w:ascii="Arial" w:hAnsi="Arial" w:cs="Arial"/>
          <w:sz w:val="20"/>
          <w:szCs w:val="20"/>
        </w:rPr>
        <w:t>l</w:t>
      </w:r>
      <w:r w:rsidR="002304DC" w:rsidRPr="00520A3A">
        <w:rPr>
          <w:rFonts w:ascii="Arial" w:hAnsi="Arial" w:cs="Arial"/>
          <w:sz w:val="20"/>
          <w:szCs w:val="20"/>
        </w:rPr>
        <w:t>a</w:t>
      </w:r>
      <w:r w:rsidRPr="00520A3A">
        <w:rPr>
          <w:rFonts w:ascii="Arial" w:hAnsi="Arial" w:cs="Arial"/>
          <w:sz w:val="20"/>
          <w:szCs w:val="20"/>
        </w:rPr>
        <w:t xml:space="preserve"> pro poskytov</w:t>
      </w:r>
      <w:r w:rsidR="00536D71" w:rsidRPr="00520A3A">
        <w:rPr>
          <w:rFonts w:ascii="Arial" w:hAnsi="Arial" w:cs="Arial"/>
          <w:sz w:val="20"/>
          <w:szCs w:val="20"/>
        </w:rPr>
        <w:t>ání veřejné podpory zejména</w:t>
      </w:r>
      <w:r w:rsidR="009677C1" w:rsidRPr="00520A3A">
        <w:rPr>
          <w:rFonts w:ascii="Arial" w:hAnsi="Arial" w:cs="Arial"/>
          <w:sz w:val="20"/>
          <w:szCs w:val="20"/>
        </w:rPr>
        <w:t xml:space="preserve"> zvolením</w:t>
      </w:r>
      <w:r w:rsidRPr="00520A3A">
        <w:rPr>
          <w:rFonts w:ascii="Arial" w:hAnsi="Arial" w:cs="Arial"/>
          <w:sz w:val="20"/>
          <w:szCs w:val="20"/>
        </w:rPr>
        <w:t xml:space="preserve"> vhod</w:t>
      </w:r>
      <w:r w:rsidR="009677C1" w:rsidRPr="00520A3A">
        <w:rPr>
          <w:rFonts w:ascii="Arial" w:hAnsi="Arial" w:cs="Arial"/>
          <w:sz w:val="20"/>
          <w:szCs w:val="20"/>
        </w:rPr>
        <w:t>ného režimu pro takovou podporu</w:t>
      </w:r>
      <w:r w:rsidR="00536D71" w:rsidRPr="00520A3A">
        <w:rPr>
          <w:rFonts w:ascii="Arial" w:hAnsi="Arial" w:cs="Arial"/>
          <w:sz w:val="20"/>
          <w:szCs w:val="20"/>
        </w:rPr>
        <w:t xml:space="preserve"> a dodržením jeho podmínek (např. u de minimis zajistit záznam podpory v Registru de minimis)</w:t>
      </w:r>
      <w:r w:rsidR="009677C1" w:rsidRPr="00520A3A">
        <w:rPr>
          <w:rFonts w:ascii="Arial" w:hAnsi="Arial" w:cs="Arial"/>
          <w:sz w:val="20"/>
          <w:szCs w:val="20"/>
        </w:rPr>
        <w:t>,</w:t>
      </w:r>
    </w:p>
    <w:p w14:paraId="6EBD2A52" w14:textId="2A8C147B" w:rsidR="00A23D2B" w:rsidRPr="00520A3A" w:rsidRDefault="009677C1" w:rsidP="00DC634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lastRenderedPageBreak/>
        <w:t>v</w:t>
      </w:r>
      <w:r w:rsidR="00BC6112" w:rsidRPr="00520A3A">
        <w:rPr>
          <w:rFonts w:ascii="Arial" w:hAnsi="Arial" w:cs="Arial"/>
          <w:sz w:val="20"/>
          <w:szCs w:val="20"/>
        </w:rPr>
        <w:t xml:space="preserve"> případě podpory poskytnuté v režimu </w:t>
      </w:r>
      <w:r w:rsidR="00A23D2B" w:rsidRPr="00520A3A">
        <w:rPr>
          <w:rFonts w:ascii="Arial" w:hAnsi="Arial" w:cs="Arial"/>
          <w:sz w:val="20"/>
          <w:szCs w:val="20"/>
        </w:rPr>
        <w:t>Rozhodnutí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Pr="00520A3A">
        <w:rPr>
          <w:rFonts w:ascii="Arial" w:hAnsi="Arial" w:cs="Arial"/>
          <w:sz w:val="20"/>
          <w:szCs w:val="20"/>
        </w:rPr>
        <w:t>:</w:t>
      </w:r>
    </w:p>
    <w:p w14:paraId="6546CE13" w14:textId="60F1AAF2" w:rsidR="00FD79A8" w:rsidRPr="00520A3A" w:rsidRDefault="00654F97" w:rsidP="00146D2E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poskytovat informace</w:t>
      </w:r>
      <w:r w:rsidR="00FD79A8" w:rsidRPr="00520A3A">
        <w:rPr>
          <w:rFonts w:ascii="Arial" w:hAnsi="Arial" w:cs="Arial"/>
          <w:sz w:val="20"/>
          <w:szCs w:val="20"/>
        </w:rPr>
        <w:t xml:space="preserve"> o</w:t>
      </w:r>
      <w:r w:rsidR="007B755F" w:rsidRPr="00520A3A">
        <w:rPr>
          <w:rFonts w:ascii="Arial" w:hAnsi="Arial" w:cs="Arial"/>
          <w:sz w:val="20"/>
          <w:szCs w:val="20"/>
        </w:rPr>
        <w:t xml:space="preserve"> aktuální bilanci nákladů a výnosů v rámci služby obecného hospodářského zájmu, a to každoročně po</w:t>
      </w:r>
      <w:r w:rsidR="00146D2E" w:rsidRPr="00520A3A">
        <w:rPr>
          <w:rFonts w:ascii="Arial" w:hAnsi="Arial" w:cs="Arial"/>
          <w:sz w:val="20"/>
          <w:szCs w:val="20"/>
        </w:rPr>
        <w:t xml:space="preserve"> dobu udržitelnosti a dále pak jednou za 3 roky až do skončení pověření a po skončení pověření ještě jednu souhrnnou zprávu za celé období trvání pověření,</w:t>
      </w:r>
    </w:p>
    <w:p w14:paraId="09424D07" w14:textId="41212586" w:rsidR="008E3095" w:rsidRPr="00520A3A" w:rsidRDefault="008E3095" w:rsidP="00146D2E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vrát</w:t>
      </w:r>
      <w:r w:rsidR="00CD42A2" w:rsidRPr="00520A3A">
        <w:rPr>
          <w:rFonts w:ascii="Arial" w:hAnsi="Arial" w:cs="Arial"/>
          <w:sz w:val="20"/>
          <w:szCs w:val="20"/>
        </w:rPr>
        <w:t>it případný přeplatek (</w:t>
      </w:r>
      <w:proofErr w:type="spellStart"/>
      <w:r w:rsidR="00CD42A2" w:rsidRPr="00520A3A">
        <w:rPr>
          <w:rFonts w:ascii="Arial" w:hAnsi="Arial" w:cs="Arial"/>
          <w:sz w:val="20"/>
          <w:szCs w:val="20"/>
        </w:rPr>
        <w:t>překompenzaci</w:t>
      </w:r>
      <w:proofErr w:type="spellEnd"/>
      <w:r w:rsidR="00CD42A2" w:rsidRPr="00520A3A">
        <w:rPr>
          <w:rFonts w:ascii="Arial" w:hAnsi="Arial" w:cs="Arial"/>
          <w:sz w:val="20"/>
          <w:szCs w:val="20"/>
        </w:rPr>
        <w:t>) vyrovnávací platby</w:t>
      </w:r>
      <w:r w:rsidRPr="00520A3A">
        <w:rPr>
          <w:rFonts w:ascii="Arial" w:hAnsi="Arial" w:cs="Arial"/>
          <w:sz w:val="20"/>
          <w:szCs w:val="20"/>
        </w:rPr>
        <w:t xml:space="preserve"> poskytovateli ve stanovené lhůtě,</w:t>
      </w:r>
    </w:p>
    <w:p w14:paraId="1804234B" w14:textId="21A1F4A0" w:rsidR="005C1415" w:rsidRPr="00520A3A" w:rsidRDefault="00654F97" w:rsidP="00146D2E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archivovat</w:t>
      </w:r>
      <w:r w:rsidR="00146D2E" w:rsidRPr="00520A3A">
        <w:rPr>
          <w:rFonts w:ascii="Arial" w:hAnsi="Arial" w:cs="Arial"/>
          <w:sz w:val="20"/>
          <w:szCs w:val="20"/>
        </w:rPr>
        <w:t xml:space="preserve"> dokumenty související s vyrovnávací </w:t>
      </w:r>
      <w:r w:rsidRPr="00520A3A">
        <w:rPr>
          <w:rFonts w:ascii="Arial" w:hAnsi="Arial" w:cs="Arial"/>
          <w:sz w:val="20"/>
          <w:szCs w:val="20"/>
        </w:rPr>
        <w:t>platbou</w:t>
      </w:r>
      <w:r w:rsidR="00146D2E" w:rsidRPr="00520A3A">
        <w:rPr>
          <w:rFonts w:ascii="Arial" w:hAnsi="Arial" w:cs="Arial"/>
          <w:sz w:val="20"/>
          <w:szCs w:val="20"/>
        </w:rPr>
        <w:t xml:space="preserve"> po dobu 10 let od ukončení doby platnosti pověření k poskytování služby obecného hospodářského zájmu</w:t>
      </w:r>
      <w:r w:rsidRPr="00520A3A">
        <w:rPr>
          <w:rFonts w:ascii="Arial" w:hAnsi="Arial" w:cs="Arial"/>
          <w:sz w:val="20"/>
          <w:szCs w:val="20"/>
        </w:rPr>
        <w:t xml:space="preserve"> (tj. nikoliv jen 10 let od konce realizace </w:t>
      </w:r>
      <w:r w:rsidR="007B5EE0" w:rsidRPr="00520A3A">
        <w:rPr>
          <w:rFonts w:ascii="Arial" w:hAnsi="Arial" w:cs="Arial"/>
          <w:sz w:val="20"/>
          <w:szCs w:val="20"/>
        </w:rPr>
        <w:t>projektu</w:t>
      </w:r>
      <w:r w:rsidRPr="00520A3A">
        <w:rPr>
          <w:rFonts w:ascii="Arial" w:hAnsi="Arial" w:cs="Arial"/>
          <w:sz w:val="20"/>
          <w:szCs w:val="20"/>
        </w:rPr>
        <w:t>)</w:t>
      </w:r>
      <w:r w:rsidR="009677C1" w:rsidRPr="00520A3A">
        <w:rPr>
          <w:rFonts w:ascii="Arial" w:hAnsi="Arial" w:cs="Arial"/>
          <w:sz w:val="20"/>
          <w:szCs w:val="20"/>
        </w:rPr>
        <w:t>,</w:t>
      </w:r>
    </w:p>
    <w:p w14:paraId="42A894A2" w14:textId="7EA01BF5" w:rsidR="00BC6112" w:rsidRPr="00520A3A" w:rsidRDefault="009677C1" w:rsidP="00DC634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v</w:t>
      </w:r>
      <w:r w:rsidR="00BC6112" w:rsidRPr="00520A3A">
        <w:rPr>
          <w:rFonts w:ascii="Arial" w:hAnsi="Arial" w:cs="Arial"/>
          <w:sz w:val="20"/>
          <w:szCs w:val="20"/>
        </w:rPr>
        <w:t> případě podpory poskytnuté v režimu Nařízení Komise (EU) č. 360/2012 ze dne 25. dubna 2012 o použití článků 107 a 108 Smlouvy o fungování Evropské unie na podporu de minimis udílenou podnikům poskytujícím služby obecného hospodářského zájmu,</w:t>
      </w:r>
    </w:p>
    <w:p w14:paraId="3AA42D7D" w14:textId="6F76E6D9" w:rsidR="007B755F" w:rsidRPr="00520A3A" w:rsidRDefault="00FE7295" w:rsidP="00FE7295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informovat poskytovatele o jakýchkoliv změnách týkajících se vymezení příjemce jakožto "jednoho podniku" ve smyslu čl. 2 odst. 2 Nařízení Komise (EU) č. 1407/2013 ze dne 18. prosince 2013 o použití článků 107 a 108 Smlouvy o fungování Evropské unie na podporu de minimis</w:t>
      </w:r>
      <w:r w:rsidR="009677C1" w:rsidRPr="00520A3A">
        <w:rPr>
          <w:rFonts w:ascii="Arial" w:hAnsi="Arial" w:cs="Arial"/>
          <w:sz w:val="20"/>
          <w:szCs w:val="20"/>
        </w:rPr>
        <w:t>,</w:t>
      </w:r>
    </w:p>
    <w:p w14:paraId="6CA1BBD9" w14:textId="5AFA870D" w:rsidR="00BC6112" w:rsidRPr="00520A3A" w:rsidRDefault="009677C1" w:rsidP="00DC634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v</w:t>
      </w:r>
      <w:r w:rsidR="00BC6112" w:rsidRPr="00520A3A">
        <w:rPr>
          <w:rFonts w:ascii="Arial" w:hAnsi="Arial" w:cs="Arial"/>
          <w:sz w:val="20"/>
          <w:szCs w:val="20"/>
        </w:rPr>
        <w:t> případě podpory poskytnuté v režimu Nařízení Evropského parlamentu a Rady (EU) č. 1370/2007 ze dne 23. října 2007, o veřejných službách v přepravě cestujících po železnici a silnici a o zrušení nařízení Rady (EHS) č. 1191/69 a č. 1107/70</w:t>
      </w:r>
      <w:r w:rsidRPr="00520A3A">
        <w:rPr>
          <w:rFonts w:ascii="Arial" w:hAnsi="Arial" w:cs="Arial"/>
          <w:sz w:val="20"/>
          <w:szCs w:val="20"/>
        </w:rPr>
        <w:t>:</w:t>
      </w:r>
    </w:p>
    <w:p w14:paraId="7935FBF9" w14:textId="50E97511" w:rsidR="006A7BE9" w:rsidRPr="00520A3A" w:rsidRDefault="006A7BE9" w:rsidP="005C5C63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z</w:t>
      </w:r>
      <w:r w:rsidR="008E3095" w:rsidRPr="00520A3A">
        <w:rPr>
          <w:rFonts w:ascii="Arial" w:hAnsi="Arial" w:cs="Arial"/>
          <w:sz w:val="20"/>
          <w:szCs w:val="20"/>
        </w:rPr>
        <w:t>ohlednit</w:t>
      </w:r>
      <w:r w:rsidRPr="00520A3A">
        <w:rPr>
          <w:rFonts w:ascii="Arial" w:hAnsi="Arial" w:cs="Arial"/>
          <w:sz w:val="20"/>
          <w:szCs w:val="20"/>
        </w:rPr>
        <w:t xml:space="preserve"> podporu z OP </w:t>
      </w:r>
      <w:r w:rsidR="008E3095" w:rsidRPr="00520A3A">
        <w:rPr>
          <w:rFonts w:ascii="Arial" w:hAnsi="Arial" w:cs="Arial"/>
          <w:sz w:val="20"/>
          <w:szCs w:val="20"/>
        </w:rPr>
        <w:t>PPR ve</w:t>
      </w:r>
      <w:r w:rsidR="00CD42A2" w:rsidRPr="00520A3A">
        <w:rPr>
          <w:rFonts w:ascii="Arial" w:hAnsi="Arial" w:cs="Arial"/>
          <w:sz w:val="20"/>
          <w:szCs w:val="20"/>
        </w:rPr>
        <w:t xml:space="preserve"> výpočtu kompenzací, které se poskytují</w:t>
      </w:r>
      <w:r w:rsidR="005C5C63" w:rsidRPr="00520A3A">
        <w:rPr>
          <w:rFonts w:ascii="Arial" w:hAnsi="Arial" w:cs="Arial"/>
          <w:sz w:val="20"/>
          <w:szCs w:val="20"/>
        </w:rPr>
        <w:t xml:space="preserve"> dle Smlouvy o veřejných službách ve veřejné drážní a městské autobusové dopravě v systému Pražské integrované dopravy (dále PID),</w:t>
      </w:r>
    </w:p>
    <w:p w14:paraId="19FB8DE8" w14:textId="0C09FC16" w:rsidR="004026C1" w:rsidRPr="00520A3A" w:rsidRDefault="006A7BE9" w:rsidP="004026C1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doložit</w:t>
      </w:r>
      <w:r w:rsidR="005C5C63" w:rsidRPr="00520A3A">
        <w:rPr>
          <w:rFonts w:ascii="Arial" w:hAnsi="Arial" w:cs="Arial"/>
          <w:sz w:val="20"/>
          <w:szCs w:val="20"/>
        </w:rPr>
        <w:t xml:space="preserve"> splnění povinnosti</w:t>
      </w:r>
      <w:r w:rsidR="00B43FD1" w:rsidRPr="00520A3A">
        <w:rPr>
          <w:rFonts w:ascii="Arial" w:hAnsi="Arial" w:cs="Arial"/>
          <w:sz w:val="20"/>
          <w:szCs w:val="20"/>
        </w:rPr>
        <w:t xml:space="preserve"> z</w:t>
      </w:r>
      <w:r w:rsidR="005C5C63" w:rsidRPr="00520A3A">
        <w:rPr>
          <w:rFonts w:ascii="Arial" w:hAnsi="Arial" w:cs="Arial"/>
          <w:sz w:val="20"/>
          <w:szCs w:val="20"/>
        </w:rPr>
        <w:t> </w:t>
      </w:r>
      <w:r w:rsidR="00B43FD1" w:rsidRPr="00520A3A">
        <w:rPr>
          <w:rFonts w:ascii="Arial" w:hAnsi="Arial" w:cs="Arial"/>
          <w:sz w:val="20"/>
          <w:szCs w:val="20"/>
        </w:rPr>
        <w:t>předchozího</w:t>
      </w:r>
      <w:r w:rsidR="005C5C63" w:rsidRPr="00520A3A">
        <w:rPr>
          <w:rFonts w:ascii="Arial" w:hAnsi="Arial" w:cs="Arial"/>
          <w:sz w:val="20"/>
          <w:szCs w:val="20"/>
        </w:rPr>
        <w:t xml:space="preserve"> bodu výpočtem</w:t>
      </w:r>
      <w:r w:rsidR="00E968D7" w:rsidRPr="00520A3A">
        <w:rPr>
          <w:rFonts w:ascii="Arial" w:hAnsi="Arial" w:cs="Arial"/>
          <w:sz w:val="20"/>
          <w:szCs w:val="20"/>
        </w:rPr>
        <w:t xml:space="preserve"> kompenzace a</w:t>
      </w:r>
      <w:r w:rsidR="005C5C63" w:rsidRPr="00520A3A">
        <w:rPr>
          <w:rFonts w:ascii="Arial" w:hAnsi="Arial" w:cs="Arial"/>
          <w:sz w:val="20"/>
          <w:szCs w:val="20"/>
        </w:rPr>
        <w:t xml:space="preserve"> případně také popisem</w:t>
      </w:r>
      <w:r w:rsidRPr="00520A3A">
        <w:rPr>
          <w:rFonts w:ascii="Arial" w:hAnsi="Arial" w:cs="Arial"/>
          <w:sz w:val="20"/>
          <w:szCs w:val="20"/>
        </w:rPr>
        <w:t xml:space="preserve"> způsob</w:t>
      </w:r>
      <w:r w:rsidR="00E968D7" w:rsidRPr="00520A3A">
        <w:rPr>
          <w:rFonts w:ascii="Arial" w:hAnsi="Arial" w:cs="Arial"/>
          <w:sz w:val="20"/>
          <w:szCs w:val="20"/>
        </w:rPr>
        <w:t>u</w:t>
      </w:r>
      <w:r w:rsidRPr="00520A3A">
        <w:rPr>
          <w:rFonts w:ascii="Arial" w:hAnsi="Arial" w:cs="Arial"/>
          <w:sz w:val="20"/>
          <w:szCs w:val="20"/>
        </w:rPr>
        <w:t xml:space="preserve"> z</w:t>
      </w:r>
      <w:r w:rsidR="005C5C63" w:rsidRPr="00520A3A">
        <w:rPr>
          <w:rFonts w:ascii="Arial" w:hAnsi="Arial" w:cs="Arial"/>
          <w:sz w:val="20"/>
          <w:szCs w:val="20"/>
        </w:rPr>
        <w:t>ahrnutí podpory z OP PPR</w:t>
      </w:r>
      <w:r w:rsidRPr="00520A3A">
        <w:rPr>
          <w:rFonts w:ascii="Arial" w:hAnsi="Arial" w:cs="Arial"/>
          <w:sz w:val="20"/>
          <w:szCs w:val="20"/>
        </w:rPr>
        <w:t xml:space="preserve"> do výpočtu kompenzac</w:t>
      </w:r>
      <w:r w:rsidR="005C5C63" w:rsidRPr="00520A3A">
        <w:rPr>
          <w:rFonts w:ascii="Arial" w:hAnsi="Arial" w:cs="Arial"/>
          <w:sz w:val="20"/>
          <w:szCs w:val="20"/>
        </w:rPr>
        <w:t>e</w:t>
      </w:r>
      <w:r w:rsidRPr="00520A3A">
        <w:rPr>
          <w:rFonts w:ascii="Arial" w:hAnsi="Arial" w:cs="Arial"/>
          <w:sz w:val="20"/>
          <w:szCs w:val="20"/>
        </w:rPr>
        <w:t>.</w:t>
      </w:r>
    </w:p>
    <w:p w14:paraId="397CE262" w14:textId="2848F0B8" w:rsidR="00FC0A5B" w:rsidRPr="00520A3A" w:rsidRDefault="004026C1" w:rsidP="004026C1">
      <w:p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Příjemce tím</w:t>
      </w:r>
      <w:r w:rsidR="00E47793" w:rsidRPr="00520A3A">
        <w:rPr>
          <w:rFonts w:ascii="Arial" w:hAnsi="Arial" w:cs="Arial"/>
          <w:sz w:val="20"/>
          <w:szCs w:val="20"/>
        </w:rPr>
        <w:t xml:space="preserve">to </w:t>
      </w:r>
      <w:r w:rsidR="00FC0A5B" w:rsidRPr="00520A3A">
        <w:rPr>
          <w:rFonts w:ascii="Arial" w:hAnsi="Arial" w:cs="Arial"/>
          <w:sz w:val="20"/>
          <w:szCs w:val="20"/>
        </w:rPr>
        <w:t>prohlašuje</w:t>
      </w:r>
      <w:r w:rsidR="00E47793" w:rsidRPr="00520A3A">
        <w:rPr>
          <w:rFonts w:ascii="Arial" w:hAnsi="Arial" w:cs="Arial"/>
          <w:sz w:val="20"/>
          <w:szCs w:val="20"/>
        </w:rPr>
        <w:t>, že</w:t>
      </w:r>
    </w:p>
    <w:p w14:paraId="5E861516" w14:textId="11479B6A" w:rsidR="00FC0A5B" w:rsidRPr="00520A3A" w:rsidRDefault="00E47793" w:rsidP="00FC0A5B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si je</w:t>
      </w:r>
      <w:r w:rsidR="00BD242B" w:rsidRPr="00520A3A">
        <w:rPr>
          <w:rFonts w:ascii="Arial" w:hAnsi="Arial" w:cs="Arial"/>
          <w:sz w:val="20"/>
          <w:szCs w:val="20"/>
        </w:rPr>
        <w:t xml:space="preserve"> uvedených</w:t>
      </w:r>
      <w:r w:rsidR="004026C1" w:rsidRPr="00520A3A">
        <w:rPr>
          <w:rFonts w:ascii="Arial" w:hAnsi="Arial" w:cs="Arial"/>
          <w:sz w:val="20"/>
          <w:szCs w:val="20"/>
        </w:rPr>
        <w:t xml:space="preserve"> povinností</w:t>
      </w:r>
      <w:r w:rsidRPr="00520A3A">
        <w:rPr>
          <w:rFonts w:ascii="Arial" w:hAnsi="Arial" w:cs="Arial"/>
          <w:sz w:val="20"/>
          <w:szCs w:val="20"/>
        </w:rPr>
        <w:t xml:space="preserve"> v oblasti veřejné podpory</w:t>
      </w:r>
      <w:r w:rsidR="004026C1" w:rsidRPr="00520A3A">
        <w:rPr>
          <w:rFonts w:ascii="Arial" w:hAnsi="Arial" w:cs="Arial"/>
          <w:sz w:val="20"/>
          <w:szCs w:val="20"/>
        </w:rPr>
        <w:t xml:space="preserve"> vědom</w:t>
      </w:r>
      <w:r w:rsidR="00BD242B" w:rsidRPr="00520A3A">
        <w:rPr>
          <w:rFonts w:ascii="Arial" w:hAnsi="Arial" w:cs="Arial"/>
          <w:sz w:val="20"/>
          <w:szCs w:val="20"/>
        </w:rPr>
        <w:t>,</w:t>
      </w:r>
      <w:r w:rsidR="004026C1" w:rsidRPr="00520A3A">
        <w:rPr>
          <w:rFonts w:ascii="Arial" w:hAnsi="Arial" w:cs="Arial"/>
          <w:sz w:val="20"/>
          <w:szCs w:val="20"/>
        </w:rPr>
        <w:t xml:space="preserve"> </w:t>
      </w:r>
    </w:p>
    <w:p w14:paraId="073014C0" w14:textId="5622D752" w:rsidR="00945DB6" w:rsidRPr="00520A3A" w:rsidRDefault="00BD242B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sz w:val="20"/>
          <w:szCs w:val="20"/>
        </w:rPr>
        <w:t>ve sledovaném období od ………………</w:t>
      </w:r>
      <w:proofErr w:type="gramStart"/>
      <w:r w:rsidRPr="00520A3A">
        <w:rPr>
          <w:rFonts w:ascii="Arial" w:hAnsi="Arial" w:cs="Arial"/>
          <w:sz w:val="20"/>
          <w:szCs w:val="20"/>
        </w:rPr>
        <w:t>…</w:t>
      </w:r>
      <w:r w:rsidR="006626C5" w:rsidRPr="00520A3A">
        <w:rPr>
          <w:rFonts w:ascii="Arial" w:hAnsi="Arial" w:cs="Arial"/>
          <w:sz w:val="20"/>
          <w:szCs w:val="20"/>
        </w:rPr>
        <w:t>….</w:t>
      </w:r>
      <w:proofErr w:type="gramEnd"/>
      <w:r w:rsidRPr="00520A3A">
        <w:rPr>
          <w:rFonts w:ascii="Arial" w:hAnsi="Arial" w:cs="Arial"/>
          <w:sz w:val="20"/>
          <w:szCs w:val="20"/>
        </w:rPr>
        <w:t>….. do …………………………</w:t>
      </w:r>
      <w:r w:rsidR="00945DB6" w:rsidRPr="00520A3A">
        <w:rPr>
          <w:rFonts w:ascii="Arial" w:hAnsi="Arial" w:cs="Arial"/>
          <w:sz w:val="20"/>
          <w:szCs w:val="20"/>
        </w:rPr>
        <w:t xml:space="preserve"> u výše uvedeného projektu</w:t>
      </w:r>
      <w:r w:rsidR="006626C5" w:rsidRPr="00520A3A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520A3A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0" w:type="auto"/>
        <w:tblInd w:w="7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4"/>
        <w:gridCol w:w="7988"/>
      </w:tblGrid>
      <w:tr w:rsidR="00945DB6" w:rsidRPr="00520A3A" w14:paraId="28363233" w14:textId="77777777" w:rsidTr="00945DB6">
        <w:tc>
          <w:tcPr>
            <w:tcW w:w="359" w:type="dxa"/>
          </w:tcPr>
          <w:p w14:paraId="2CC455AA" w14:textId="68750EDE" w:rsidR="00BD242B" w:rsidRPr="00520A3A" w:rsidRDefault="0086345A" w:rsidP="00BD242B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451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DB6" w:rsidRPr="007A59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933" w:type="dxa"/>
          </w:tcPr>
          <w:p w14:paraId="03171967" w14:textId="01B63C3C" w:rsidR="00BD242B" w:rsidRPr="00520A3A" w:rsidRDefault="00BD2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A3A">
              <w:rPr>
                <w:rFonts w:ascii="Arial" w:hAnsi="Arial" w:cs="Arial"/>
                <w:sz w:val="20"/>
                <w:szCs w:val="20"/>
              </w:rPr>
              <w:t>a) nedošlo k žádným změnám, které by mohly plnění uvedených povinností ohrozit</w:t>
            </w:r>
            <w:r w:rsidR="008223A3" w:rsidRPr="00520A3A">
              <w:rPr>
                <w:rFonts w:ascii="Arial" w:hAnsi="Arial" w:cs="Arial"/>
                <w:sz w:val="20"/>
                <w:szCs w:val="20"/>
              </w:rPr>
              <w:t>.</w:t>
            </w:r>
            <w:r w:rsidRPr="00520A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45DB6" w:rsidRPr="00520A3A" w14:paraId="5170E3F5" w14:textId="77777777" w:rsidTr="00945DB6">
        <w:tc>
          <w:tcPr>
            <w:tcW w:w="359" w:type="dxa"/>
          </w:tcPr>
          <w:p w14:paraId="4230A7B2" w14:textId="68750EDE" w:rsidR="00BD242B" w:rsidRPr="00520A3A" w:rsidRDefault="0086345A" w:rsidP="00BD242B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592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DB6" w:rsidRPr="007A59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933" w:type="dxa"/>
          </w:tcPr>
          <w:p w14:paraId="286614CE" w14:textId="371B65E0" w:rsidR="00BD242B" w:rsidRPr="00520A3A" w:rsidRDefault="00BD242B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A3A">
              <w:rPr>
                <w:rFonts w:ascii="Arial" w:hAnsi="Arial" w:cs="Arial"/>
                <w:sz w:val="20"/>
                <w:szCs w:val="20"/>
              </w:rPr>
              <w:t>b) došlo k následujícím změnám, které mají nebo by mohly mít vliv na plnění uvedených povinností:</w:t>
            </w:r>
          </w:p>
          <w:p w14:paraId="5F9E27FC" w14:textId="7DBFCBBF" w:rsidR="00BD242B" w:rsidRPr="00520A3A" w:rsidRDefault="00BD242B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A3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945DB6" w:rsidRPr="00520A3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</w:tbl>
    <w:p w14:paraId="2BDF8B13" w14:textId="77777777" w:rsidR="00945DB6" w:rsidRPr="00520A3A" w:rsidRDefault="00945DB6" w:rsidP="004026C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61BAD6" w14:textId="77777777" w:rsidR="00CC561A" w:rsidRPr="00520A3A" w:rsidRDefault="00CC561A" w:rsidP="004026C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6BBD6F5" w14:textId="77777777" w:rsidR="004026C1" w:rsidRPr="00520A3A" w:rsidRDefault="004026C1" w:rsidP="004026C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20A3A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14:paraId="2F32500B" w14:textId="2E7C0734" w:rsidR="004026C1" w:rsidRPr="00520A3A" w:rsidRDefault="004026C1" w:rsidP="004026C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20A3A">
        <w:rPr>
          <w:rFonts w:ascii="Arial" w:hAnsi="Arial" w:cs="Arial"/>
          <w:bCs/>
          <w:color w:val="000000"/>
          <w:sz w:val="20"/>
          <w:szCs w:val="20"/>
        </w:rPr>
        <w:t xml:space="preserve">          jméno a příjmení osoby oprávněné k zastupování příjemce</w:t>
      </w:r>
    </w:p>
    <w:p w14:paraId="38358412" w14:textId="77777777" w:rsidR="004026C1" w:rsidRPr="00520A3A" w:rsidRDefault="004026C1" w:rsidP="004026C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8188AB7" w14:textId="77777777" w:rsidR="004026C1" w:rsidRPr="00520A3A" w:rsidRDefault="004026C1" w:rsidP="004026C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20A3A">
        <w:rPr>
          <w:rFonts w:ascii="Arial" w:hAnsi="Arial" w:cs="Arial"/>
          <w:bCs/>
          <w:color w:val="000000"/>
          <w:sz w:val="20"/>
          <w:szCs w:val="20"/>
        </w:rPr>
        <w:t xml:space="preserve">   ...............................................</w:t>
      </w:r>
      <w:r w:rsidRPr="00520A3A">
        <w:rPr>
          <w:rFonts w:ascii="Arial" w:hAnsi="Arial" w:cs="Arial"/>
          <w:bCs/>
          <w:color w:val="000000"/>
          <w:sz w:val="20"/>
          <w:szCs w:val="20"/>
        </w:rPr>
        <w:tab/>
      </w:r>
      <w:r w:rsidRPr="00520A3A">
        <w:rPr>
          <w:rFonts w:ascii="Arial" w:hAnsi="Arial" w:cs="Arial"/>
          <w:bCs/>
          <w:color w:val="000000"/>
          <w:sz w:val="20"/>
          <w:szCs w:val="20"/>
        </w:rPr>
        <w:tab/>
      </w:r>
      <w:r w:rsidRPr="00520A3A">
        <w:rPr>
          <w:rFonts w:ascii="Arial" w:hAnsi="Arial" w:cs="Arial"/>
          <w:bCs/>
          <w:color w:val="000000"/>
          <w:sz w:val="20"/>
          <w:szCs w:val="20"/>
        </w:rPr>
        <w:tab/>
      </w:r>
      <w:r w:rsidRPr="00520A3A">
        <w:rPr>
          <w:rFonts w:ascii="Arial" w:hAnsi="Arial" w:cs="Arial"/>
          <w:bCs/>
          <w:color w:val="000000"/>
          <w:sz w:val="20"/>
          <w:szCs w:val="20"/>
        </w:rPr>
        <w:tab/>
        <w:t xml:space="preserve">     .....................................................</w:t>
      </w:r>
    </w:p>
    <w:p w14:paraId="12642DF1" w14:textId="676CA34C" w:rsidR="00012859" w:rsidRPr="00520A3A" w:rsidRDefault="004026C1" w:rsidP="00261942">
      <w:pPr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bCs/>
          <w:color w:val="000000"/>
          <w:sz w:val="20"/>
          <w:szCs w:val="20"/>
        </w:rPr>
        <w:t xml:space="preserve">         místo a datum</w:t>
      </w:r>
      <w:r w:rsidRPr="00520A3A">
        <w:rPr>
          <w:rFonts w:ascii="Arial" w:hAnsi="Arial" w:cs="Arial"/>
          <w:bCs/>
          <w:color w:val="000000"/>
          <w:sz w:val="20"/>
          <w:szCs w:val="20"/>
        </w:rPr>
        <w:tab/>
      </w:r>
      <w:r w:rsidRPr="00520A3A">
        <w:rPr>
          <w:rFonts w:ascii="Arial" w:hAnsi="Arial" w:cs="Arial"/>
          <w:bCs/>
          <w:color w:val="000000"/>
          <w:sz w:val="20"/>
          <w:szCs w:val="20"/>
        </w:rPr>
        <w:tab/>
      </w:r>
      <w:r w:rsidRPr="00520A3A">
        <w:rPr>
          <w:rFonts w:ascii="Arial" w:hAnsi="Arial" w:cs="Arial"/>
          <w:bCs/>
          <w:color w:val="000000"/>
          <w:sz w:val="20"/>
          <w:szCs w:val="20"/>
        </w:rPr>
        <w:tab/>
      </w:r>
      <w:r w:rsidRPr="00520A3A">
        <w:rPr>
          <w:rFonts w:ascii="Arial" w:hAnsi="Arial" w:cs="Arial"/>
          <w:bCs/>
          <w:color w:val="000000"/>
          <w:sz w:val="20"/>
          <w:szCs w:val="20"/>
        </w:rPr>
        <w:tab/>
      </w:r>
      <w:r w:rsidRPr="00520A3A">
        <w:rPr>
          <w:rFonts w:ascii="Arial" w:hAnsi="Arial" w:cs="Arial"/>
          <w:bCs/>
          <w:color w:val="000000"/>
          <w:sz w:val="20"/>
          <w:szCs w:val="20"/>
        </w:rPr>
        <w:tab/>
      </w:r>
      <w:r w:rsidRPr="00520A3A">
        <w:rPr>
          <w:rFonts w:ascii="Arial" w:hAnsi="Arial" w:cs="Arial"/>
          <w:bCs/>
          <w:color w:val="000000"/>
          <w:sz w:val="20"/>
          <w:szCs w:val="20"/>
        </w:rPr>
        <w:tab/>
        <w:t xml:space="preserve">         podpis</w:t>
      </w:r>
    </w:p>
    <w:p w14:paraId="4D49A9CA" w14:textId="77777777" w:rsidR="00CC561A" w:rsidRPr="00520A3A" w:rsidRDefault="00CC561A" w:rsidP="00012859">
      <w:pPr>
        <w:jc w:val="both"/>
        <w:rPr>
          <w:rFonts w:ascii="Arial" w:hAnsi="Arial" w:cs="Arial"/>
          <w:b/>
          <w:sz w:val="20"/>
          <w:szCs w:val="20"/>
        </w:rPr>
      </w:pPr>
    </w:p>
    <w:p w14:paraId="5B8FEF42" w14:textId="5D516430" w:rsidR="004026C1" w:rsidRPr="00520A3A" w:rsidRDefault="004026C1" w:rsidP="00012859">
      <w:pPr>
        <w:jc w:val="both"/>
        <w:rPr>
          <w:rFonts w:ascii="Arial" w:hAnsi="Arial" w:cs="Arial"/>
          <w:sz w:val="20"/>
          <w:szCs w:val="20"/>
        </w:rPr>
      </w:pPr>
      <w:r w:rsidRPr="00520A3A">
        <w:rPr>
          <w:rFonts w:ascii="Arial" w:hAnsi="Arial" w:cs="Arial"/>
          <w:b/>
          <w:sz w:val="20"/>
          <w:szCs w:val="20"/>
        </w:rPr>
        <w:lastRenderedPageBreak/>
        <w:t>Upozornění:</w:t>
      </w:r>
      <w:r w:rsidRPr="00520A3A">
        <w:rPr>
          <w:rFonts w:ascii="Arial" w:hAnsi="Arial" w:cs="Arial"/>
          <w:sz w:val="20"/>
          <w:szCs w:val="20"/>
        </w:rPr>
        <w:t xml:space="preserve"> uvedení nepravdivých</w:t>
      </w:r>
      <w:r w:rsidR="00012859" w:rsidRPr="00520A3A">
        <w:rPr>
          <w:rFonts w:ascii="Arial" w:hAnsi="Arial" w:cs="Arial"/>
          <w:sz w:val="20"/>
          <w:szCs w:val="20"/>
        </w:rPr>
        <w:t>, nesprávných nebo neúplných</w:t>
      </w:r>
      <w:r w:rsidRPr="00520A3A">
        <w:rPr>
          <w:rFonts w:ascii="Arial" w:hAnsi="Arial" w:cs="Arial"/>
          <w:sz w:val="20"/>
          <w:szCs w:val="20"/>
        </w:rPr>
        <w:t xml:space="preserve"> údajů v tomto prohlášení </w:t>
      </w:r>
      <w:r w:rsidR="00012859" w:rsidRPr="00520A3A">
        <w:rPr>
          <w:rFonts w:ascii="Arial" w:hAnsi="Arial" w:cs="Arial"/>
          <w:sz w:val="20"/>
          <w:szCs w:val="20"/>
        </w:rPr>
        <w:t xml:space="preserve">by mohlo být považováno za trestný čin poškozování finančních zájmů Evropské unie podle § 260 zákona č. 40/2009 Sb., trestní zákoník, za který hrozí trest odnětí svobody až na tři léta, zákaz činnosti a odnětí věci. </w:t>
      </w:r>
      <w:r w:rsidR="00577673" w:rsidRPr="00520A3A">
        <w:rPr>
          <w:rFonts w:ascii="Arial" w:hAnsi="Arial" w:cs="Arial"/>
          <w:sz w:val="20"/>
          <w:szCs w:val="20"/>
        </w:rPr>
        <w:t>Věnujte tedy ověření údajů, které prohlašujete, patřičnou pozornost.</w:t>
      </w:r>
    </w:p>
    <w:sectPr w:rsidR="004026C1" w:rsidRPr="00520A3A" w:rsidSect="001501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7628" w14:textId="77777777" w:rsidR="00F15010" w:rsidRDefault="00F15010" w:rsidP="001B2B42">
      <w:pPr>
        <w:spacing w:after="0" w:line="240" w:lineRule="auto"/>
      </w:pPr>
      <w:r>
        <w:separator/>
      </w:r>
    </w:p>
  </w:endnote>
  <w:endnote w:type="continuationSeparator" w:id="0">
    <w:p w14:paraId="55412F2C" w14:textId="77777777" w:rsidR="00F15010" w:rsidRDefault="00F15010" w:rsidP="001B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839711"/>
      <w:docPartObj>
        <w:docPartGallery w:val="Page Numbers (Bottom of Page)"/>
        <w:docPartUnique/>
      </w:docPartObj>
    </w:sdtPr>
    <w:sdtEndPr/>
    <w:sdtContent>
      <w:p w14:paraId="5AD8C7BC" w14:textId="6A440322" w:rsidR="00112D4F" w:rsidRDefault="00112D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A3A">
          <w:rPr>
            <w:noProof/>
          </w:rPr>
          <w:t>3</w:t>
        </w:r>
        <w:r>
          <w:fldChar w:fldCharType="end"/>
        </w:r>
      </w:p>
    </w:sdtContent>
  </w:sdt>
  <w:p w14:paraId="43B0FC03" w14:textId="77777777" w:rsidR="00112D4F" w:rsidRDefault="00112D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EA17" w14:textId="77777777" w:rsidR="00F15010" w:rsidRDefault="00F15010" w:rsidP="001B2B42">
      <w:pPr>
        <w:spacing w:after="0" w:line="240" w:lineRule="auto"/>
      </w:pPr>
      <w:r>
        <w:separator/>
      </w:r>
    </w:p>
  </w:footnote>
  <w:footnote w:type="continuationSeparator" w:id="0">
    <w:p w14:paraId="6A4A0C5F" w14:textId="77777777" w:rsidR="00F15010" w:rsidRDefault="00F15010" w:rsidP="001B2B42">
      <w:pPr>
        <w:spacing w:after="0" w:line="240" w:lineRule="auto"/>
      </w:pPr>
      <w:r>
        <w:continuationSeparator/>
      </w:r>
    </w:p>
  </w:footnote>
  <w:footnote w:id="1">
    <w:p w14:paraId="4B6E34FE" w14:textId="57CA8E02" w:rsidR="00BC77F3" w:rsidRPr="006626C5" w:rsidRDefault="00BC77F3" w:rsidP="00CD66C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626C5">
        <w:rPr>
          <w:rStyle w:val="Znakapoznpodarou"/>
          <w:rFonts w:ascii="Arial" w:hAnsi="Arial" w:cs="Arial"/>
          <w:sz w:val="16"/>
          <w:szCs w:val="16"/>
          <w:vertAlign w:val="baseline"/>
        </w:rPr>
        <w:footnoteRef/>
      </w:r>
      <w:r w:rsidRPr="006626C5">
        <w:rPr>
          <w:rFonts w:ascii="Arial" w:hAnsi="Arial" w:cs="Arial"/>
          <w:sz w:val="16"/>
          <w:szCs w:val="16"/>
        </w:rPr>
        <w:t xml:space="preserve"> </w:t>
      </w:r>
      <w:r w:rsidR="003C3469" w:rsidRPr="006626C5">
        <w:rPr>
          <w:rFonts w:ascii="Arial" w:hAnsi="Arial" w:cs="Arial"/>
          <w:sz w:val="16"/>
          <w:szCs w:val="16"/>
        </w:rPr>
        <w:t>Č</w:t>
      </w:r>
      <w:r w:rsidR="00E65C0B" w:rsidRPr="006626C5">
        <w:rPr>
          <w:rFonts w:ascii="Arial" w:hAnsi="Arial" w:cs="Arial"/>
          <w:sz w:val="16"/>
          <w:szCs w:val="16"/>
        </w:rPr>
        <w:t xml:space="preserve">l. 107 a 108 Smlouvy o fungování Evropské unie; </w:t>
      </w:r>
      <w:r w:rsidR="003C3469" w:rsidRPr="006626C5">
        <w:rPr>
          <w:rFonts w:ascii="Arial" w:hAnsi="Arial" w:cs="Arial"/>
          <w:sz w:val="16"/>
          <w:szCs w:val="16"/>
        </w:rPr>
        <w:t xml:space="preserve">Nařízení Komise (EU) č. 651/2014 ze dne 17. června 2014, kterým se v souladu s články 107 a 108 Smlouvy o fungování Evropské unie prohlašují určité kategorie podpory za slučitelné s vnitřním trhem; </w:t>
      </w:r>
      <w:r w:rsidR="00CD66C7" w:rsidRPr="006626C5">
        <w:rPr>
          <w:rFonts w:ascii="Arial" w:hAnsi="Arial" w:cs="Arial"/>
          <w:sz w:val="16"/>
          <w:szCs w:val="16"/>
        </w:rPr>
        <w:t>Sdělení Komise – Rámec pro státní podporu výzkumu, vývoje a inovací (2014/C 198/01); Nařízení Komise (EU) č. 360/2012 ze dne 25. dubna 2012 o použití článků 107 a 108 Smlouvy o fungování Evropské unie na podporu de minimis udílenou podnikům poskytujícím služby obecného hospodářského zájmu; Nařízení Evropského parlamentu a Rady (EU) č. 1370/2007 ze dne 23. října 2007, o veřejných službách v přepravě cestujících po železnici a silnici a o zrušení nařízení Rady (EHS) č. 1191/69 a č. 1107/70; Rozhodnutí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</w:p>
  </w:footnote>
  <w:footnote w:id="2">
    <w:p w14:paraId="5B3B790B" w14:textId="4AA72F84" w:rsidR="006626C5" w:rsidRPr="006626C5" w:rsidRDefault="006626C5">
      <w:pPr>
        <w:pStyle w:val="Textpoznpodarou"/>
        <w:rPr>
          <w:rFonts w:ascii="Arial" w:hAnsi="Arial" w:cs="Arial"/>
          <w:sz w:val="16"/>
          <w:szCs w:val="16"/>
        </w:rPr>
      </w:pPr>
      <w:r w:rsidRPr="006626C5">
        <w:rPr>
          <w:rStyle w:val="Znakapoznpodarou"/>
          <w:rFonts w:ascii="Arial" w:hAnsi="Arial" w:cs="Arial"/>
          <w:sz w:val="16"/>
          <w:szCs w:val="16"/>
          <w:vertAlign w:val="baseline"/>
        </w:rPr>
        <w:footnoteRef/>
      </w:r>
      <w:r w:rsidRPr="006626C5">
        <w:rPr>
          <w:rFonts w:ascii="Arial" w:hAnsi="Arial" w:cs="Arial"/>
          <w:sz w:val="16"/>
          <w:szCs w:val="16"/>
        </w:rPr>
        <w:t xml:space="preserve"> Zatrhněte a) nebo b)</w:t>
      </w:r>
      <w:r>
        <w:rPr>
          <w:rFonts w:ascii="Arial" w:hAnsi="Arial" w:cs="Arial"/>
          <w:sz w:val="16"/>
          <w:szCs w:val="16"/>
        </w:rPr>
        <w:t>. V </w:t>
      </w:r>
      <w:r w:rsidRPr="006626C5">
        <w:rPr>
          <w:rFonts w:ascii="Arial" w:hAnsi="Arial" w:cs="Arial"/>
          <w:sz w:val="16"/>
          <w:szCs w:val="16"/>
        </w:rPr>
        <w:t>případě</w:t>
      </w:r>
      <w:r>
        <w:rPr>
          <w:rFonts w:ascii="Arial" w:hAnsi="Arial" w:cs="Arial"/>
          <w:sz w:val="16"/>
          <w:szCs w:val="16"/>
        </w:rPr>
        <w:t xml:space="preserve"> označení</w:t>
      </w:r>
      <w:r w:rsidRPr="006626C5">
        <w:rPr>
          <w:rFonts w:ascii="Arial" w:hAnsi="Arial" w:cs="Arial"/>
          <w:sz w:val="16"/>
          <w:szCs w:val="16"/>
        </w:rPr>
        <w:t xml:space="preserve"> b) dále popište změny a jejich možný dopad na stanovené povinnosti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0"/>
      <w:gridCol w:w="222"/>
    </w:tblGrid>
    <w:tr w:rsidR="00150147" w:rsidRPr="000F7C4C" w14:paraId="5216AEEF" w14:textId="77777777" w:rsidTr="00B01581">
      <w:tc>
        <w:tcPr>
          <w:tcW w:w="4606" w:type="dxa"/>
        </w:tcPr>
        <w:tbl>
          <w:tblPr>
            <w:tblW w:w="9067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4A0" w:firstRow="1" w:lastRow="0" w:firstColumn="1" w:lastColumn="0" w:noHBand="0" w:noVBand="1"/>
          </w:tblPr>
          <w:tblGrid>
            <w:gridCol w:w="6966"/>
            <w:gridCol w:w="2101"/>
          </w:tblGrid>
          <w:tr w:rsidR="00B54FC0" w14:paraId="0E2393F5" w14:textId="77777777" w:rsidTr="00EA1744">
            <w:trPr>
              <w:trHeight w:val="1093"/>
            </w:trPr>
            <w:tc>
              <w:tcPr>
                <w:tcW w:w="6966" w:type="dxa"/>
                <w:shd w:val="clear" w:color="auto" w:fill="auto"/>
              </w:tcPr>
              <w:p w14:paraId="544C55EA" w14:textId="77777777" w:rsidR="00B54FC0" w:rsidRPr="00941750" w:rsidRDefault="00B54FC0" w:rsidP="00B54FC0">
                <w:pPr>
                  <w:pStyle w:val="Zhlav"/>
                  <w:tabs>
                    <w:tab w:val="clear" w:pos="9072"/>
                    <w:tab w:val="right" w:pos="6826"/>
                  </w:tabs>
                  <w:ind w:left="-113"/>
                  <w:rPr>
                    <w:rFonts w:ascii="Calibri" w:eastAsia="Calibri" w:hAnsi="Calibri"/>
                  </w:rPr>
                </w:pPr>
                <w:r w:rsidRPr="00941750">
                  <w:rPr>
                    <w:rFonts w:ascii="Calibri" w:eastAsia="Calibri" w:hAnsi="Calibri"/>
                    <w:noProof/>
                    <w:lang w:eastAsia="cs-CZ"/>
                  </w:rPr>
                  <w:drawing>
                    <wp:inline distT="0" distB="0" distL="0" distR="0" wp14:anchorId="05EFC5F2" wp14:editId="5A898145">
                      <wp:extent cx="3238500" cy="638175"/>
                      <wp:effectExtent l="0" t="0" r="0" b="9525"/>
                      <wp:docPr id="3" name="Obráze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5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385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01" w:type="dxa"/>
                <w:shd w:val="clear" w:color="auto" w:fill="auto"/>
              </w:tcPr>
              <w:p w14:paraId="0F88CCC0" w14:textId="77777777" w:rsidR="00B54FC0" w:rsidRPr="00941750" w:rsidRDefault="00B54FC0" w:rsidP="00B54FC0">
                <w:pPr>
                  <w:pStyle w:val="Zhlav"/>
                  <w:tabs>
                    <w:tab w:val="clear" w:pos="9072"/>
                    <w:tab w:val="right" w:pos="6826"/>
                  </w:tabs>
                  <w:ind w:right="-108"/>
                  <w:jc w:val="right"/>
                  <w:rPr>
                    <w:rFonts w:ascii="Calibri" w:eastAsia="Calibri" w:hAnsi="Calibri"/>
                  </w:rPr>
                </w:pPr>
                <w:r w:rsidRPr="00941750">
                  <w:rPr>
                    <w:rFonts w:ascii="Calibri" w:eastAsia="Calibri" w:hAnsi="Calibri"/>
                    <w:noProof/>
                    <w:lang w:eastAsia="cs-CZ"/>
                  </w:rPr>
                  <w:drawing>
                    <wp:inline distT="0" distB="0" distL="0" distR="0" wp14:anchorId="68312249" wp14:editId="3FFD2BC7">
                      <wp:extent cx="638175" cy="638175"/>
                      <wp:effectExtent l="0" t="0" r="9525" b="9525"/>
                      <wp:docPr id="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1BACCC7" w14:textId="68DDD578" w:rsidR="00150147" w:rsidRPr="000F7C4C" w:rsidRDefault="00150147" w:rsidP="00150147">
          <w:pPr>
            <w:tabs>
              <w:tab w:val="center" w:pos="4536"/>
              <w:tab w:val="right" w:pos="9072"/>
            </w:tabs>
          </w:pPr>
        </w:p>
      </w:tc>
      <w:tc>
        <w:tcPr>
          <w:tcW w:w="4606" w:type="dxa"/>
        </w:tcPr>
        <w:p w14:paraId="464EA4D7" w14:textId="28FC6C57" w:rsidR="00150147" w:rsidRPr="000F7C4C" w:rsidRDefault="00150147" w:rsidP="00150147">
          <w:pPr>
            <w:tabs>
              <w:tab w:val="center" w:pos="4536"/>
              <w:tab w:val="right" w:pos="9072"/>
            </w:tabs>
            <w:jc w:val="right"/>
          </w:pPr>
        </w:p>
      </w:tc>
    </w:tr>
  </w:tbl>
  <w:p w14:paraId="58381D96" w14:textId="77777777" w:rsidR="00150147" w:rsidRDefault="001501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036"/>
    <w:multiLevelType w:val="hybridMultilevel"/>
    <w:tmpl w:val="207468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9767A"/>
    <w:multiLevelType w:val="hybridMultilevel"/>
    <w:tmpl w:val="42F87AAE"/>
    <w:lvl w:ilvl="0" w:tplc="6E66C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54A4E"/>
    <w:multiLevelType w:val="hybridMultilevel"/>
    <w:tmpl w:val="BB5AF55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8B56AC"/>
    <w:multiLevelType w:val="hybridMultilevel"/>
    <w:tmpl w:val="A2A051AE"/>
    <w:lvl w:ilvl="0" w:tplc="F1BEAB3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2E0D"/>
    <w:multiLevelType w:val="hybridMultilevel"/>
    <w:tmpl w:val="C3701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51CB1"/>
    <w:multiLevelType w:val="hybridMultilevel"/>
    <w:tmpl w:val="08C48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E05CB"/>
    <w:multiLevelType w:val="hybridMultilevel"/>
    <w:tmpl w:val="6BE23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83571"/>
    <w:multiLevelType w:val="hybridMultilevel"/>
    <w:tmpl w:val="4350A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A7578"/>
    <w:multiLevelType w:val="hybridMultilevel"/>
    <w:tmpl w:val="9A5AE3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644B0"/>
    <w:multiLevelType w:val="hybridMultilevel"/>
    <w:tmpl w:val="AD9E1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34911"/>
    <w:multiLevelType w:val="hybridMultilevel"/>
    <w:tmpl w:val="8910A59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964C12"/>
    <w:multiLevelType w:val="hybridMultilevel"/>
    <w:tmpl w:val="4806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01214"/>
    <w:multiLevelType w:val="hybridMultilevel"/>
    <w:tmpl w:val="6B2844D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260FDE"/>
    <w:multiLevelType w:val="hybridMultilevel"/>
    <w:tmpl w:val="9FD2C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C31CE"/>
    <w:multiLevelType w:val="hybridMultilevel"/>
    <w:tmpl w:val="C2AA646E"/>
    <w:lvl w:ilvl="0" w:tplc="04050013">
      <w:start w:val="1"/>
      <w:numFmt w:val="upperRoman"/>
      <w:lvlText w:val="%1."/>
      <w:lvlJc w:val="right"/>
      <w:pPr>
        <w:ind w:left="770" w:hanging="360"/>
      </w:pPr>
    </w:lvl>
    <w:lvl w:ilvl="1" w:tplc="04050017">
      <w:start w:val="1"/>
      <w:numFmt w:val="lowerLetter"/>
      <w:lvlText w:val="%2)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561D5E7C"/>
    <w:multiLevelType w:val="hybridMultilevel"/>
    <w:tmpl w:val="569CFE2A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63F081F"/>
    <w:multiLevelType w:val="hybridMultilevel"/>
    <w:tmpl w:val="237A7EAE"/>
    <w:lvl w:ilvl="0" w:tplc="5F98C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86A0F"/>
    <w:multiLevelType w:val="hybridMultilevel"/>
    <w:tmpl w:val="639EF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435E6"/>
    <w:multiLevelType w:val="hybridMultilevel"/>
    <w:tmpl w:val="05B2B81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CA622C"/>
    <w:multiLevelType w:val="hybridMultilevel"/>
    <w:tmpl w:val="E3747B3E"/>
    <w:lvl w:ilvl="0" w:tplc="F412E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83087"/>
    <w:multiLevelType w:val="hybridMultilevel"/>
    <w:tmpl w:val="C9566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D3092"/>
    <w:multiLevelType w:val="hybridMultilevel"/>
    <w:tmpl w:val="1CE4ABFC"/>
    <w:lvl w:ilvl="0" w:tplc="1C1829E4">
      <w:start w:val="1"/>
      <w:numFmt w:val="bullet"/>
      <w:pStyle w:val="Prav-odr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91491"/>
    <w:multiLevelType w:val="hybridMultilevel"/>
    <w:tmpl w:val="84483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138CA"/>
    <w:multiLevelType w:val="hybridMultilevel"/>
    <w:tmpl w:val="C2BAF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6"/>
  </w:num>
  <w:num w:numId="5">
    <w:abstractNumId w:val="12"/>
  </w:num>
  <w:num w:numId="6">
    <w:abstractNumId w:val="2"/>
  </w:num>
  <w:num w:numId="7">
    <w:abstractNumId w:val="21"/>
  </w:num>
  <w:num w:numId="8">
    <w:abstractNumId w:val="15"/>
  </w:num>
  <w:num w:numId="9">
    <w:abstractNumId w:val="8"/>
  </w:num>
  <w:num w:numId="10">
    <w:abstractNumId w:val="18"/>
  </w:num>
  <w:num w:numId="11">
    <w:abstractNumId w:val="10"/>
  </w:num>
  <w:num w:numId="12">
    <w:abstractNumId w:val="23"/>
  </w:num>
  <w:num w:numId="13">
    <w:abstractNumId w:val="20"/>
  </w:num>
  <w:num w:numId="14">
    <w:abstractNumId w:val="4"/>
  </w:num>
  <w:num w:numId="15">
    <w:abstractNumId w:val="13"/>
  </w:num>
  <w:num w:numId="16">
    <w:abstractNumId w:val="6"/>
  </w:num>
  <w:num w:numId="17">
    <w:abstractNumId w:val="11"/>
  </w:num>
  <w:num w:numId="18">
    <w:abstractNumId w:val="0"/>
  </w:num>
  <w:num w:numId="19">
    <w:abstractNumId w:val="22"/>
  </w:num>
  <w:num w:numId="20">
    <w:abstractNumId w:val="17"/>
  </w:num>
  <w:num w:numId="21">
    <w:abstractNumId w:val="1"/>
  </w:num>
  <w:num w:numId="22">
    <w:abstractNumId w:val="9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A1"/>
    <w:rsid w:val="00012859"/>
    <w:rsid w:val="00030D7B"/>
    <w:rsid w:val="00035DC9"/>
    <w:rsid w:val="000469D5"/>
    <w:rsid w:val="00091F3E"/>
    <w:rsid w:val="000A3421"/>
    <w:rsid w:val="000B710E"/>
    <w:rsid w:val="000B7E04"/>
    <w:rsid w:val="000C2E7B"/>
    <w:rsid w:val="000E4127"/>
    <w:rsid w:val="000E51A8"/>
    <w:rsid w:val="000F14AD"/>
    <w:rsid w:val="00102912"/>
    <w:rsid w:val="00112D4F"/>
    <w:rsid w:val="001334A5"/>
    <w:rsid w:val="00146D2E"/>
    <w:rsid w:val="00150147"/>
    <w:rsid w:val="00164F79"/>
    <w:rsid w:val="001857B6"/>
    <w:rsid w:val="001B2B42"/>
    <w:rsid w:val="001D00EC"/>
    <w:rsid w:val="001F24CE"/>
    <w:rsid w:val="00215C8A"/>
    <w:rsid w:val="00217E6D"/>
    <w:rsid w:val="002304DC"/>
    <w:rsid w:val="00241EE5"/>
    <w:rsid w:val="0025286A"/>
    <w:rsid w:val="0025575A"/>
    <w:rsid w:val="00261942"/>
    <w:rsid w:val="002644A4"/>
    <w:rsid w:val="002661D9"/>
    <w:rsid w:val="00284C6A"/>
    <w:rsid w:val="00285694"/>
    <w:rsid w:val="00287E8B"/>
    <w:rsid w:val="0029286B"/>
    <w:rsid w:val="002C432A"/>
    <w:rsid w:val="00300187"/>
    <w:rsid w:val="003106CA"/>
    <w:rsid w:val="003164BF"/>
    <w:rsid w:val="00323C39"/>
    <w:rsid w:val="0035300C"/>
    <w:rsid w:val="00354208"/>
    <w:rsid w:val="0036056D"/>
    <w:rsid w:val="00365740"/>
    <w:rsid w:val="003A62D8"/>
    <w:rsid w:val="003C3469"/>
    <w:rsid w:val="003C3A79"/>
    <w:rsid w:val="003D2086"/>
    <w:rsid w:val="003D479E"/>
    <w:rsid w:val="003F397E"/>
    <w:rsid w:val="003F6861"/>
    <w:rsid w:val="004026C1"/>
    <w:rsid w:val="0042304D"/>
    <w:rsid w:val="00461F9B"/>
    <w:rsid w:val="00466F57"/>
    <w:rsid w:val="0047329E"/>
    <w:rsid w:val="004A0A1A"/>
    <w:rsid w:val="004C1581"/>
    <w:rsid w:val="004C2110"/>
    <w:rsid w:val="004E492C"/>
    <w:rsid w:val="00520A3A"/>
    <w:rsid w:val="005239CC"/>
    <w:rsid w:val="0052758D"/>
    <w:rsid w:val="00536D71"/>
    <w:rsid w:val="0053712A"/>
    <w:rsid w:val="005473D7"/>
    <w:rsid w:val="005747F6"/>
    <w:rsid w:val="00575120"/>
    <w:rsid w:val="00577673"/>
    <w:rsid w:val="005A7325"/>
    <w:rsid w:val="005C1415"/>
    <w:rsid w:val="005C5AFE"/>
    <w:rsid w:val="005C5C63"/>
    <w:rsid w:val="005C70ED"/>
    <w:rsid w:val="005E0B77"/>
    <w:rsid w:val="005E1133"/>
    <w:rsid w:val="005E3D88"/>
    <w:rsid w:val="005F57AF"/>
    <w:rsid w:val="00615966"/>
    <w:rsid w:val="00621EF2"/>
    <w:rsid w:val="00623390"/>
    <w:rsid w:val="00624F94"/>
    <w:rsid w:val="00637AD0"/>
    <w:rsid w:val="006432BD"/>
    <w:rsid w:val="00654B7C"/>
    <w:rsid w:val="00654F97"/>
    <w:rsid w:val="0065626C"/>
    <w:rsid w:val="006626C5"/>
    <w:rsid w:val="006A7BE9"/>
    <w:rsid w:val="006D3520"/>
    <w:rsid w:val="007107AC"/>
    <w:rsid w:val="007170CA"/>
    <w:rsid w:val="0073728D"/>
    <w:rsid w:val="007445C3"/>
    <w:rsid w:val="0075091E"/>
    <w:rsid w:val="00752286"/>
    <w:rsid w:val="00780335"/>
    <w:rsid w:val="007A0763"/>
    <w:rsid w:val="007A1CCE"/>
    <w:rsid w:val="007A27A7"/>
    <w:rsid w:val="007A5988"/>
    <w:rsid w:val="007A7CA4"/>
    <w:rsid w:val="007B5EE0"/>
    <w:rsid w:val="007B603B"/>
    <w:rsid w:val="007B755F"/>
    <w:rsid w:val="007D6B0C"/>
    <w:rsid w:val="007E630B"/>
    <w:rsid w:val="00803343"/>
    <w:rsid w:val="00805166"/>
    <w:rsid w:val="00822294"/>
    <w:rsid w:val="008223A3"/>
    <w:rsid w:val="00837F95"/>
    <w:rsid w:val="00851C15"/>
    <w:rsid w:val="00852125"/>
    <w:rsid w:val="00854D7B"/>
    <w:rsid w:val="00856EBC"/>
    <w:rsid w:val="0086345A"/>
    <w:rsid w:val="008733D3"/>
    <w:rsid w:val="00876128"/>
    <w:rsid w:val="00882F00"/>
    <w:rsid w:val="008955DD"/>
    <w:rsid w:val="008B4A28"/>
    <w:rsid w:val="008C6EEE"/>
    <w:rsid w:val="008E1E2A"/>
    <w:rsid w:val="008E3095"/>
    <w:rsid w:val="008E59DC"/>
    <w:rsid w:val="008E5A5D"/>
    <w:rsid w:val="00904E09"/>
    <w:rsid w:val="00923091"/>
    <w:rsid w:val="009379D8"/>
    <w:rsid w:val="00944213"/>
    <w:rsid w:val="00945DB6"/>
    <w:rsid w:val="0095004D"/>
    <w:rsid w:val="0095595C"/>
    <w:rsid w:val="00956B1A"/>
    <w:rsid w:val="009677C1"/>
    <w:rsid w:val="009705EE"/>
    <w:rsid w:val="00971048"/>
    <w:rsid w:val="00971460"/>
    <w:rsid w:val="0097168A"/>
    <w:rsid w:val="009B3BA3"/>
    <w:rsid w:val="00A0490D"/>
    <w:rsid w:val="00A07523"/>
    <w:rsid w:val="00A07F4F"/>
    <w:rsid w:val="00A11E20"/>
    <w:rsid w:val="00A22055"/>
    <w:rsid w:val="00A23D2B"/>
    <w:rsid w:val="00A240CE"/>
    <w:rsid w:val="00A37D38"/>
    <w:rsid w:val="00A42126"/>
    <w:rsid w:val="00A42C04"/>
    <w:rsid w:val="00A55231"/>
    <w:rsid w:val="00A576B5"/>
    <w:rsid w:val="00A62013"/>
    <w:rsid w:val="00A6282C"/>
    <w:rsid w:val="00A62AD5"/>
    <w:rsid w:val="00A70FCD"/>
    <w:rsid w:val="00A83927"/>
    <w:rsid w:val="00AC7B31"/>
    <w:rsid w:val="00AD612D"/>
    <w:rsid w:val="00AE5F62"/>
    <w:rsid w:val="00AE7B0A"/>
    <w:rsid w:val="00AF62B7"/>
    <w:rsid w:val="00AF7F2D"/>
    <w:rsid w:val="00B15DDA"/>
    <w:rsid w:val="00B168E6"/>
    <w:rsid w:val="00B3467E"/>
    <w:rsid w:val="00B41715"/>
    <w:rsid w:val="00B43FD1"/>
    <w:rsid w:val="00B45A9A"/>
    <w:rsid w:val="00B50F72"/>
    <w:rsid w:val="00B54FC0"/>
    <w:rsid w:val="00B56BD3"/>
    <w:rsid w:val="00B67E2C"/>
    <w:rsid w:val="00B93217"/>
    <w:rsid w:val="00B93DAE"/>
    <w:rsid w:val="00BB28CC"/>
    <w:rsid w:val="00BB71F9"/>
    <w:rsid w:val="00BC6112"/>
    <w:rsid w:val="00BC77F3"/>
    <w:rsid w:val="00BD242B"/>
    <w:rsid w:val="00BD274B"/>
    <w:rsid w:val="00BE1FC3"/>
    <w:rsid w:val="00BE60A1"/>
    <w:rsid w:val="00BF623C"/>
    <w:rsid w:val="00BF6A7F"/>
    <w:rsid w:val="00C02BC5"/>
    <w:rsid w:val="00C25226"/>
    <w:rsid w:val="00C42169"/>
    <w:rsid w:val="00C51D28"/>
    <w:rsid w:val="00C57D5C"/>
    <w:rsid w:val="00C67DFA"/>
    <w:rsid w:val="00C70E16"/>
    <w:rsid w:val="00C72F33"/>
    <w:rsid w:val="00C90218"/>
    <w:rsid w:val="00CA773A"/>
    <w:rsid w:val="00CB5A4D"/>
    <w:rsid w:val="00CC2351"/>
    <w:rsid w:val="00CC45BD"/>
    <w:rsid w:val="00CC561A"/>
    <w:rsid w:val="00CD341A"/>
    <w:rsid w:val="00CD35E5"/>
    <w:rsid w:val="00CD42A2"/>
    <w:rsid w:val="00CD5878"/>
    <w:rsid w:val="00CD66C7"/>
    <w:rsid w:val="00CE3B0F"/>
    <w:rsid w:val="00CE7506"/>
    <w:rsid w:val="00CF09F6"/>
    <w:rsid w:val="00D21F00"/>
    <w:rsid w:val="00D33F6F"/>
    <w:rsid w:val="00D42F20"/>
    <w:rsid w:val="00D97C45"/>
    <w:rsid w:val="00DA50E1"/>
    <w:rsid w:val="00DB1622"/>
    <w:rsid w:val="00DC634D"/>
    <w:rsid w:val="00DD2CD7"/>
    <w:rsid w:val="00DF215A"/>
    <w:rsid w:val="00E15E33"/>
    <w:rsid w:val="00E17A8E"/>
    <w:rsid w:val="00E259AB"/>
    <w:rsid w:val="00E4615B"/>
    <w:rsid w:val="00E47793"/>
    <w:rsid w:val="00E65C0B"/>
    <w:rsid w:val="00E968D7"/>
    <w:rsid w:val="00EA094B"/>
    <w:rsid w:val="00EA7C15"/>
    <w:rsid w:val="00EB4DDC"/>
    <w:rsid w:val="00ED5652"/>
    <w:rsid w:val="00EE61E3"/>
    <w:rsid w:val="00F0092F"/>
    <w:rsid w:val="00F15010"/>
    <w:rsid w:val="00F150D0"/>
    <w:rsid w:val="00F17424"/>
    <w:rsid w:val="00F313A6"/>
    <w:rsid w:val="00F3614D"/>
    <w:rsid w:val="00F466CD"/>
    <w:rsid w:val="00F63860"/>
    <w:rsid w:val="00F669DA"/>
    <w:rsid w:val="00F70922"/>
    <w:rsid w:val="00F713F0"/>
    <w:rsid w:val="00F875F1"/>
    <w:rsid w:val="00FA23F2"/>
    <w:rsid w:val="00FC0A5B"/>
    <w:rsid w:val="00FC1360"/>
    <w:rsid w:val="00FD79A8"/>
    <w:rsid w:val="00FE3C31"/>
    <w:rsid w:val="00FE508D"/>
    <w:rsid w:val="00FE7295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F94A"/>
  <w15:docId w15:val="{D66227F4-51AE-4225-A649-551506D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04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4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4E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4E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4E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E09"/>
    <w:rPr>
      <w:rFonts w:ascii="Segoe UI" w:hAnsi="Segoe UI" w:cs="Segoe UI"/>
      <w:sz w:val="18"/>
      <w:szCs w:val="18"/>
    </w:rPr>
  </w:style>
  <w:style w:type="paragraph" w:customStyle="1" w:styleId="normln0">
    <w:name w:val="normální"/>
    <w:basedOn w:val="Normln"/>
    <w:rsid w:val="00F150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F150D0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7E630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2B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2B4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B2B4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F6861"/>
    <w:rPr>
      <w:color w:val="0563C1" w:themeColor="hyperlink"/>
      <w:u w:val="single"/>
    </w:rPr>
  </w:style>
  <w:style w:type="paragraph" w:customStyle="1" w:styleId="Prav-norm">
    <w:name w:val="Prav - norm"/>
    <w:basedOn w:val="Normln"/>
    <w:link w:val="Prav-normChar"/>
    <w:qFormat/>
    <w:rsid w:val="00BD274B"/>
    <w:pPr>
      <w:spacing w:before="80" w:after="4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Prav-normChar">
    <w:name w:val="Prav - norm Char"/>
    <w:basedOn w:val="Standardnpsmoodstavce"/>
    <w:link w:val="Prav-norm"/>
    <w:rsid w:val="00BD274B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Prav-odr">
    <w:name w:val="Prav - odr"/>
    <w:basedOn w:val="Normln"/>
    <w:link w:val="Prav-odrChar"/>
    <w:qFormat/>
    <w:rsid w:val="00BD274B"/>
    <w:pPr>
      <w:numPr>
        <w:numId w:val="7"/>
      </w:numPr>
      <w:spacing w:before="80" w:after="4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Prav-odrChar">
    <w:name w:val="Prav - odr Char"/>
    <w:basedOn w:val="Standardnpsmoodstavce"/>
    <w:link w:val="Prav-odr"/>
    <w:rsid w:val="00BD274B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MPtextodr">
    <w:name w:val="MP_text_odr"/>
    <w:basedOn w:val="Normln"/>
    <w:link w:val="MPtextodrChar"/>
    <w:qFormat/>
    <w:rsid w:val="00BD274B"/>
    <w:pPr>
      <w:numPr>
        <w:numId w:val="8"/>
      </w:numPr>
      <w:spacing w:after="120" w:line="312" w:lineRule="auto"/>
      <w:jc w:val="both"/>
    </w:pPr>
    <w:rPr>
      <w:rFonts w:ascii="Arial" w:eastAsia="Times New Roman" w:hAnsi="Arial" w:cs="Arial"/>
      <w:sz w:val="20"/>
      <w:szCs w:val="20"/>
      <w:lang w:bidi="en-US"/>
    </w:rPr>
  </w:style>
  <w:style w:type="character" w:customStyle="1" w:styleId="MPtextodrChar">
    <w:name w:val="MP_text_odr Char"/>
    <w:basedOn w:val="Standardnpsmoodstavce"/>
    <w:link w:val="MPtextodr"/>
    <w:rsid w:val="00BD274B"/>
    <w:rPr>
      <w:rFonts w:ascii="Arial" w:eastAsia="Times New Roman" w:hAnsi="Arial" w:cs="Arial"/>
      <w:sz w:val="20"/>
      <w:szCs w:val="20"/>
      <w:lang w:bidi="en-US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CA773A"/>
  </w:style>
  <w:style w:type="paragraph" w:styleId="Bezmezer">
    <w:name w:val="No Spacing"/>
    <w:link w:val="BezmezerChar"/>
    <w:qFormat/>
    <w:rsid w:val="00EA094B"/>
    <w:pPr>
      <w:spacing w:after="0" w:line="320" w:lineRule="exact"/>
      <w:jc w:val="both"/>
    </w:pPr>
    <w:rPr>
      <w:rFonts w:ascii="Times New Roman" w:eastAsia="Calibri" w:hAnsi="Times New Roman" w:cs="Times New Roman"/>
    </w:rPr>
  </w:style>
  <w:style w:type="character" w:customStyle="1" w:styleId="BezmezerChar">
    <w:name w:val="Bez mezer Char"/>
    <w:link w:val="Bezmezer"/>
    <w:rsid w:val="00EA094B"/>
    <w:rPr>
      <w:rFonts w:ascii="Times New Roman" w:eastAsia="Calibri" w:hAnsi="Times New Roman" w:cs="Times New Roman"/>
    </w:rPr>
  </w:style>
  <w:style w:type="paragraph" w:customStyle="1" w:styleId="ZhlavGM">
    <w:name w:val="Záhlaví GM"/>
    <w:basedOn w:val="Zhlav"/>
    <w:link w:val="ZhlavGMChar"/>
    <w:qFormat/>
    <w:rsid w:val="00EA094B"/>
    <w:pPr>
      <w:spacing w:line="320" w:lineRule="exact"/>
    </w:pPr>
    <w:rPr>
      <w:rFonts w:ascii="Times New Roman" w:eastAsia="Times New Roman" w:hAnsi="Times New Roman" w:cs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EA094B"/>
    <w:rPr>
      <w:rFonts w:ascii="Times New Roman" w:eastAsia="Times New Roman" w:hAnsi="Times New Roman" w:cs="Times New Roman"/>
      <w:spacing w:val="10"/>
      <w:szCs w:val="24"/>
      <w:lang w:eastAsia="cs-CZ"/>
    </w:rPr>
  </w:style>
  <w:style w:type="paragraph" w:customStyle="1" w:styleId="PID">
    <w:name w:val="PID"/>
    <w:basedOn w:val="Normln"/>
    <w:next w:val="Normln"/>
    <w:link w:val="PIDChar"/>
    <w:qFormat/>
    <w:rsid w:val="00EA094B"/>
    <w:pPr>
      <w:framePr w:hSpace="142" w:wrap="around" w:vAnchor="page" w:hAnchor="margin" w:xAlign="right" w:y="706"/>
      <w:spacing w:after="0" w:line="240" w:lineRule="auto"/>
      <w:jc w:val="center"/>
    </w:pPr>
    <w:rPr>
      <w:rFonts w:ascii="CKKrausSmall" w:eastAsia="Calibri" w:hAnsi="CKKrausSmall" w:cs="Times New Roman"/>
      <w:sz w:val="60"/>
      <w:szCs w:val="72"/>
      <w:lang w:eastAsia="cs-CZ"/>
    </w:rPr>
  </w:style>
  <w:style w:type="character" w:customStyle="1" w:styleId="PIDChar">
    <w:name w:val="PID Char"/>
    <w:link w:val="PID"/>
    <w:rsid w:val="00EA094B"/>
    <w:rPr>
      <w:rFonts w:ascii="CKKrausSmall" w:eastAsia="Calibri" w:hAnsi="CKKrausSmall" w:cs="Times New Roman"/>
      <w:sz w:val="60"/>
      <w:szCs w:val="72"/>
      <w:lang w:eastAsia="cs-CZ"/>
    </w:rPr>
  </w:style>
  <w:style w:type="paragraph" w:customStyle="1" w:styleId="PID2">
    <w:name w:val="PID2"/>
    <w:basedOn w:val="Normln"/>
    <w:link w:val="PID2Char"/>
    <w:qFormat/>
    <w:rsid w:val="00EA094B"/>
    <w:pPr>
      <w:framePr w:hSpace="142" w:wrap="around" w:vAnchor="page" w:hAnchor="margin" w:xAlign="right" w:y="704"/>
      <w:spacing w:after="0" w:line="240" w:lineRule="auto"/>
      <w:suppressOverlap/>
      <w:jc w:val="center"/>
    </w:pPr>
    <w:rPr>
      <w:rFonts w:ascii="Times New Roman" w:eastAsia="Calibri" w:hAnsi="Times New Roman" w:cs="Arial"/>
      <w:szCs w:val="20"/>
      <w:lang w:eastAsia="cs-CZ"/>
    </w:rPr>
  </w:style>
  <w:style w:type="character" w:customStyle="1" w:styleId="PID2Char">
    <w:name w:val="PID2 Char"/>
    <w:link w:val="PID2"/>
    <w:rsid w:val="00EA094B"/>
    <w:rPr>
      <w:rFonts w:ascii="Times New Roman" w:eastAsia="Calibri" w:hAnsi="Times New Roman" w:cs="Arial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94B"/>
  </w:style>
  <w:style w:type="table" w:styleId="Mkatabulky">
    <w:name w:val="Table Grid"/>
    <w:basedOn w:val="Normlntabulka"/>
    <w:uiPriority w:val="59"/>
    <w:rsid w:val="001F2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5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147"/>
  </w:style>
  <w:style w:type="paragraph" w:customStyle="1" w:styleId="Tiskovina">
    <w:name w:val="Tiskovina"/>
    <w:basedOn w:val="ZhlavGM"/>
    <w:link w:val="TiskovinaChar"/>
    <w:uiPriority w:val="8"/>
    <w:qFormat/>
    <w:rsid w:val="00A83927"/>
    <w:pPr>
      <w:spacing w:after="120"/>
      <w:jc w:val="center"/>
    </w:pPr>
    <w:rPr>
      <w:b/>
      <w:sz w:val="32"/>
    </w:rPr>
  </w:style>
  <w:style w:type="character" w:customStyle="1" w:styleId="TiskovinaChar">
    <w:name w:val="Tiskovina Char"/>
    <w:link w:val="Tiskovina"/>
    <w:uiPriority w:val="8"/>
    <w:rsid w:val="00A83927"/>
    <w:rPr>
      <w:rFonts w:ascii="Times New Roman" w:eastAsia="Times New Roman" w:hAnsi="Times New Roman" w:cs="Times New Roman"/>
      <w:b/>
      <w:spacing w:val="10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5DAF1-151B-45BE-A660-DC7CAD9C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Lepšová Eva (MHMP, FON)</dc:creator>
  <cp:lastModifiedBy>Hrnčířová Konstantinová Jana (MHMP, FON)</cp:lastModifiedBy>
  <cp:revision>2</cp:revision>
  <cp:lastPrinted>2022-05-16T08:56:00Z</cp:lastPrinted>
  <dcterms:created xsi:type="dcterms:W3CDTF">2023-05-04T09:35:00Z</dcterms:created>
  <dcterms:modified xsi:type="dcterms:W3CDTF">2023-05-04T09:35:00Z</dcterms:modified>
</cp:coreProperties>
</file>