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252" w:rsidRDefault="00697A5C">
      <w:pPr>
        <w:tabs>
          <w:tab w:val="left" w:pos="2235"/>
        </w:tabs>
        <w:spacing w:before="120"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Název dokumentu</w:t>
      </w:r>
      <w:r>
        <w:rPr>
          <w:rFonts w:ascii="Calibri" w:eastAsia="Calibri" w:hAnsi="Calibri" w:cs="Calibri"/>
          <w:color w:val="000000"/>
          <w:sz w:val="20"/>
        </w:rPr>
        <w:tab/>
      </w:r>
      <w:r>
        <w:rPr>
          <w:rFonts w:ascii="Arial" w:eastAsia="Arial" w:hAnsi="Arial" w:cs="Arial"/>
          <w:color w:val="000000"/>
          <w:sz w:val="20"/>
        </w:rPr>
        <w:t>Výroční zpráva o implementaci programu za rok 2017</w:t>
      </w:r>
    </w:p>
    <w:p w:rsidR="00457252" w:rsidRDefault="00697A5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Program / DoP</w:t>
      </w:r>
      <w:r>
        <w:rPr>
          <w:rFonts w:ascii="Calibri" w:eastAsia="Calibri" w:hAnsi="Calibri" w:cs="Calibri"/>
          <w:b/>
          <w:bCs/>
          <w:color w:val="000000"/>
          <w:sz w:val="20"/>
        </w:rPr>
        <w:tab/>
      </w:r>
      <w:proofErr w:type="gramStart"/>
      <w:r>
        <w:rPr>
          <w:rFonts w:ascii="Arial" w:eastAsia="Arial" w:hAnsi="Arial" w:cs="Arial"/>
          <w:color w:val="000000"/>
          <w:sz w:val="20"/>
        </w:rPr>
        <w:t>07  Operační</w:t>
      </w:r>
      <w:proofErr w:type="gramEnd"/>
      <w:r>
        <w:rPr>
          <w:rFonts w:ascii="Arial" w:eastAsia="Arial" w:hAnsi="Arial" w:cs="Arial"/>
          <w:color w:val="000000"/>
          <w:sz w:val="20"/>
        </w:rPr>
        <w:t xml:space="preserve"> program Praha - pól růstu ČR</w:t>
      </w:r>
    </w:p>
    <w:p w:rsidR="00457252" w:rsidRDefault="00697A5C">
      <w:pPr>
        <w:tabs>
          <w:tab w:val="left" w:pos="2235"/>
        </w:tabs>
        <w:spacing w:after="120" w:line="312" w:lineRule="auto"/>
        <w:ind w:left="2238" w:right="105" w:hanging="2127"/>
        <w:jc w:val="both"/>
        <w:rPr>
          <w:rFonts w:ascii="Arial" w:eastAsia="Arial" w:hAnsi="Arial" w:cs="Arial"/>
          <w:color w:val="000000"/>
          <w:sz w:val="20"/>
        </w:rPr>
      </w:pPr>
      <w:r>
        <w:rPr>
          <w:rFonts w:ascii="Arial" w:eastAsia="Arial" w:hAnsi="Arial" w:cs="Arial"/>
          <w:b/>
          <w:bCs/>
          <w:color w:val="000000"/>
          <w:sz w:val="20"/>
        </w:rPr>
        <w:t>Verze dokumentu</w:t>
      </w:r>
      <w:r>
        <w:rPr>
          <w:rFonts w:ascii="Arial" w:eastAsia="Arial" w:hAnsi="Arial" w:cs="Arial"/>
          <w:color w:val="000000"/>
          <w:sz w:val="20"/>
        </w:rPr>
        <w:tab/>
      </w:r>
      <w:r w:rsidR="008E0B6D">
        <w:rPr>
          <w:rFonts w:ascii="Arial" w:eastAsia="Arial" w:hAnsi="Arial" w:cs="Arial"/>
          <w:color w:val="000000"/>
          <w:sz w:val="20"/>
        </w:rPr>
        <w:t>final</w:t>
      </w:r>
    </w:p>
    <w:p w:rsidR="00457252" w:rsidRDefault="00457252">
      <w:pPr>
        <w:keepNext/>
        <w:keepLines/>
        <w:tabs>
          <w:tab w:val="left" w:pos="675"/>
        </w:tabs>
        <w:spacing w:after="120" w:line="264" w:lineRule="auto"/>
        <w:ind w:left="111" w:right="105"/>
        <w:jc w:val="both"/>
        <w:rPr>
          <w:rFonts w:ascii="Arial" w:eastAsia="Arial" w:hAnsi="Arial" w:cs="Arial"/>
          <w:color w:val="000000"/>
          <w:sz w:val="20"/>
        </w:rPr>
      </w:pPr>
    </w:p>
    <w:p w:rsidR="00457252" w:rsidRDefault="00697A5C">
      <w:r>
        <w:br w:type="page"/>
      </w:r>
    </w:p>
    <w:p w:rsidR="00457252" w:rsidRPr="00743145" w:rsidRDefault="00697A5C" w:rsidP="00743145">
      <w:pPr>
        <w:pStyle w:val="Nadpis1"/>
        <w:numPr>
          <w:ilvl w:val="0"/>
          <w:numId w:val="0"/>
        </w:numPr>
        <w:ind w:left="108"/>
        <w:rPr>
          <w:sz w:val="32"/>
        </w:rPr>
      </w:pPr>
      <w:bookmarkStart w:id="0" w:name="_Toc471474439"/>
      <w:bookmarkStart w:id="1" w:name="_Toc512860759"/>
      <w:bookmarkStart w:id="2" w:name="_Toc512860931"/>
      <w:r w:rsidRPr="00743145">
        <w:rPr>
          <w:sz w:val="32"/>
        </w:rPr>
        <w:lastRenderedPageBreak/>
        <w:t>Obsah</w:t>
      </w:r>
      <w:bookmarkEnd w:id="0"/>
      <w:bookmarkEnd w:id="1"/>
      <w:bookmarkEnd w:id="2"/>
    </w:p>
    <w:sdt>
      <w:sdtPr>
        <w:id w:val="599458788"/>
        <w:docPartObj>
          <w:docPartGallery w:val="Table of Contents"/>
          <w:docPartUnique/>
        </w:docPartObj>
      </w:sdtPr>
      <w:sdtEndPr>
        <w:rPr>
          <w:b/>
          <w:bCs/>
        </w:rPr>
      </w:sdtEndPr>
      <w:sdtContent>
        <w:p w:rsidR="00FE46D8" w:rsidRDefault="00FE46D8" w:rsidP="008A5E11">
          <w:pPr>
            <w:pStyle w:val="Obsah1"/>
            <w:ind w:hanging="9"/>
            <w:rPr>
              <w:noProof/>
              <w:lang w:val="cs-CZ" w:eastAsia="cs-CZ"/>
            </w:rPr>
          </w:pPr>
          <w:r>
            <w:fldChar w:fldCharType="begin"/>
          </w:r>
          <w:r>
            <w:instrText xml:space="preserve"> TOC \o "1-3" \h \z \u </w:instrText>
          </w:r>
          <w:r>
            <w:fldChar w:fldCharType="separate"/>
          </w:r>
          <w:hyperlink w:anchor="_Toc512860932" w:history="1">
            <w:r w:rsidRPr="00594FD5">
              <w:rPr>
                <w:rStyle w:val="Hypertextovodkaz"/>
                <w:noProof/>
              </w:rPr>
              <w:t>Základní informace</w:t>
            </w:r>
            <w:r>
              <w:rPr>
                <w:noProof/>
                <w:webHidden/>
              </w:rPr>
              <w:tab/>
            </w:r>
            <w:r>
              <w:rPr>
                <w:noProof/>
                <w:webHidden/>
              </w:rPr>
              <w:fldChar w:fldCharType="begin"/>
            </w:r>
            <w:r>
              <w:rPr>
                <w:noProof/>
                <w:webHidden/>
              </w:rPr>
              <w:instrText xml:space="preserve"> PAGEREF _Toc512860932 \h </w:instrText>
            </w:r>
            <w:r>
              <w:rPr>
                <w:noProof/>
                <w:webHidden/>
              </w:rPr>
            </w:r>
            <w:r>
              <w:rPr>
                <w:noProof/>
                <w:webHidden/>
              </w:rPr>
              <w:fldChar w:fldCharType="separate"/>
            </w:r>
            <w:r w:rsidR="00812ADD">
              <w:rPr>
                <w:noProof/>
                <w:webHidden/>
              </w:rPr>
              <w:t>3</w:t>
            </w:r>
            <w:r>
              <w:rPr>
                <w:noProof/>
                <w:webHidden/>
              </w:rPr>
              <w:fldChar w:fldCharType="end"/>
            </w:r>
          </w:hyperlink>
        </w:p>
        <w:p w:rsidR="00FE46D8" w:rsidRDefault="00812ADD" w:rsidP="008A5E11">
          <w:pPr>
            <w:pStyle w:val="Obsah1"/>
            <w:rPr>
              <w:noProof/>
              <w:lang w:val="cs-CZ" w:eastAsia="cs-CZ"/>
            </w:rPr>
          </w:pPr>
          <w:hyperlink w:anchor="_Toc512860933" w:history="1">
            <w:r w:rsidR="00FE46D8" w:rsidRPr="00594FD5">
              <w:rPr>
                <w:rStyle w:val="Hypertextovodkaz"/>
                <w:noProof/>
              </w:rPr>
              <w:t>1.</w:t>
            </w:r>
            <w:r w:rsidR="00FE46D8">
              <w:rPr>
                <w:noProof/>
                <w:lang w:val="cs-CZ" w:eastAsia="cs-CZ"/>
              </w:rPr>
              <w:tab/>
            </w:r>
            <w:r w:rsidR="00FE46D8" w:rsidRPr="00594FD5">
              <w:rPr>
                <w:rStyle w:val="Hypertextovodkaz"/>
                <w:noProof/>
              </w:rPr>
              <w:t>IDENTIFIKACE VÝROČNÍ/ZÁVĚREČNÉ ZPRÁVY O IMPLEMENTACI</w:t>
            </w:r>
            <w:r w:rsidR="00FE46D8">
              <w:rPr>
                <w:noProof/>
                <w:webHidden/>
              </w:rPr>
              <w:tab/>
            </w:r>
            <w:r w:rsidR="00FE46D8">
              <w:rPr>
                <w:noProof/>
                <w:webHidden/>
              </w:rPr>
              <w:fldChar w:fldCharType="begin"/>
            </w:r>
            <w:r w:rsidR="00FE46D8">
              <w:rPr>
                <w:noProof/>
                <w:webHidden/>
              </w:rPr>
              <w:instrText xml:space="preserve"> PAGEREF _Toc512860933 \h </w:instrText>
            </w:r>
            <w:r w:rsidR="00FE46D8">
              <w:rPr>
                <w:noProof/>
                <w:webHidden/>
              </w:rPr>
            </w:r>
            <w:r w:rsidR="00FE46D8">
              <w:rPr>
                <w:noProof/>
                <w:webHidden/>
              </w:rPr>
              <w:fldChar w:fldCharType="separate"/>
            </w:r>
            <w:r>
              <w:rPr>
                <w:noProof/>
                <w:webHidden/>
              </w:rPr>
              <w:t>4</w:t>
            </w:r>
            <w:r w:rsidR="00FE46D8">
              <w:rPr>
                <w:noProof/>
                <w:webHidden/>
              </w:rPr>
              <w:fldChar w:fldCharType="end"/>
            </w:r>
          </w:hyperlink>
        </w:p>
        <w:p w:rsidR="00FE46D8" w:rsidRDefault="00812ADD" w:rsidP="008A5E11">
          <w:pPr>
            <w:pStyle w:val="Obsah1"/>
            <w:rPr>
              <w:noProof/>
              <w:lang w:val="cs-CZ" w:eastAsia="cs-CZ"/>
            </w:rPr>
          </w:pPr>
          <w:hyperlink w:anchor="_Toc512860934" w:history="1">
            <w:r w:rsidR="00FE46D8" w:rsidRPr="00594FD5">
              <w:rPr>
                <w:rStyle w:val="Hypertextovodkaz"/>
                <w:noProof/>
              </w:rPr>
              <w:t>2.</w:t>
            </w:r>
            <w:r w:rsidR="00FE46D8">
              <w:rPr>
                <w:noProof/>
                <w:lang w:val="cs-CZ" w:eastAsia="cs-CZ"/>
              </w:rPr>
              <w:tab/>
            </w:r>
            <w:r w:rsidR="00FE46D8" w:rsidRPr="00594FD5">
              <w:rPr>
                <w:rStyle w:val="Hypertextovodkaz"/>
                <w:noProof/>
              </w:rPr>
              <w:t>PŘEHLED IMPLEMENTACE OPERAČNÍHO PROGRAMU (čl. 50 odst. 2 a čl. 111 odst. 3 písm. a) nařízení (EU) č. 1303/2013)</w:t>
            </w:r>
            <w:r w:rsidR="00FE46D8">
              <w:rPr>
                <w:noProof/>
                <w:webHidden/>
              </w:rPr>
              <w:tab/>
            </w:r>
            <w:r w:rsidR="00FE46D8">
              <w:rPr>
                <w:noProof/>
                <w:webHidden/>
              </w:rPr>
              <w:fldChar w:fldCharType="begin"/>
            </w:r>
            <w:r w:rsidR="00FE46D8">
              <w:rPr>
                <w:noProof/>
                <w:webHidden/>
              </w:rPr>
              <w:instrText xml:space="preserve"> PAGEREF _Toc512860934 \h </w:instrText>
            </w:r>
            <w:r w:rsidR="00FE46D8">
              <w:rPr>
                <w:noProof/>
                <w:webHidden/>
              </w:rPr>
            </w:r>
            <w:r w:rsidR="00FE46D8">
              <w:rPr>
                <w:noProof/>
                <w:webHidden/>
              </w:rPr>
              <w:fldChar w:fldCharType="separate"/>
            </w:r>
            <w:r>
              <w:rPr>
                <w:noProof/>
                <w:webHidden/>
              </w:rPr>
              <w:t>4</w:t>
            </w:r>
            <w:r w:rsidR="00FE46D8">
              <w:rPr>
                <w:noProof/>
                <w:webHidden/>
              </w:rPr>
              <w:fldChar w:fldCharType="end"/>
            </w:r>
          </w:hyperlink>
        </w:p>
        <w:p w:rsidR="00FE46D8" w:rsidRDefault="00812ADD" w:rsidP="008A5E11">
          <w:pPr>
            <w:pStyle w:val="Obsah1"/>
            <w:rPr>
              <w:noProof/>
              <w:lang w:val="cs-CZ" w:eastAsia="cs-CZ"/>
            </w:rPr>
          </w:pPr>
          <w:hyperlink w:anchor="_Toc512860935" w:history="1">
            <w:r w:rsidR="00FE46D8" w:rsidRPr="00594FD5">
              <w:rPr>
                <w:rStyle w:val="Hypertextovodkaz"/>
                <w:noProof/>
              </w:rPr>
              <w:t>3.</w:t>
            </w:r>
            <w:r w:rsidR="00FE46D8">
              <w:rPr>
                <w:noProof/>
                <w:lang w:val="cs-CZ" w:eastAsia="cs-CZ"/>
              </w:rPr>
              <w:tab/>
            </w:r>
            <w:r w:rsidR="00FE46D8" w:rsidRPr="00594FD5">
              <w:rPr>
                <w:rStyle w:val="Hypertextovodkaz"/>
                <w:noProof/>
              </w:rPr>
              <w:t>IMPLEMENTACE PRIORITNÍ OSY (čl. 50 odst. 2 nařízení (EU) č. 1303/2013)</w:t>
            </w:r>
            <w:r w:rsidR="00FE46D8">
              <w:rPr>
                <w:noProof/>
                <w:webHidden/>
              </w:rPr>
              <w:tab/>
            </w:r>
            <w:r w:rsidR="00FE46D8">
              <w:rPr>
                <w:noProof/>
                <w:webHidden/>
              </w:rPr>
              <w:fldChar w:fldCharType="begin"/>
            </w:r>
            <w:r w:rsidR="00FE46D8">
              <w:rPr>
                <w:noProof/>
                <w:webHidden/>
              </w:rPr>
              <w:instrText xml:space="preserve"> PAGEREF _Toc512860935 \h </w:instrText>
            </w:r>
            <w:r w:rsidR="00FE46D8">
              <w:rPr>
                <w:noProof/>
                <w:webHidden/>
              </w:rPr>
            </w:r>
            <w:r w:rsidR="00FE46D8">
              <w:rPr>
                <w:noProof/>
                <w:webHidden/>
              </w:rPr>
              <w:fldChar w:fldCharType="separate"/>
            </w:r>
            <w:r>
              <w:rPr>
                <w:noProof/>
                <w:webHidden/>
              </w:rPr>
              <w:t>8</w:t>
            </w:r>
            <w:r w:rsidR="00FE46D8">
              <w:rPr>
                <w:noProof/>
                <w:webHidden/>
              </w:rPr>
              <w:fldChar w:fldCharType="end"/>
            </w:r>
          </w:hyperlink>
        </w:p>
        <w:p w:rsidR="00FE46D8" w:rsidRDefault="00812ADD" w:rsidP="008A5E11">
          <w:pPr>
            <w:pStyle w:val="Obsah2"/>
            <w:rPr>
              <w:noProof/>
              <w:lang w:val="cs-CZ" w:eastAsia="cs-CZ"/>
            </w:rPr>
          </w:pPr>
          <w:hyperlink w:anchor="_Toc512860936" w:history="1">
            <w:r w:rsidR="00FE46D8" w:rsidRPr="00594FD5">
              <w:rPr>
                <w:rStyle w:val="Hypertextovodkaz"/>
                <w:noProof/>
              </w:rPr>
              <w:t>3.1.</w:t>
            </w:r>
            <w:r w:rsidR="00FE46D8">
              <w:rPr>
                <w:noProof/>
                <w:lang w:val="cs-CZ" w:eastAsia="cs-CZ"/>
              </w:rPr>
              <w:tab/>
            </w:r>
            <w:r w:rsidR="00FE46D8" w:rsidRPr="00594FD5">
              <w:rPr>
                <w:rStyle w:val="Hypertextovodkaz"/>
                <w:noProof/>
              </w:rPr>
              <w:t>Přehled implementace</w:t>
            </w:r>
            <w:r w:rsidR="00FE46D8">
              <w:rPr>
                <w:noProof/>
                <w:webHidden/>
              </w:rPr>
              <w:tab/>
            </w:r>
            <w:r w:rsidR="00FE46D8">
              <w:rPr>
                <w:noProof/>
                <w:webHidden/>
              </w:rPr>
              <w:fldChar w:fldCharType="begin"/>
            </w:r>
            <w:r w:rsidR="00FE46D8">
              <w:rPr>
                <w:noProof/>
                <w:webHidden/>
              </w:rPr>
              <w:instrText xml:space="preserve"> PAGEREF _Toc512860936 \h </w:instrText>
            </w:r>
            <w:r w:rsidR="00FE46D8">
              <w:rPr>
                <w:noProof/>
                <w:webHidden/>
              </w:rPr>
            </w:r>
            <w:r w:rsidR="00FE46D8">
              <w:rPr>
                <w:noProof/>
                <w:webHidden/>
              </w:rPr>
              <w:fldChar w:fldCharType="separate"/>
            </w:r>
            <w:r>
              <w:rPr>
                <w:noProof/>
                <w:webHidden/>
              </w:rPr>
              <w:t>8</w:t>
            </w:r>
            <w:r w:rsidR="00FE46D8">
              <w:rPr>
                <w:noProof/>
                <w:webHidden/>
              </w:rPr>
              <w:fldChar w:fldCharType="end"/>
            </w:r>
          </w:hyperlink>
        </w:p>
        <w:p w:rsidR="00FE46D8" w:rsidRDefault="00812ADD" w:rsidP="008A5E11">
          <w:pPr>
            <w:pStyle w:val="Obsah2"/>
            <w:rPr>
              <w:noProof/>
              <w:lang w:val="cs-CZ" w:eastAsia="cs-CZ"/>
            </w:rPr>
          </w:pPr>
          <w:hyperlink w:anchor="_Toc512860937" w:history="1">
            <w:r w:rsidR="00FE46D8" w:rsidRPr="00FE46D8">
              <w:rPr>
                <w:rStyle w:val="Hypertextovodkaz"/>
                <w:iCs/>
                <w:noProof/>
              </w:rPr>
              <w:t>3.2.</w:t>
            </w:r>
            <w:r w:rsidR="00FE46D8" w:rsidRPr="00FE46D8">
              <w:rPr>
                <w:noProof/>
                <w:lang w:val="cs-CZ" w:eastAsia="cs-CZ"/>
              </w:rPr>
              <w:tab/>
            </w:r>
            <w:r w:rsidR="00FE46D8" w:rsidRPr="00594FD5">
              <w:rPr>
                <w:rStyle w:val="Hypertextovodkaz"/>
                <w:noProof/>
              </w:rPr>
              <w:t>Společné indikátory a indikátory specifické pro jednotlivé programy (čl. 50 odst. 2 nařízení (EU) č. 1303/2013</w:t>
            </w:r>
            <w:r w:rsidR="00FE46D8" w:rsidRPr="00594FD5">
              <w:rPr>
                <w:rStyle w:val="Hypertextovodkaz"/>
                <w:i/>
                <w:iCs/>
                <w:noProof/>
              </w:rPr>
              <w:t>)</w:t>
            </w:r>
            <w:r w:rsidR="00FE46D8">
              <w:rPr>
                <w:noProof/>
                <w:webHidden/>
              </w:rPr>
              <w:tab/>
            </w:r>
            <w:r w:rsidR="00FE46D8">
              <w:rPr>
                <w:noProof/>
                <w:webHidden/>
              </w:rPr>
              <w:fldChar w:fldCharType="begin"/>
            </w:r>
            <w:r w:rsidR="00FE46D8">
              <w:rPr>
                <w:noProof/>
                <w:webHidden/>
              </w:rPr>
              <w:instrText xml:space="preserve"> PAGEREF _Toc512860937 \h </w:instrText>
            </w:r>
            <w:r w:rsidR="00FE46D8">
              <w:rPr>
                <w:noProof/>
                <w:webHidden/>
              </w:rPr>
            </w:r>
            <w:r w:rsidR="00FE46D8">
              <w:rPr>
                <w:noProof/>
                <w:webHidden/>
              </w:rPr>
              <w:fldChar w:fldCharType="separate"/>
            </w:r>
            <w:r>
              <w:rPr>
                <w:noProof/>
                <w:webHidden/>
              </w:rPr>
              <w:t>10</w:t>
            </w:r>
            <w:r w:rsidR="00FE46D8">
              <w:rPr>
                <w:noProof/>
                <w:webHidden/>
              </w:rPr>
              <w:fldChar w:fldCharType="end"/>
            </w:r>
          </w:hyperlink>
        </w:p>
        <w:p w:rsidR="00FE46D8" w:rsidRDefault="00812ADD" w:rsidP="008A5E11">
          <w:pPr>
            <w:pStyle w:val="Obsah2"/>
            <w:rPr>
              <w:noProof/>
              <w:lang w:val="cs-CZ" w:eastAsia="cs-CZ"/>
            </w:rPr>
          </w:pPr>
          <w:hyperlink w:anchor="_Toc512860938" w:history="1">
            <w:r w:rsidR="00FE46D8" w:rsidRPr="00594FD5">
              <w:rPr>
                <w:rStyle w:val="Hypertextovodkaz"/>
                <w:noProof/>
              </w:rPr>
              <w:t>3.3.</w:t>
            </w:r>
            <w:r w:rsidR="00FE46D8">
              <w:rPr>
                <w:noProof/>
                <w:lang w:val="cs-CZ" w:eastAsia="cs-CZ"/>
              </w:rPr>
              <w:tab/>
            </w:r>
            <w:r w:rsidR="00FE46D8" w:rsidRPr="00594FD5">
              <w:rPr>
                <w:rStyle w:val="Hypertextovodkaz"/>
                <w:noProof/>
              </w:rPr>
              <w:t>Milníky a cíle stanovené ve výkonnostním rámci (čl. 50 odst. 2 nařízení (EU) č. 1303/2013) – předloženo ve výročních zprávách  o implementaci od roku 2017</w:t>
            </w:r>
            <w:r w:rsidR="00FE46D8">
              <w:rPr>
                <w:noProof/>
                <w:webHidden/>
              </w:rPr>
              <w:tab/>
            </w:r>
            <w:r w:rsidR="00FE46D8">
              <w:rPr>
                <w:noProof/>
                <w:webHidden/>
              </w:rPr>
              <w:fldChar w:fldCharType="begin"/>
            </w:r>
            <w:r w:rsidR="00FE46D8">
              <w:rPr>
                <w:noProof/>
                <w:webHidden/>
              </w:rPr>
              <w:instrText xml:space="preserve"> PAGEREF _Toc512860938 \h </w:instrText>
            </w:r>
            <w:r w:rsidR="00FE46D8">
              <w:rPr>
                <w:noProof/>
                <w:webHidden/>
              </w:rPr>
            </w:r>
            <w:r w:rsidR="00FE46D8">
              <w:rPr>
                <w:noProof/>
                <w:webHidden/>
              </w:rPr>
              <w:fldChar w:fldCharType="separate"/>
            </w:r>
            <w:r>
              <w:rPr>
                <w:noProof/>
                <w:webHidden/>
              </w:rPr>
              <w:t>41</w:t>
            </w:r>
            <w:r w:rsidR="00FE46D8">
              <w:rPr>
                <w:noProof/>
                <w:webHidden/>
              </w:rPr>
              <w:fldChar w:fldCharType="end"/>
            </w:r>
          </w:hyperlink>
        </w:p>
        <w:p w:rsidR="00FE46D8" w:rsidRDefault="00812ADD" w:rsidP="008A5E11">
          <w:pPr>
            <w:pStyle w:val="Obsah2"/>
            <w:rPr>
              <w:noProof/>
              <w:lang w:val="cs-CZ" w:eastAsia="cs-CZ"/>
            </w:rPr>
          </w:pPr>
          <w:hyperlink w:anchor="_Toc512860939" w:history="1">
            <w:r w:rsidR="00FE46D8" w:rsidRPr="00594FD5">
              <w:rPr>
                <w:rStyle w:val="Hypertextovodkaz"/>
                <w:noProof/>
              </w:rPr>
              <w:t>3.4.</w:t>
            </w:r>
            <w:r w:rsidR="00FE46D8">
              <w:rPr>
                <w:noProof/>
                <w:lang w:val="cs-CZ" w:eastAsia="cs-CZ"/>
              </w:rPr>
              <w:tab/>
            </w:r>
            <w:r w:rsidR="00FE46D8" w:rsidRPr="00594FD5">
              <w:rPr>
                <w:rStyle w:val="Hypertextovodkaz"/>
                <w:noProof/>
              </w:rPr>
              <w:t>Finanční údaje (čl. 50 odst. 2 nařízení (EU) č. 1303/2013)</w:t>
            </w:r>
            <w:r w:rsidR="00FE46D8">
              <w:rPr>
                <w:noProof/>
                <w:webHidden/>
              </w:rPr>
              <w:tab/>
            </w:r>
            <w:r w:rsidR="00FE46D8">
              <w:rPr>
                <w:noProof/>
                <w:webHidden/>
              </w:rPr>
              <w:fldChar w:fldCharType="begin"/>
            </w:r>
            <w:r w:rsidR="00FE46D8">
              <w:rPr>
                <w:noProof/>
                <w:webHidden/>
              </w:rPr>
              <w:instrText xml:space="preserve"> PAGEREF _Toc512860939 \h </w:instrText>
            </w:r>
            <w:r w:rsidR="00FE46D8">
              <w:rPr>
                <w:noProof/>
                <w:webHidden/>
              </w:rPr>
            </w:r>
            <w:r w:rsidR="00FE46D8">
              <w:rPr>
                <w:noProof/>
                <w:webHidden/>
              </w:rPr>
              <w:fldChar w:fldCharType="separate"/>
            </w:r>
            <w:r>
              <w:rPr>
                <w:noProof/>
                <w:webHidden/>
              </w:rPr>
              <w:t>46</w:t>
            </w:r>
            <w:r w:rsidR="00FE46D8">
              <w:rPr>
                <w:noProof/>
                <w:webHidden/>
              </w:rPr>
              <w:fldChar w:fldCharType="end"/>
            </w:r>
          </w:hyperlink>
        </w:p>
        <w:p w:rsidR="00FE46D8" w:rsidRDefault="00812ADD" w:rsidP="008A5E11">
          <w:pPr>
            <w:pStyle w:val="Obsah1"/>
            <w:rPr>
              <w:noProof/>
              <w:lang w:val="cs-CZ" w:eastAsia="cs-CZ"/>
            </w:rPr>
          </w:pPr>
          <w:hyperlink w:anchor="_Toc512860940" w:history="1">
            <w:r w:rsidR="00FE46D8" w:rsidRPr="00594FD5">
              <w:rPr>
                <w:rStyle w:val="Hypertextovodkaz"/>
                <w:noProof/>
              </w:rPr>
              <w:t>4.</w:t>
            </w:r>
            <w:r w:rsidR="00FE46D8">
              <w:rPr>
                <w:noProof/>
                <w:lang w:val="cs-CZ" w:eastAsia="cs-CZ"/>
              </w:rPr>
              <w:tab/>
            </w:r>
            <w:r w:rsidR="00FE46D8" w:rsidRPr="00594FD5">
              <w:rPr>
                <w:rStyle w:val="Hypertextovodkaz"/>
                <w:noProof/>
              </w:rPr>
              <w:t>SHRNUTÍ EVALUACÍ (čl. 50 odst. 2 nařízení (EU) č. 1303/2013)</w:t>
            </w:r>
            <w:r w:rsidR="00FE46D8">
              <w:rPr>
                <w:noProof/>
                <w:webHidden/>
              </w:rPr>
              <w:tab/>
            </w:r>
            <w:r w:rsidR="00FE46D8">
              <w:rPr>
                <w:noProof/>
                <w:webHidden/>
              </w:rPr>
              <w:fldChar w:fldCharType="begin"/>
            </w:r>
            <w:r w:rsidR="00FE46D8">
              <w:rPr>
                <w:noProof/>
                <w:webHidden/>
              </w:rPr>
              <w:instrText xml:space="preserve"> PAGEREF _Toc512860940 \h </w:instrText>
            </w:r>
            <w:r w:rsidR="00FE46D8">
              <w:rPr>
                <w:noProof/>
                <w:webHidden/>
              </w:rPr>
            </w:r>
            <w:r w:rsidR="00FE46D8">
              <w:rPr>
                <w:noProof/>
                <w:webHidden/>
              </w:rPr>
              <w:fldChar w:fldCharType="separate"/>
            </w:r>
            <w:r>
              <w:rPr>
                <w:noProof/>
                <w:webHidden/>
              </w:rPr>
              <w:t>50</w:t>
            </w:r>
            <w:r w:rsidR="00FE46D8">
              <w:rPr>
                <w:noProof/>
                <w:webHidden/>
              </w:rPr>
              <w:fldChar w:fldCharType="end"/>
            </w:r>
          </w:hyperlink>
        </w:p>
        <w:p w:rsidR="00FE46D8" w:rsidRDefault="00812ADD" w:rsidP="008A5E11">
          <w:pPr>
            <w:pStyle w:val="Obsah1"/>
            <w:rPr>
              <w:noProof/>
              <w:lang w:val="cs-CZ" w:eastAsia="cs-CZ"/>
            </w:rPr>
          </w:pPr>
          <w:hyperlink w:anchor="_Toc512860941" w:history="1">
            <w:r w:rsidR="00FE46D8" w:rsidRPr="00594FD5">
              <w:rPr>
                <w:rStyle w:val="Hypertextovodkaz"/>
                <w:noProof/>
              </w:rPr>
              <w:t>5.</w:t>
            </w:r>
            <w:r w:rsidR="00FE46D8">
              <w:rPr>
                <w:noProof/>
                <w:lang w:val="cs-CZ" w:eastAsia="cs-CZ"/>
              </w:rPr>
              <w:tab/>
            </w:r>
            <w:r w:rsidR="00FE46D8" w:rsidRPr="00594FD5">
              <w:rPr>
                <w:rStyle w:val="Hypertextovodkaz"/>
                <w:noProof/>
              </w:rPr>
              <w:t>INFORMACE O IMPLEMENTACI INICIATIVY NA PODPORU ZAMĚSTNANOSTI MLADÝCH LIDÍ, JE-LI POUŽITELNÉ (čl. 19 odst. 2 a 4 nařízení (EU) č. 1304/2013)</w:t>
            </w:r>
            <w:r w:rsidR="00FE46D8">
              <w:rPr>
                <w:noProof/>
                <w:webHidden/>
              </w:rPr>
              <w:tab/>
            </w:r>
            <w:r w:rsidR="00FE46D8">
              <w:rPr>
                <w:noProof/>
                <w:webHidden/>
              </w:rPr>
              <w:fldChar w:fldCharType="begin"/>
            </w:r>
            <w:r w:rsidR="00FE46D8">
              <w:rPr>
                <w:noProof/>
                <w:webHidden/>
              </w:rPr>
              <w:instrText xml:space="preserve"> PAGEREF _Toc512860941 \h </w:instrText>
            </w:r>
            <w:r w:rsidR="00FE46D8">
              <w:rPr>
                <w:noProof/>
                <w:webHidden/>
              </w:rPr>
            </w:r>
            <w:r w:rsidR="00FE46D8">
              <w:rPr>
                <w:noProof/>
                <w:webHidden/>
              </w:rPr>
              <w:fldChar w:fldCharType="separate"/>
            </w:r>
            <w:r>
              <w:rPr>
                <w:noProof/>
                <w:webHidden/>
              </w:rPr>
              <w:t>51</w:t>
            </w:r>
            <w:r w:rsidR="00FE46D8">
              <w:rPr>
                <w:noProof/>
                <w:webHidden/>
              </w:rPr>
              <w:fldChar w:fldCharType="end"/>
            </w:r>
          </w:hyperlink>
        </w:p>
        <w:p w:rsidR="00FE46D8" w:rsidRDefault="00812ADD" w:rsidP="008A5E11">
          <w:pPr>
            <w:pStyle w:val="Obsah1"/>
            <w:rPr>
              <w:noProof/>
              <w:lang w:val="cs-CZ" w:eastAsia="cs-CZ"/>
            </w:rPr>
          </w:pPr>
          <w:hyperlink w:anchor="_Toc512860942" w:history="1">
            <w:r w:rsidR="00FE46D8" w:rsidRPr="00594FD5">
              <w:rPr>
                <w:rStyle w:val="Hypertextovodkaz"/>
                <w:noProof/>
              </w:rPr>
              <w:t>6.</w:t>
            </w:r>
            <w:r w:rsidR="00FE46D8">
              <w:rPr>
                <w:noProof/>
                <w:lang w:val="cs-CZ" w:eastAsia="cs-CZ"/>
              </w:rPr>
              <w:tab/>
            </w:r>
            <w:r w:rsidR="00FE46D8" w:rsidRPr="00594FD5">
              <w:rPr>
                <w:rStyle w:val="Hypertextovodkaz"/>
                <w:noProof/>
              </w:rPr>
              <w:t>ZÁLEŽITOSTI</w:t>
            </w:r>
            <w:r w:rsidR="00FE46D8">
              <w:rPr>
                <w:noProof/>
                <w:webHidden/>
              </w:rPr>
              <w:tab/>
            </w:r>
            <w:r w:rsidR="00FE46D8">
              <w:rPr>
                <w:noProof/>
                <w:webHidden/>
              </w:rPr>
              <w:fldChar w:fldCharType="begin"/>
            </w:r>
            <w:r w:rsidR="00FE46D8">
              <w:rPr>
                <w:noProof/>
                <w:webHidden/>
              </w:rPr>
              <w:instrText xml:space="preserve"> PAGEREF _Toc512860942 \h </w:instrText>
            </w:r>
            <w:r w:rsidR="00FE46D8">
              <w:rPr>
                <w:noProof/>
                <w:webHidden/>
              </w:rPr>
            </w:r>
            <w:r w:rsidR="00FE46D8">
              <w:rPr>
                <w:noProof/>
                <w:webHidden/>
              </w:rPr>
              <w:fldChar w:fldCharType="separate"/>
            </w:r>
            <w:r>
              <w:rPr>
                <w:noProof/>
                <w:webHidden/>
              </w:rPr>
              <w:t>51</w:t>
            </w:r>
            <w:r w:rsidR="00FE46D8">
              <w:rPr>
                <w:noProof/>
                <w:webHidden/>
              </w:rPr>
              <w:fldChar w:fldCharType="end"/>
            </w:r>
          </w:hyperlink>
        </w:p>
        <w:p w:rsidR="00FE46D8" w:rsidRDefault="00812ADD" w:rsidP="008A5E11">
          <w:pPr>
            <w:pStyle w:val="Obsah1"/>
            <w:rPr>
              <w:noProof/>
              <w:lang w:val="cs-CZ" w:eastAsia="cs-CZ"/>
            </w:rPr>
          </w:pPr>
          <w:hyperlink w:anchor="_Toc512860943" w:history="1">
            <w:r w:rsidR="00FE46D8" w:rsidRPr="00594FD5">
              <w:rPr>
                <w:rStyle w:val="Hypertextovodkaz"/>
                <w:noProof/>
              </w:rPr>
              <w:t>7.</w:t>
            </w:r>
            <w:r w:rsidR="00FE46D8">
              <w:rPr>
                <w:noProof/>
                <w:lang w:val="cs-CZ" w:eastAsia="cs-CZ"/>
              </w:rPr>
              <w:tab/>
            </w:r>
            <w:r w:rsidR="00FE46D8" w:rsidRPr="00594FD5">
              <w:rPr>
                <w:rStyle w:val="Hypertextovodkaz"/>
                <w:noProof/>
              </w:rPr>
              <w:t>SHRNUTÍ PRO VEŘEJNOST (čl. 50 odst. 9 nařízení (EU) č. 1303/2013)</w:t>
            </w:r>
            <w:r w:rsidR="00FE46D8">
              <w:rPr>
                <w:noProof/>
                <w:webHidden/>
              </w:rPr>
              <w:tab/>
            </w:r>
            <w:r w:rsidR="00FE46D8">
              <w:rPr>
                <w:noProof/>
                <w:webHidden/>
              </w:rPr>
              <w:fldChar w:fldCharType="begin"/>
            </w:r>
            <w:r w:rsidR="00FE46D8">
              <w:rPr>
                <w:noProof/>
                <w:webHidden/>
              </w:rPr>
              <w:instrText xml:space="preserve"> PAGEREF _Toc512860943 \h </w:instrText>
            </w:r>
            <w:r w:rsidR="00FE46D8">
              <w:rPr>
                <w:noProof/>
                <w:webHidden/>
              </w:rPr>
            </w:r>
            <w:r w:rsidR="00FE46D8">
              <w:rPr>
                <w:noProof/>
                <w:webHidden/>
              </w:rPr>
              <w:fldChar w:fldCharType="separate"/>
            </w:r>
            <w:r>
              <w:rPr>
                <w:noProof/>
                <w:webHidden/>
              </w:rPr>
              <w:t>54</w:t>
            </w:r>
            <w:r w:rsidR="00FE46D8">
              <w:rPr>
                <w:noProof/>
                <w:webHidden/>
              </w:rPr>
              <w:fldChar w:fldCharType="end"/>
            </w:r>
          </w:hyperlink>
        </w:p>
        <w:p w:rsidR="00FE46D8" w:rsidRDefault="00812ADD" w:rsidP="008A5E11">
          <w:pPr>
            <w:pStyle w:val="Obsah1"/>
            <w:rPr>
              <w:noProof/>
              <w:lang w:val="cs-CZ" w:eastAsia="cs-CZ"/>
            </w:rPr>
          </w:pPr>
          <w:hyperlink w:anchor="_Toc512860944" w:history="1">
            <w:r w:rsidR="00FE46D8" w:rsidRPr="00594FD5">
              <w:rPr>
                <w:rStyle w:val="Hypertextovodkaz"/>
                <w:noProof/>
              </w:rPr>
              <w:t>8.</w:t>
            </w:r>
            <w:r w:rsidR="00FE46D8">
              <w:rPr>
                <w:noProof/>
                <w:lang w:val="cs-CZ" w:eastAsia="cs-CZ"/>
              </w:rPr>
              <w:tab/>
            </w:r>
            <w:r w:rsidR="00FE46D8" w:rsidRPr="00594FD5">
              <w:rPr>
                <w:rStyle w:val="Hypertextovodkaz"/>
                <w:noProof/>
              </w:rPr>
              <w:t>ZPRÁVA O IMPLEMENTACI FINANČNÍCH NÁSTROJŮ (článek 46 nařízení (EU) č. 1303/2013)</w:t>
            </w:r>
            <w:r w:rsidR="00FE46D8">
              <w:rPr>
                <w:noProof/>
                <w:webHidden/>
              </w:rPr>
              <w:tab/>
            </w:r>
            <w:r w:rsidR="00FE46D8">
              <w:rPr>
                <w:noProof/>
                <w:webHidden/>
              </w:rPr>
              <w:fldChar w:fldCharType="begin"/>
            </w:r>
            <w:r w:rsidR="00FE46D8">
              <w:rPr>
                <w:noProof/>
                <w:webHidden/>
              </w:rPr>
              <w:instrText xml:space="preserve"> PAGEREF _Toc512860944 \h </w:instrText>
            </w:r>
            <w:r w:rsidR="00FE46D8">
              <w:rPr>
                <w:noProof/>
                <w:webHidden/>
              </w:rPr>
            </w:r>
            <w:r w:rsidR="00FE46D8">
              <w:rPr>
                <w:noProof/>
                <w:webHidden/>
              </w:rPr>
              <w:fldChar w:fldCharType="separate"/>
            </w:r>
            <w:r>
              <w:rPr>
                <w:noProof/>
                <w:webHidden/>
              </w:rPr>
              <w:t>55</w:t>
            </w:r>
            <w:r w:rsidR="00FE46D8">
              <w:rPr>
                <w:noProof/>
                <w:webHidden/>
              </w:rPr>
              <w:fldChar w:fldCharType="end"/>
            </w:r>
          </w:hyperlink>
        </w:p>
        <w:p w:rsidR="00FE46D8" w:rsidRDefault="00812ADD" w:rsidP="008A5E11">
          <w:pPr>
            <w:pStyle w:val="Obsah1"/>
            <w:rPr>
              <w:noProof/>
              <w:lang w:val="cs-CZ" w:eastAsia="cs-CZ"/>
            </w:rPr>
          </w:pPr>
          <w:hyperlink w:anchor="_Toc512860945" w:history="1">
            <w:r w:rsidR="00FE46D8" w:rsidRPr="00594FD5">
              <w:rPr>
                <w:rStyle w:val="Hypertextovodkaz"/>
                <w:noProof/>
              </w:rPr>
              <w:t>9.</w:t>
            </w:r>
            <w:r w:rsidR="00FE46D8">
              <w:rPr>
                <w:noProof/>
                <w:lang w:val="cs-CZ" w:eastAsia="cs-CZ"/>
              </w:rPr>
              <w:tab/>
            </w:r>
            <w:r w:rsidR="00FE46D8" w:rsidRPr="00594FD5">
              <w:rPr>
                <w:rStyle w:val="Hypertextovodkaz"/>
                <w:noProof/>
              </w:rPr>
              <w:t>OPATŘENÍ PŘIJATÁ ZA ÚČELEM SPLNĚNÍ PŘEDBĚŽNÝCH PODMÍNEK (čl. 50 odst. 2 nařízení (EU) č. 1303/2013)</w:t>
            </w:r>
            <w:r w:rsidR="00FE46D8">
              <w:rPr>
                <w:noProof/>
                <w:webHidden/>
              </w:rPr>
              <w:tab/>
            </w:r>
            <w:r w:rsidR="00FE46D8">
              <w:rPr>
                <w:noProof/>
                <w:webHidden/>
              </w:rPr>
              <w:fldChar w:fldCharType="begin"/>
            </w:r>
            <w:r w:rsidR="00FE46D8">
              <w:rPr>
                <w:noProof/>
                <w:webHidden/>
              </w:rPr>
              <w:instrText xml:space="preserve"> PAGEREF _Toc512860945 \h </w:instrText>
            </w:r>
            <w:r w:rsidR="00FE46D8">
              <w:rPr>
                <w:noProof/>
                <w:webHidden/>
              </w:rPr>
            </w:r>
            <w:r w:rsidR="00FE46D8">
              <w:rPr>
                <w:noProof/>
                <w:webHidden/>
              </w:rPr>
              <w:fldChar w:fldCharType="separate"/>
            </w:r>
            <w:r>
              <w:rPr>
                <w:noProof/>
                <w:webHidden/>
              </w:rPr>
              <w:t>55</w:t>
            </w:r>
            <w:r w:rsidR="00FE46D8">
              <w:rPr>
                <w:noProof/>
                <w:webHidden/>
              </w:rPr>
              <w:fldChar w:fldCharType="end"/>
            </w:r>
          </w:hyperlink>
        </w:p>
        <w:p w:rsidR="00FE46D8" w:rsidRDefault="00812ADD" w:rsidP="008A5E11">
          <w:pPr>
            <w:pStyle w:val="Obsah1"/>
            <w:rPr>
              <w:noProof/>
              <w:lang w:val="cs-CZ" w:eastAsia="cs-CZ"/>
            </w:rPr>
          </w:pPr>
          <w:hyperlink w:anchor="_Toc512860946" w:history="1">
            <w:r w:rsidR="00FE46D8" w:rsidRPr="00594FD5">
              <w:rPr>
                <w:rStyle w:val="Hypertextovodkaz"/>
                <w:noProof/>
              </w:rPr>
              <w:t>10.</w:t>
            </w:r>
            <w:r w:rsidR="00FE46D8">
              <w:rPr>
                <w:noProof/>
                <w:lang w:val="cs-CZ" w:eastAsia="cs-CZ"/>
              </w:rPr>
              <w:tab/>
            </w:r>
            <w:r w:rsidR="00FE46D8" w:rsidRPr="00594FD5">
              <w:rPr>
                <w:rStyle w:val="Hypertextovodkaz"/>
                <w:noProof/>
              </w:rPr>
              <w:t>POKROK PŘI PŘÍPRAVĚ A IMPLEMENTACI VELKÝCH PROJEKTŮ A SPOLEČNÝCH AKČNÍCH PLÁNŮ (čl. 101 písm. h) a čl. 111 odst. 3 nařízení (EU) č. 1303/2013)</w:t>
            </w:r>
            <w:r w:rsidR="00FE46D8">
              <w:rPr>
                <w:noProof/>
                <w:webHidden/>
              </w:rPr>
              <w:tab/>
            </w:r>
            <w:r w:rsidR="00FE46D8">
              <w:rPr>
                <w:noProof/>
                <w:webHidden/>
              </w:rPr>
              <w:fldChar w:fldCharType="begin"/>
            </w:r>
            <w:r w:rsidR="00FE46D8">
              <w:rPr>
                <w:noProof/>
                <w:webHidden/>
              </w:rPr>
              <w:instrText xml:space="preserve"> PAGEREF _Toc512860946 \h </w:instrText>
            </w:r>
            <w:r w:rsidR="00FE46D8">
              <w:rPr>
                <w:noProof/>
                <w:webHidden/>
              </w:rPr>
            </w:r>
            <w:r w:rsidR="00FE46D8">
              <w:rPr>
                <w:noProof/>
                <w:webHidden/>
              </w:rPr>
              <w:fldChar w:fldCharType="separate"/>
            </w:r>
            <w:r>
              <w:rPr>
                <w:noProof/>
                <w:webHidden/>
              </w:rPr>
              <w:t>56</w:t>
            </w:r>
            <w:r w:rsidR="00FE46D8">
              <w:rPr>
                <w:noProof/>
                <w:webHidden/>
              </w:rPr>
              <w:fldChar w:fldCharType="end"/>
            </w:r>
          </w:hyperlink>
        </w:p>
        <w:p w:rsidR="00FE46D8" w:rsidRDefault="00812ADD" w:rsidP="008A5E11">
          <w:pPr>
            <w:pStyle w:val="Obsah2"/>
            <w:rPr>
              <w:noProof/>
              <w:lang w:val="cs-CZ" w:eastAsia="cs-CZ"/>
            </w:rPr>
          </w:pPr>
          <w:hyperlink w:anchor="_Toc512860947" w:history="1">
            <w:r w:rsidR="00FE46D8" w:rsidRPr="00594FD5">
              <w:rPr>
                <w:rStyle w:val="Hypertextovodkaz"/>
                <w:noProof/>
              </w:rPr>
              <w:t>10.1.</w:t>
            </w:r>
            <w:r w:rsidR="00FE46D8">
              <w:rPr>
                <w:noProof/>
                <w:lang w:val="cs-CZ" w:eastAsia="cs-CZ"/>
              </w:rPr>
              <w:tab/>
            </w:r>
            <w:r w:rsidR="00FE46D8" w:rsidRPr="00594FD5">
              <w:rPr>
                <w:rStyle w:val="Hypertextovodkaz"/>
                <w:noProof/>
              </w:rPr>
              <w:t>Velké projekty</w:t>
            </w:r>
            <w:r w:rsidR="00FE46D8">
              <w:rPr>
                <w:noProof/>
                <w:webHidden/>
              </w:rPr>
              <w:tab/>
            </w:r>
            <w:r w:rsidR="00FE46D8">
              <w:rPr>
                <w:noProof/>
                <w:webHidden/>
              </w:rPr>
              <w:fldChar w:fldCharType="begin"/>
            </w:r>
            <w:r w:rsidR="00FE46D8">
              <w:rPr>
                <w:noProof/>
                <w:webHidden/>
              </w:rPr>
              <w:instrText xml:space="preserve"> PAGEREF _Toc512860947 \h </w:instrText>
            </w:r>
            <w:r w:rsidR="00FE46D8">
              <w:rPr>
                <w:noProof/>
                <w:webHidden/>
              </w:rPr>
            </w:r>
            <w:r w:rsidR="00FE46D8">
              <w:rPr>
                <w:noProof/>
                <w:webHidden/>
              </w:rPr>
              <w:fldChar w:fldCharType="separate"/>
            </w:r>
            <w:r>
              <w:rPr>
                <w:noProof/>
                <w:webHidden/>
              </w:rPr>
              <w:t>56</w:t>
            </w:r>
            <w:r w:rsidR="00FE46D8">
              <w:rPr>
                <w:noProof/>
                <w:webHidden/>
              </w:rPr>
              <w:fldChar w:fldCharType="end"/>
            </w:r>
          </w:hyperlink>
        </w:p>
        <w:p w:rsidR="00FE46D8" w:rsidRDefault="00812ADD" w:rsidP="008A5E11">
          <w:pPr>
            <w:pStyle w:val="Obsah2"/>
            <w:rPr>
              <w:noProof/>
              <w:lang w:val="cs-CZ" w:eastAsia="cs-CZ"/>
            </w:rPr>
          </w:pPr>
          <w:hyperlink w:anchor="_Toc512860948" w:history="1">
            <w:r w:rsidR="00FE46D8" w:rsidRPr="00594FD5">
              <w:rPr>
                <w:rStyle w:val="Hypertextovodkaz"/>
                <w:noProof/>
              </w:rPr>
              <w:t>10.2.</w:t>
            </w:r>
            <w:r w:rsidR="00FE46D8">
              <w:rPr>
                <w:noProof/>
                <w:lang w:val="cs-CZ" w:eastAsia="cs-CZ"/>
              </w:rPr>
              <w:tab/>
            </w:r>
            <w:r w:rsidR="00FE46D8" w:rsidRPr="00594FD5">
              <w:rPr>
                <w:rStyle w:val="Hypertextovodkaz"/>
                <w:noProof/>
              </w:rPr>
              <w:t>Společné akční plány</w:t>
            </w:r>
            <w:r w:rsidR="00FE46D8">
              <w:rPr>
                <w:noProof/>
                <w:webHidden/>
              </w:rPr>
              <w:tab/>
            </w:r>
            <w:r w:rsidR="00FE46D8">
              <w:rPr>
                <w:noProof/>
                <w:webHidden/>
              </w:rPr>
              <w:fldChar w:fldCharType="begin"/>
            </w:r>
            <w:r w:rsidR="00FE46D8">
              <w:rPr>
                <w:noProof/>
                <w:webHidden/>
              </w:rPr>
              <w:instrText xml:space="preserve"> PAGEREF _Toc512860948 \h </w:instrText>
            </w:r>
            <w:r w:rsidR="00FE46D8">
              <w:rPr>
                <w:noProof/>
                <w:webHidden/>
              </w:rPr>
            </w:r>
            <w:r w:rsidR="00FE46D8">
              <w:rPr>
                <w:noProof/>
                <w:webHidden/>
              </w:rPr>
              <w:fldChar w:fldCharType="separate"/>
            </w:r>
            <w:r>
              <w:rPr>
                <w:noProof/>
                <w:webHidden/>
              </w:rPr>
              <w:t>57</w:t>
            </w:r>
            <w:r w:rsidR="00FE46D8">
              <w:rPr>
                <w:noProof/>
                <w:webHidden/>
              </w:rPr>
              <w:fldChar w:fldCharType="end"/>
            </w:r>
          </w:hyperlink>
        </w:p>
        <w:p w:rsidR="00FE46D8" w:rsidRDefault="00FE46D8">
          <w:r>
            <w:rPr>
              <w:b/>
              <w:bCs/>
            </w:rPr>
            <w:fldChar w:fldCharType="end"/>
          </w:r>
        </w:p>
      </w:sdtContent>
    </w:sdt>
    <w:p w:rsidR="00457252" w:rsidRDefault="00457252">
      <w:pPr>
        <w:tabs>
          <w:tab w:val="left" w:pos="988"/>
          <w:tab w:val="right" w:leader="dot" w:pos="8942"/>
        </w:tabs>
        <w:ind w:left="331" w:right="105"/>
        <w:jc w:val="both"/>
        <w:rPr>
          <w:rFonts w:ascii="Calibri" w:eastAsia="Calibri" w:hAnsi="Calibri" w:cs="Calibri"/>
          <w:color w:val="0563C1"/>
          <w:u w:val="single"/>
        </w:rPr>
      </w:pPr>
    </w:p>
    <w:p w:rsidR="00457252" w:rsidRDefault="00457252">
      <w:pPr>
        <w:keepNext/>
        <w:keepLines/>
        <w:tabs>
          <w:tab w:val="left" w:pos="675"/>
        </w:tabs>
        <w:spacing w:before="120" w:after="120" w:line="264" w:lineRule="auto"/>
        <w:ind w:left="111" w:right="105"/>
        <w:jc w:val="both"/>
        <w:rPr>
          <w:rFonts w:ascii="Arial" w:eastAsia="Arial" w:hAnsi="Arial" w:cs="Arial"/>
          <w:color w:val="000000"/>
          <w:sz w:val="36"/>
        </w:rPr>
      </w:pPr>
      <w:bookmarkStart w:id="3" w:name="_GoBack"/>
      <w:bookmarkEnd w:id="3"/>
    </w:p>
    <w:p w:rsidR="00457252" w:rsidRDefault="00697A5C">
      <w:r>
        <w:br w:type="page"/>
      </w:r>
    </w:p>
    <w:p w:rsidR="00457252" w:rsidRPr="00743145" w:rsidRDefault="00697A5C" w:rsidP="00743145">
      <w:pPr>
        <w:pStyle w:val="Nadpis1"/>
        <w:numPr>
          <w:ilvl w:val="0"/>
          <w:numId w:val="0"/>
        </w:numPr>
        <w:ind w:left="108"/>
        <w:rPr>
          <w:sz w:val="32"/>
        </w:rPr>
      </w:pPr>
      <w:bookmarkStart w:id="4" w:name="_Toc471474440"/>
      <w:bookmarkStart w:id="5" w:name="_Toc512860932"/>
      <w:r w:rsidRPr="00743145">
        <w:rPr>
          <w:sz w:val="32"/>
        </w:rPr>
        <w:lastRenderedPageBreak/>
        <w:t>Základní informace</w:t>
      </w:r>
      <w:bookmarkEnd w:id="4"/>
      <w:bookmarkEnd w:id="5"/>
    </w:p>
    <w:p w:rsidR="00457252" w:rsidRDefault="00697A5C" w:rsidP="00743145">
      <w:pPr>
        <w:tabs>
          <w:tab w:val="left" w:pos="2552"/>
        </w:tabs>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 xml:space="preserve">Sledované období </w:t>
      </w:r>
      <w:proofErr w:type="gramStart"/>
      <w:r>
        <w:rPr>
          <w:rFonts w:ascii="Arial" w:eastAsia="Arial" w:hAnsi="Arial" w:cs="Arial"/>
          <w:b/>
          <w:bCs/>
          <w:color w:val="000000"/>
          <w:sz w:val="20"/>
        </w:rPr>
        <w:t>od</w:t>
      </w:r>
      <w:proofErr w:type="gramEnd"/>
      <w:r>
        <w:rPr>
          <w:rFonts w:ascii="Arial" w:eastAsia="Arial" w:hAnsi="Arial" w:cs="Arial"/>
          <w:color w:val="000000"/>
          <w:sz w:val="20"/>
        </w:rPr>
        <w:t>:</w:t>
      </w:r>
      <w:r>
        <w:rPr>
          <w:rFonts w:ascii="Arial" w:eastAsia="Arial" w:hAnsi="Arial" w:cs="Arial"/>
          <w:color w:val="000000"/>
          <w:sz w:val="20"/>
        </w:rPr>
        <w:tab/>
        <w:t>01. 01. 2014</w:t>
      </w:r>
    </w:p>
    <w:p w:rsidR="00457252" w:rsidRDefault="00697A5C" w:rsidP="00743145">
      <w:pPr>
        <w:tabs>
          <w:tab w:val="left" w:pos="2552"/>
        </w:tabs>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Sledované období do</w:t>
      </w:r>
      <w:r>
        <w:rPr>
          <w:rFonts w:ascii="Arial" w:eastAsia="Arial" w:hAnsi="Arial" w:cs="Arial"/>
          <w:color w:val="000000"/>
          <w:sz w:val="20"/>
        </w:rPr>
        <w:t>:</w:t>
      </w:r>
      <w:r>
        <w:rPr>
          <w:rFonts w:ascii="Arial" w:eastAsia="Arial" w:hAnsi="Arial" w:cs="Arial"/>
          <w:color w:val="000000"/>
          <w:sz w:val="20"/>
        </w:rPr>
        <w:tab/>
        <w:t>31. 12. 2017</w:t>
      </w:r>
    </w:p>
    <w:p w:rsidR="00457252" w:rsidRDefault="00697A5C" w:rsidP="00743145">
      <w:pPr>
        <w:spacing w:after="120" w:line="312" w:lineRule="auto"/>
        <w:ind w:left="111" w:right="105"/>
        <w:jc w:val="both"/>
        <w:rPr>
          <w:rFonts w:ascii="Arial" w:eastAsia="Arial" w:hAnsi="Arial" w:cs="Arial"/>
          <w:b/>
          <w:bCs/>
          <w:color w:val="000000"/>
          <w:sz w:val="20"/>
        </w:rPr>
      </w:pPr>
      <w:r>
        <w:rPr>
          <w:rFonts w:ascii="Arial" w:eastAsia="Arial" w:hAnsi="Arial" w:cs="Arial"/>
          <w:b/>
          <w:bCs/>
          <w:color w:val="000000"/>
          <w:sz w:val="20"/>
        </w:rPr>
        <w:t>Kontaktní údaje ve věci zprávy:</w:t>
      </w:r>
    </w:p>
    <w:p w:rsidR="00457252" w:rsidRDefault="00743145" w:rsidP="00743145">
      <w:pPr>
        <w:tabs>
          <w:tab w:val="left" w:pos="1276"/>
        </w:tabs>
        <w:spacing w:after="120" w:line="312" w:lineRule="auto"/>
        <w:ind w:left="142" w:right="105"/>
        <w:jc w:val="both"/>
        <w:rPr>
          <w:rFonts w:ascii="Arial" w:eastAsia="Arial" w:hAnsi="Arial" w:cs="Arial"/>
          <w:color w:val="000000"/>
          <w:sz w:val="20"/>
        </w:rPr>
      </w:pPr>
      <w:r>
        <w:rPr>
          <w:rFonts w:ascii="Arial" w:eastAsia="Arial" w:hAnsi="Arial" w:cs="Arial"/>
          <w:color w:val="000000"/>
          <w:sz w:val="20"/>
        </w:rPr>
        <w:t>Jméno:</w:t>
      </w:r>
      <w:r>
        <w:rPr>
          <w:rFonts w:ascii="Arial" w:eastAsia="Arial" w:hAnsi="Arial" w:cs="Arial"/>
          <w:color w:val="000000"/>
          <w:sz w:val="20"/>
        </w:rPr>
        <w:tab/>
      </w:r>
      <w:r w:rsidR="00697A5C">
        <w:rPr>
          <w:rFonts w:ascii="Arial" w:eastAsia="Arial" w:hAnsi="Arial" w:cs="Arial"/>
          <w:color w:val="000000"/>
          <w:sz w:val="20"/>
        </w:rPr>
        <w:t>Monika</w:t>
      </w:r>
    </w:p>
    <w:p w:rsidR="00457252" w:rsidRDefault="00697A5C" w:rsidP="00743145">
      <w:pPr>
        <w:tabs>
          <w:tab w:val="left" w:pos="1276"/>
        </w:tabs>
        <w:spacing w:after="120" w:line="312" w:lineRule="auto"/>
        <w:ind w:left="142" w:right="105"/>
        <w:jc w:val="both"/>
        <w:rPr>
          <w:rFonts w:ascii="Arial" w:eastAsia="Arial" w:hAnsi="Arial" w:cs="Arial"/>
          <w:color w:val="000000"/>
          <w:sz w:val="20"/>
        </w:rPr>
      </w:pPr>
      <w:r>
        <w:rPr>
          <w:rFonts w:ascii="Arial" w:eastAsia="Arial" w:hAnsi="Arial" w:cs="Arial"/>
          <w:color w:val="000000"/>
          <w:sz w:val="20"/>
        </w:rPr>
        <w:t>Příjmení:</w:t>
      </w:r>
      <w:r w:rsidR="00743145">
        <w:rPr>
          <w:rFonts w:ascii="Arial" w:eastAsia="Arial" w:hAnsi="Arial" w:cs="Arial"/>
          <w:color w:val="000000"/>
          <w:sz w:val="20"/>
        </w:rPr>
        <w:tab/>
      </w:r>
      <w:r>
        <w:rPr>
          <w:rFonts w:ascii="Arial" w:eastAsia="Arial" w:hAnsi="Arial" w:cs="Arial"/>
          <w:color w:val="000000"/>
          <w:sz w:val="20"/>
        </w:rPr>
        <w:t>Keřková</w:t>
      </w:r>
    </w:p>
    <w:p w:rsidR="00457252" w:rsidRDefault="00697A5C" w:rsidP="00743145">
      <w:pPr>
        <w:tabs>
          <w:tab w:val="left" w:pos="2552"/>
        </w:tabs>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Zdroj dat</w:t>
      </w:r>
      <w:r w:rsidR="00743145">
        <w:rPr>
          <w:rFonts w:ascii="Arial" w:eastAsia="Arial" w:hAnsi="Arial" w:cs="Arial"/>
          <w:color w:val="000000"/>
          <w:sz w:val="20"/>
        </w:rPr>
        <w:t>:</w:t>
      </w:r>
      <w:r w:rsidR="00743145">
        <w:rPr>
          <w:rFonts w:ascii="Arial" w:eastAsia="Arial" w:hAnsi="Arial" w:cs="Arial"/>
          <w:color w:val="000000"/>
          <w:sz w:val="20"/>
        </w:rPr>
        <w:tab/>
      </w:r>
      <w:r>
        <w:rPr>
          <w:rFonts w:ascii="Arial" w:eastAsia="Arial" w:hAnsi="Arial" w:cs="Arial"/>
          <w:color w:val="000000"/>
          <w:sz w:val="20"/>
        </w:rPr>
        <w:t xml:space="preserve">MS2014+ </w:t>
      </w:r>
    </w:p>
    <w:p w:rsidR="00457252" w:rsidRDefault="00697A5C" w:rsidP="00743145">
      <w:pPr>
        <w:tabs>
          <w:tab w:val="left" w:pos="2552"/>
        </w:tabs>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 xml:space="preserve">Data platná </w:t>
      </w:r>
      <w:proofErr w:type="gramStart"/>
      <w:r>
        <w:rPr>
          <w:rFonts w:ascii="Arial" w:eastAsia="Arial" w:hAnsi="Arial" w:cs="Arial"/>
          <w:b/>
          <w:bCs/>
          <w:color w:val="000000"/>
          <w:sz w:val="20"/>
        </w:rPr>
        <w:t>od</w:t>
      </w:r>
      <w:proofErr w:type="gramEnd"/>
      <w:r>
        <w:rPr>
          <w:rFonts w:ascii="Arial" w:eastAsia="Arial" w:hAnsi="Arial" w:cs="Arial"/>
          <w:color w:val="000000"/>
          <w:sz w:val="20"/>
        </w:rPr>
        <w:t>:</w:t>
      </w:r>
      <w:r w:rsidR="00743145">
        <w:rPr>
          <w:rFonts w:ascii="Arial" w:eastAsia="Arial" w:hAnsi="Arial" w:cs="Arial"/>
          <w:color w:val="000000"/>
          <w:sz w:val="20"/>
        </w:rPr>
        <w:tab/>
      </w:r>
      <w:r>
        <w:rPr>
          <w:rFonts w:ascii="Arial" w:eastAsia="Arial" w:hAnsi="Arial" w:cs="Arial"/>
          <w:color w:val="000000"/>
          <w:sz w:val="20"/>
        </w:rPr>
        <w:t>01. 01. 2014</w:t>
      </w:r>
    </w:p>
    <w:p w:rsidR="00457252" w:rsidRDefault="00697A5C" w:rsidP="00743145">
      <w:pPr>
        <w:tabs>
          <w:tab w:val="left" w:pos="2552"/>
        </w:tabs>
        <w:spacing w:after="120" w:line="312" w:lineRule="auto"/>
        <w:ind w:left="111" w:right="105"/>
        <w:jc w:val="both"/>
        <w:rPr>
          <w:rFonts w:ascii="Arial" w:eastAsia="Arial" w:hAnsi="Arial" w:cs="Arial"/>
          <w:color w:val="000000"/>
          <w:sz w:val="20"/>
        </w:rPr>
      </w:pPr>
      <w:r>
        <w:rPr>
          <w:rFonts w:ascii="Arial" w:eastAsia="Arial" w:hAnsi="Arial" w:cs="Arial"/>
          <w:b/>
          <w:bCs/>
          <w:color w:val="000000"/>
          <w:sz w:val="20"/>
        </w:rPr>
        <w:t>Data platná k</w:t>
      </w:r>
      <w:r w:rsidR="00743145">
        <w:rPr>
          <w:rFonts w:ascii="Arial" w:eastAsia="Arial" w:hAnsi="Arial" w:cs="Arial"/>
          <w:color w:val="000000"/>
          <w:sz w:val="20"/>
        </w:rPr>
        <w:t>:</w:t>
      </w:r>
      <w:r w:rsidR="00743145">
        <w:rPr>
          <w:rFonts w:ascii="Arial" w:eastAsia="Arial" w:hAnsi="Arial" w:cs="Arial"/>
          <w:color w:val="000000"/>
          <w:sz w:val="20"/>
        </w:rPr>
        <w:tab/>
      </w:r>
      <w:r>
        <w:rPr>
          <w:rFonts w:ascii="Arial" w:eastAsia="Arial" w:hAnsi="Arial" w:cs="Arial"/>
          <w:color w:val="000000"/>
          <w:sz w:val="20"/>
        </w:rPr>
        <w:t>31. 12. 2017</w:t>
      </w:r>
    </w:p>
    <w:p w:rsidR="00457252" w:rsidRDefault="00697A5C">
      <w:r>
        <w:br w:type="page"/>
      </w:r>
    </w:p>
    <w:p w:rsidR="00457252" w:rsidRPr="00743145" w:rsidRDefault="00697A5C" w:rsidP="00743145">
      <w:pPr>
        <w:pStyle w:val="Nadpis1"/>
      </w:pPr>
      <w:bookmarkStart w:id="6" w:name="_Toc512860933"/>
      <w:r w:rsidRPr="00743145">
        <w:lastRenderedPageBreak/>
        <w:t>IDENTIFIKACE VÝROČNÍ/ZÁVĚREČNÉ ZPRÁVY O IMPLEMENTACI</w:t>
      </w:r>
      <w:bookmarkEnd w:id="6"/>
    </w:p>
    <w:tbl>
      <w:tblPr>
        <w:tblW w:w="0" w:type="auto"/>
        <w:tblInd w:w="3" w:type="dxa"/>
        <w:tblLayout w:type="fixed"/>
        <w:tblCellMar>
          <w:left w:w="0" w:type="dxa"/>
          <w:right w:w="0" w:type="dxa"/>
        </w:tblCellMar>
        <w:tblLook w:val="04A0" w:firstRow="1" w:lastRow="0" w:firstColumn="1" w:lastColumn="0" w:noHBand="0" w:noVBand="1"/>
      </w:tblPr>
      <w:tblGrid>
        <w:gridCol w:w="2943"/>
        <w:gridCol w:w="6096"/>
      </w:tblGrid>
      <w:tr w:rsidR="00457252">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rPr>
            </w:pPr>
            <w:r>
              <w:rPr>
                <w:rFonts w:ascii="Arial" w:eastAsia="Arial" w:hAnsi="Arial" w:cs="Arial"/>
                <w:color w:val="000000"/>
              </w:rPr>
              <w:t>CCI</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sz w:val="20"/>
              </w:rPr>
            </w:pPr>
            <w:r>
              <w:rPr>
                <w:rFonts w:ascii="Arial" w:eastAsia="Arial" w:hAnsi="Arial" w:cs="Arial"/>
                <w:color w:val="000000"/>
                <w:sz w:val="20"/>
              </w:rPr>
              <w:t>2014CZ16M2OP001</w:t>
            </w:r>
          </w:p>
        </w:tc>
      </w:tr>
      <w:tr w:rsidR="00457252">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rPr>
            </w:pPr>
            <w:r>
              <w:rPr>
                <w:rFonts w:ascii="Arial" w:eastAsia="Arial" w:hAnsi="Arial" w:cs="Arial"/>
                <w:color w:val="000000"/>
              </w:rPr>
              <w:t>Název</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sz w:val="20"/>
              </w:rPr>
            </w:pPr>
            <w:r>
              <w:rPr>
                <w:rFonts w:ascii="Arial" w:eastAsia="Arial" w:hAnsi="Arial" w:cs="Arial"/>
                <w:color w:val="000000"/>
                <w:sz w:val="20"/>
              </w:rPr>
              <w:t>Výroční zpráva o implementaci programu 07 Operační program Praha - pól růstu ČR za rok 2017</w:t>
            </w:r>
          </w:p>
        </w:tc>
      </w:tr>
      <w:tr w:rsidR="00457252">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rPr>
            </w:pPr>
            <w:r>
              <w:rPr>
                <w:rFonts w:ascii="Arial" w:eastAsia="Arial" w:hAnsi="Arial" w:cs="Arial"/>
                <w:color w:val="000000"/>
              </w:rPr>
              <w:t>Verze</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8E0B6D" w:rsidP="00743145">
            <w:pPr>
              <w:keepLines/>
              <w:spacing w:before="120"/>
              <w:ind w:left="108" w:right="108"/>
            </w:pPr>
            <w:r>
              <w:rPr>
                <w:rFonts w:ascii="Arial" w:eastAsia="Arial" w:hAnsi="Arial" w:cs="Arial"/>
                <w:color w:val="000000"/>
                <w:sz w:val="20"/>
              </w:rPr>
              <w:t>final</w:t>
            </w:r>
          </w:p>
        </w:tc>
      </w:tr>
      <w:tr w:rsidR="00457252">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rPr>
            </w:pPr>
            <w:r>
              <w:rPr>
                <w:rFonts w:ascii="Arial" w:eastAsia="Arial" w:hAnsi="Arial" w:cs="Arial"/>
                <w:color w:val="000000"/>
              </w:rPr>
              <w:t>Vykazovaný rok</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sz w:val="20"/>
              </w:rPr>
            </w:pPr>
            <w:r>
              <w:rPr>
                <w:rFonts w:ascii="Arial" w:eastAsia="Arial" w:hAnsi="Arial" w:cs="Arial"/>
                <w:color w:val="000000"/>
                <w:sz w:val="20"/>
              </w:rPr>
              <w:t>2017</w:t>
            </w:r>
          </w:p>
        </w:tc>
      </w:tr>
      <w:tr w:rsidR="00457252">
        <w:trPr>
          <w:cantSplit/>
        </w:trPr>
        <w:tc>
          <w:tcPr>
            <w:tcW w:w="29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spacing w:before="120"/>
              <w:ind w:left="108" w:right="108"/>
              <w:rPr>
                <w:rFonts w:ascii="Arial" w:eastAsia="Arial" w:hAnsi="Arial" w:cs="Arial"/>
                <w:color w:val="000000"/>
              </w:rPr>
            </w:pPr>
            <w:r>
              <w:rPr>
                <w:rFonts w:ascii="Arial" w:eastAsia="Arial" w:hAnsi="Arial" w:cs="Arial"/>
                <w:color w:val="000000"/>
              </w:rPr>
              <w:t>Datum schválení zprávy monitorovacím výborem</w:t>
            </w:r>
          </w:p>
        </w:tc>
        <w:tc>
          <w:tcPr>
            <w:tcW w:w="60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743145">
            <w:pPr>
              <w:keepLines/>
              <w:spacing w:before="120"/>
              <w:ind w:left="108" w:right="108"/>
              <w:rPr>
                <w:rFonts w:ascii="Arial" w:eastAsia="Arial" w:hAnsi="Arial" w:cs="Arial"/>
                <w:color w:val="000000"/>
                <w:sz w:val="20"/>
              </w:rPr>
            </w:pPr>
            <w:r>
              <w:rPr>
                <w:rFonts w:ascii="Arial" w:eastAsia="Arial" w:hAnsi="Arial" w:cs="Arial"/>
                <w:color w:val="000000"/>
                <w:sz w:val="20"/>
              </w:rPr>
              <w:t>25.4.2018</w:t>
            </w:r>
          </w:p>
        </w:tc>
      </w:tr>
    </w:tbl>
    <w:p w:rsidR="00457252" w:rsidRDefault="00697A5C" w:rsidP="00DA591F">
      <w:pPr>
        <w:pStyle w:val="Nadpis1"/>
      </w:pPr>
      <w:bookmarkStart w:id="7" w:name="_Toc512860934"/>
      <w:r>
        <w:t>PŘEHLED IMPLEMENTACE OPERAČNÍHO PROGRAMU (čl. 50 odst. 2 a čl. 111 odst. 3 písm. a) nařízení (EU) č. 1303/2013)</w:t>
      </w:r>
      <w:bookmarkEnd w:id="7"/>
    </w:p>
    <w:p w:rsidR="00743145" w:rsidRPr="00743145" w:rsidRDefault="00697A5C">
      <w:pPr>
        <w:spacing w:after="120" w:line="264" w:lineRule="auto"/>
        <w:ind w:left="111" w:right="105"/>
        <w:jc w:val="both"/>
        <w:rPr>
          <w:rFonts w:ascii="Arial" w:eastAsia="Arial" w:hAnsi="Arial" w:cs="Arial"/>
          <w:b/>
          <w:color w:val="000000"/>
          <w:sz w:val="20"/>
          <w:u w:val="single"/>
        </w:rPr>
      </w:pPr>
      <w:r>
        <w:br/>
      </w:r>
      <w:r w:rsidRPr="00743145">
        <w:rPr>
          <w:rFonts w:ascii="Arial" w:eastAsia="Arial" w:hAnsi="Arial" w:cs="Arial"/>
          <w:b/>
          <w:color w:val="000000"/>
          <w:sz w:val="20"/>
          <w:u w:val="single"/>
        </w:rPr>
        <w:t>Dosažený pokrok v prioritní ose 1</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 xml:space="preserve">V roce 2017 byly vyhlášeny 2 výzvy v PO1 v souladu s harmonogramem výzev. Výzvy PO1 jsou spolufinancováni z ERDF. </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 xml:space="preserve">V rámci SC 1.1 byla vyhlášena výzva č. 29 (průběžná otevřená výzvy s alokací 400 mil. Kč a datem ukončení příjmu žádostí 28. 3. 2018, k 31. 12. 2017 byl podán 1 projekt za cca 73 mil. Kč CZV) </w:t>
      </w:r>
      <w:r w:rsidR="00743145">
        <w:rPr>
          <w:rFonts w:ascii="Arial" w:eastAsia="Arial" w:hAnsi="Arial" w:cs="Arial"/>
          <w:color w:val="000000"/>
          <w:sz w:val="20"/>
        </w:rPr>
        <w:br/>
      </w:r>
      <w:r>
        <w:rPr>
          <w:rFonts w:ascii="Arial" w:eastAsia="Arial" w:hAnsi="Arial" w:cs="Arial"/>
          <w:color w:val="000000"/>
          <w:sz w:val="20"/>
        </w:rPr>
        <w:t xml:space="preserve">a výzva č. 32 (kolová výzva s alokací 300 mil. Kč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s datem ukončení příjmu žádostí 14. 2. 2018, </w:t>
      </w:r>
      <w:r w:rsidR="00743145">
        <w:rPr>
          <w:rFonts w:ascii="Arial" w:eastAsia="Arial" w:hAnsi="Arial" w:cs="Arial"/>
          <w:color w:val="000000"/>
          <w:sz w:val="20"/>
        </w:rPr>
        <w:br/>
      </w:r>
      <w:r>
        <w:rPr>
          <w:rFonts w:ascii="Arial" w:eastAsia="Arial" w:hAnsi="Arial" w:cs="Arial"/>
          <w:color w:val="000000"/>
          <w:sz w:val="20"/>
        </w:rPr>
        <w:t xml:space="preserve">k tomu datu ŘO obdržel 20 žádostí s 434 mil. Kč CZV). Jednání dílčí plánovací komise OP PPR pro PO1 o podobě a zaměření výzev probíhala vždy před vyhlášením jednotlivých výzev (30. 5. 2017 </w:t>
      </w:r>
      <w:r w:rsidR="00743145">
        <w:rPr>
          <w:rFonts w:ascii="Arial" w:eastAsia="Arial" w:hAnsi="Arial" w:cs="Arial"/>
          <w:color w:val="000000"/>
          <w:sz w:val="20"/>
        </w:rPr>
        <w:br/>
      </w:r>
      <w:r>
        <w:rPr>
          <w:rFonts w:ascii="Arial" w:eastAsia="Arial" w:hAnsi="Arial" w:cs="Arial"/>
          <w:color w:val="000000"/>
          <w:sz w:val="20"/>
        </w:rPr>
        <w:t xml:space="preserve">a 16. 8. 2017). Obě výzvy navazují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již dříve ukončené výzvy, proto v jejich souvislosti i na základě odborné debaty s žadateli o nastavení těchto výzev bylo upraveno nastavení nových výzev i byla aktualizována související dokumentace OP PPR (např. aktualizace metodiky zpracování SP, věcných hodnotících kritérií (na jednání MV OP PPR), zpracování metodiky pro využití inovačního partnerství, příprava vzoru analýzy proveditelnosti atd.).</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V roce 2017 bylo také ukončeno a vyhodnoceno několik výzev v rámci PO1. Jedná se o 8. </w:t>
      </w:r>
      <w:proofErr w:type="gramStart"/>
      <w:r w:rsidRPr="008E0B6D">
        <w:rPr>
          <w:rFonts w:ascii="Arial" w:eastAsia="Arial" w:hAnsi="Arial" w:cs="Arial"/>
          <w:color w:val="000000"/>
          <w:sz w:val="20"/>
        </w:rPr>
        <w:t>výzvu</w:t>
      </w:r>
      <w:proofErr w:type="gramEnd"/>
      <w:r w:rsidRPr="008E0B6D">
        <w:rPr>
          <w:rFonts w:ascii="Arial" w:eastAsia="Arial" w:hAnsi="Arial" w:cs="Arial"/>
          <w:color w:val="000000"/>
          <w:sz w:val="20"/>
        </w:rPr>
        <w:t xml:space="preserve"> </w:t>
      </w:r>
      <w:r w:rsidR="00743145" w:rsidRPr="008E0B6D">
        <w:rPr>
          <w:rFonts w:ascii="Arial" w:eastAsia="Arial" w:hAnsi="Arial" w:cs="Arial"/>
          <w:color w:val="000000"/>
          <w:sz w:val="20"/>
        </w:rPr>
        <w:br/>
      </w:r>
      <w:r w:rsidRPr="008E0B6D">
        <w:rPr>
          <w:rFonts w:ascii="Arial" w:eastAsia="Arial" w:hAnsi="Arial" w:cs="Arial"/>
          <w:color w:val="000000"/>
          <w:sz w:val="20"/>
        </w:rPr>
        <w:t xml:space="preserve">(SC 1.1, příjem žádostí ukončen k 31. 3. 2017, předloženo 10 žádostí, 8 projektů bylo schváleno ve výši 249 mil. Kč CZV), 9. </w:t>
      </w:r>
      <w:proofErr w:type="gramStart"/>
      <w:r w:rsidRPr="008E0B6D">
        <w:rPr>
          <w:rFonts w:ascii="Arial" w:eastAsia="Arial" w:hAnsi="Arial" w:cs="Arial"/>
          <w:color w:val="000000"/>
          <w:sz w:val="20"/>
        </w:rPr>
        <w:t>výzvu</w:t>
      </w:r>
      <w:proofErr w:type="gramEnd"/>
      <w:r w:rsidRPr="008E0B6D">
        <w:rPr>
          <w:rFonts w:ascii="Arial" w:eastAsia="Arial" w:hAnsi="Arial" w:cs="Arial"/>
          <w:color w:val="000000"/>
          <w:sz w:val="20"/>
        </w:rPr>
        <w:t xml:space="preserve"> (SC 1.1, příjem žádostí ukončen k 31. 5. 2017, předložena 1 žádost, 1 projekt schválen ve výši 300 mil. Kč CZV), 11. </w:t>
      </w:r>
      <w:proofErr w:type="gramStart"/>
      <w:r w:rsidRPr="008E0B6D">
        <w:rPr>
          <w:rFonts w:ascii="Arial" w:eastAsia="Arial" w:hAnsi="Arial" w:cs="Arial"/>
          <w:color w:val="000000"/>
          <w:sz w:val="20"/>
        </w:rPr>
        <w:t>výzvu</w:t>
      </w:r>
      <w:proofErr w:type="gramEnd"/>
      <w:r w:rsidRPr="008E0B6D">
        <w:rPr>
          <w:rFonts w:ascii="Arial" w:eastAsia="Arial" w:hAnsi="Arial" w:cs="Arial"/>
          <w:color w:val="000000"/>
          <w:sz w:val="20"/>
        </w:rPr>
        <w:t xml:space="preserve"> (SC 1.2, příjem žádostí ukončen k 31. 5. 2017, předložena 1 žádost, 1 projekt schválen ve výši 300 mil. Kč CZV), 24. </w:t>
      </w:r>
      <w:proofErr w:type="gramStart"/>
      <w:r w:rsidRPr="008E0B6D">
        <w:rPr>
          <w:rFonts w:ascii="Arial" w:eastAsia="Arial" w:hAnsi="Arial" w:cs="Arial"/>
          <w:color w:val="000000"/>
          <w:sz w:val="20"/>
        </w:rPr>
        <w:t>výzvu</w:t>
      </w:r>
      <w:proofErr w:type="gramEnd"/>
      <w:r w:rsidRPr="008E0B6D">
        <w:rPr>
          <w:rFonts w:ascii="Arial" w:eastAsia="Arial" w:hAnsi="Arial" w:cs="Arial"/>
          <w:color w:val="000000"/>
          <w:sz w:val="20"/>
        </w:rPr>
        <w:t xml:space="preserve"> (SC 1.1, příjem žádostí ukončen k 28. 2. 2017, předloženo 21 žádostí, 21 projektů bylo schváleno ve výši 413 mil. Kč CZV) a 26. </w:t>
      </w:r>
      <w:proofErr w:type="gramStart"/>
      <w:r w:rsidRPr="008E0B6D">
        <w:rPr>
          <w:rFonts w:ascii="Arial" w:eastAsia="Arial" w:hAnsi="Arial" w:cs="Arial"/>
          <w:color w:val="000000"/>
          <w:sz w:val="20"/>
        </w:rPr>
        <w:t>výzvu</w:t>
      </w:r>
      <w:proofErr w:type="gramEnd"/>
      <w:r w:rsidRPr="008E0B6D">
        <w:rPr>
          <w:rFonts w:ascii="Arial" w:eastAsia="Arial" w:hAnsi="Arial" w:cs="Arial"/>
          <w:color w:val="000000"/>
          <w:sz w:val="20"/>
        </w:rPr>
        <w:t xml:space="preserve"> (SC 1.1, příjem žádostí ukončen k 31. 5. 2017, předloženo 14 žádostí, 5 projektů bylo schváleno ve výši 140 mil. Kč CZV). Klíčovým bodem pro postup implementace PO1 v roce 2017 bylo vyhodnocení, schválení a zahájení realizací programů voucherové podpory na zintenzivnění spolupráce mezi výzkumnými organizacemi a podniky a na podporu začínajících malých a středních podniků. Tato podpora je klíčová pro naplnění věcných milníků výkonnostního rámce PO1. V roce 2017 také zahájili realizaci první projekty PO1 z výzev č. 7 a 10 v objemu 173 mil. Kč CZV. Koncem roku 2017 zahájily realizaci také některé z projektů výše uvedené 8. </w:t>
      </w:r>
      <w:proofErr w:type="gramStart"/>
      <w:r w:rsidRPr="008E0B6D">
        <w:rPr>
          <w:rFonts w:ascii="Arial" w:eastAsia="Arial" w:hAnsi="Arial" w:cs="Arial"/>
          <w:color w:val="000000"/>
          <w:sz w:val="20"/>
        </w:rPr>
        <w:t>výzvy</w:t>
      </w:r>
      <w:proofErr w:type="gramEnd"/>
      <w:r w:rsidRPr="008E0B6D">
        <w:rPr>
          <w:rFonts w:ascii="Arial" w:eastAsia="Arial" w:hAnsi="Arial" w:cs="Arial"/>
          <w:color w:val="000000"/>
          <w:sz w:val="20"/>
        </w:rPr>
        <w:t>.</w:t>
      </w:r>
    </w:p>
    <w:p w:rsid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Implementace prioritní osy 1 v rámci Operačního programu Praha </w:t>
      </w:r>
      <w:r w:rsidR="00990CEB" w:rsidRPr="008E0B6D">
        <w:rPr>
          <w:rFonts w:ascii="Arial" w:eastAsia="Arial" w:hAnsi="Arial" w:cs="Arial"/>
          <w:color w:val="000000"/>
          <w:sz w:val="20"/>
        </w:rPr>
        <w:t>-</w:t>
      </w:r>
      <w:r w:rsidRPr="008E0B6D">
        <w:rPr>
          <w:rFonts w:ascii="Arial" w:eastAsia="Arial" w:hAnsi="Arial" w:cs="Arial"/>
          <w:color w:val="000000"/>
          <w:sz w:val="20"/>
        </w:rPr>
        <w:t xml:space="preserve"> pól růstu ČR (OP PPR) byla tedy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konci roku v pokročilejší fázi. Věcné i finanční milníky PO1 jsou však nastaveny pouze v návaznosti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realizaci voucherových programů, které jsou tedy pro naplnění milníků klíčové. Nastavení milníků v momentě přípravy programového dokumentu v návaznosti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realizaci pouze dvou podporovaných aktivit z celkových šesti v rámci PO1 bylo nevhodné. Voucherové programy s alokací 600 mil. Kč však patří mezi zasmluvněné projekty, které již zahájily realizaci (</w:t>
      </w:r>
      <w:proofErr w:type="gramStart"/>
      <w:r w:rsidRPr="008E0B6D">
        <w:rPr>
          <w:rFonts w:ascii="Arial" w:eastAsia="Arial" w:hAnsi="Arial" w:cs="Arial"/>
          <w:color w:val="000000"/>
          <w:sz w:val="20"/>
        </w:rPr>
        <w:t>od</w:t>
      </w:r>
      <w:proofErr w:type="gramEnd"/>
      <w:r w:rsidRPr="008E0B6D">
        <w:rPr>
          <w:rFonts w:ascii="Arial" w:eastAsia="Arial" w:hAnsi="Arial" w:cs="Arial"/>
          <w:color w:val="000000"/>
          <w:sz w:val="20"/>
        </w:rPr>
        <w:t xml:space="preserve"> podzimu 2017). Věcné milníky PO1 navázané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voucherovou podporu budou bezezbytku naplněny, viz komentáře k indikátorům </w:t>
      </w:r>
      <w:r w:rsidR="00743145" w:rsidRPr="008E0B6D">
        <w:rPr>
          <w:rFonts w:ascii="Arial" w:eastAsia="Arial" w:hAnsi="Arial" w:cs="Arial"/>
          <w:color w:val="000000"/>
          <w:sz w:val="20"/>
        </w:rPr>
        <w:br/>
      </w:r>
      <w:r w:rsidRPr="008E0B6D">
        <w:rPr>
          <w:rFonts w:ascii="Arial" w:eastAsia="Arial" w:hAnsi="Arial" w:cs="Arial"/>
          <w:color w:val="000000"/>
          <w:sz w:val="20"/>
        </w:rPr>
        <w:lastRenderedPageBreak/>
        <w:t xml:space="preserve">v kapitole 3 této zprávy. Předpoklad rychlého čerpání finanční podpory tohoto typu však nebyl naplněn. Podstatné zdržení v realizaci těchto projektů a tedy také v plánovaném čerpání bylo zpomaleno nepředvídatelnými problémy s administrací veřejných zakázek, které mají zajistit dostatečnou administrativní kapacitu a jsou esenciální pro zajištění efektivní realizace podpory </w:t>
      </w:r>
      <w:r w:rsidR="00743145" w:rsidRPr="008E0B6D">
        <w:rPr>
          <w:rFonts w:ascii="Arial" w:eastAsia="Arial" w:hAnsi="Arial" w:cs="Arial"/>
          <w:color w:val="000000"/>
          <w:sz w:val="20"/>
        </w:rPr>
        <w:br/>
      </w:r>
      <w:r w:rsidRPr="008E0B6D">
        <w:rPr>
          <w:rFonts w:ascii="Arial" w:eastAsia="Arial" w:hAnsi="Arial" w:cs="Arial"/>
          <w:color w:val="000000"/>
          <w:sz w:val="20"/>
        </w:rPr>
        <w:t>a čerpání prostředků OP PPR. Příjemce realizující voucherovou podporu pod dohledem Řídicího orgánu implementuje nápravná opatření pro zajištění úspěšné realizace projektu.</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Informace o stavu implementaci podpory skrze finanční nástroje v rámci PO1 jsou uvedeny v kapitole 8 této zprávy.</w:t>
      </w:r>
    </w:p>
    <w:p w:rsidR="00743145" w:rsidRPr="00743145" w:rsidRDefault="00697A5C">
      <w:pPr>
        <w:spacing w:after="120" w:line="264" w:lineRule="auto"/>
        <w:ind w:left="111" w:right="105"/>
        <w:jc w:val="both"/>
        <w:rPr>
          <w:rFonts w:ascii="Arial" w:eastAsia="Arial" w:hAnsi="Arial" w:cs="Arial"/>
          <w:b/>
          <w:color w:val="000000"/>
          <w:sz w:val="20"/>
          <w:u w:val="single"/>
        </w:rPr>
      </w:pPr>
      <w:r w:rsidRPr="00743145">
        <w:rPr>
          <w:rFonts w:ascii="Arial" w:eastAsia="Arial" w:hAnsi="Arial" w:cs="Arial"/>
          <w:b/>
          <w:color w:val="000000"/>
          <w:sz w:val="20"/>
          <w:u w:val="single"/>
        </w:rPr>
        <w:t>Dosažený pokrok v prioritní ose 2</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V PO2 byly v roce 2017 vyhlášeny tři výzvy. Výzvy PO2 jsou spolufinancováni z ERDF. V rámci SC 2.1 byla vyhlášena výzva č. 40 (uzavřená výzva s alokací 200 mil. Kč, předloženy a schváleny 2 projekty v souhrnné výši 182</w:t>
      </w:r>
      <w:proofErr w:type="gramStart"/>
      <w:r>
        <w:rPr>
          <w:rFonts w:ascii="Arial" w:eastAsia="Arial" w:hAnsi="Arial" w:cs="Arial"/>
          <w:color w:val="000000"/>
          <w:sz w:val="20"/>
        </w:rPr>
        <w:t>,5</w:t>
      </w:r>
      <w:proofErr w:type="gramEnd"/>
      <w:r>
        <w:rPr>
          <w:rFonts w:ascii="Arial" w:eastAsia="Arial" w:hAnsi="Arial" w:cs="Arial"/>
          <w:color w:val="000000"/>
          <w:sz w:val="20"/>
        </w:rPr>
        <w:t xml:space="preserve"> mil. Kč CZV), výzva č. 30 (průběžná otevřená výzva s alokací </w:t>
      </w:r>
      <w:r w:rsidR="00381BAA">
        <w:rPr>
          <w:rFonts w:ascii="Arial" w:eastAsia="Arial" w:hAnsi="Arial" w:cs="Arial"/>
          <w:color w:val="000000"/>
          <w:sz w:val="20"/>
        </w:rPr>
        <w:br/>
      </w:r>
      <w:r>
        <w:rPr>
          <w:rFonts w:ascii="Arial" w:eastAsia="Arial" w:hAnsi="Arial" w:cs="Arial"/>
          <w:color w:val="000000"/>
          <w:sz w:val="20"/>
        </w:rPr>
        <w:t xml:space="preserve">900 mil. Kč, předložen zatím 1 projekt v roce 2018, datum ukončení příjmu žádostí je 31. 7. 2018) </w:t>
      </w:r>
      <w:r w:rsidR="00381BAA">
        <w:rPr>
          <w:rFonts w:ascii="Arial" w:eastAsia="Arial" w:hAnsi="Arial" w:cs="Arial"/>
          <w:color w:val="000000"/>
          <w:sz w:val="20"/>
        </w:rPr>
        <w:br/>
      </w:r>
      <w:r>
        <w:rPr>
          <w:rFonts w:ascii="Arial" w:eastAsia="Arial" w:hAnsi="Arial" w:cs="Arial"/>
          <w:color w:val="000000"/>
          <w:sz w:val="20"/>
        </w:rPr>
        <w:t xml:space="preserve">a výzva č. 31 (průběžná otevřená výzva s alokací 400 mil. Kč, prozatím předloženo 8 projektů, </w:t>
      </w:r>
      <w:r w:rsidR="00381BAA">
        <w:rPr>
          <w:rFonts w:ascii="Arial" w:eastAsia="Arial" w:hAnsi="Arial" w:cs="Arial"/>
          <w:color w:val="000000"/>
          <w:sz w:val="20"/>
        </w:rPr>
        <w:br/>
      </w:r>
      <w:r>
        <w:rPr>
          <w:rFonts w:ascii="Arial" w:eastAsia="Arial" w:hAnsi="Arial" w:cs="Arial"/>
          <w:color w:val="000000"/>
          <w:sz w:val="20"/>
        </w:rPr>
        <w:t xml:space="preserve">z čehož 6 již bylo schváleno, rozpočty projektů činí v celkovém souhrnu 306,2 mil. Kč CZV, datum ukončení příjmu žádostí je 31. 7. 2018). Dále byly již z roku 2016 otevřeny dvě výzvy v SC 2.2 Zvyšování atraktivity užívání městské veřejné dopravy - výzva č. 15 (ukončená průběžná výzva </w:t>
      </w:r>
      <w:r w:rsidR="00381BAA">
        <w:rPr>
          <w:rFonts w:ascii="Arial" w:eastAsia="Arial" w:hAnsi="Arial" w:cs="Arial"/>
          <w:color w:val="000000"/>
          <w:sz w:val="20"/>
        </w:rPr>
        <w:br/>
      </w:r>
      <w:r>
        <w:rPr>
          <w:rFonts w:ascii="Arial" w:eastAsia="Arial" w:hAnsi="Arial" w:cs="Arial"/>
          <w:color w:val="000000"/>
          <w:sz w:val="20"/>
        </w:rPr>
        <w:t>s alokací 300 mil. Kč, předložen a schválen 1 projekt ve výši 126</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mil. Kč) a výzva č. 16 ITI (průběžná otevřená výzva s alokací 600 mil. Kč, prozatím nepředložen žádný projekt</w:t>
      </w:r>
      <w:proofErr w:type="gramStart"/>
      <w:r>
        <w:rPr>
          <w:rFonts w:ascii="Arial" w:eastAsia="Arial" w:hAnsi="Arial" w:cs="Arial"/>
          <w:color w:val="000000"/>
          <w:sz w:val="20"/>
        </w:rPr>
        <w:t>,ukončení</w:t>
      </w:r>
      <w:proofErr w:type="gramEnd"/>
      <w:r>
        <w:rPr>
          <w:rFonts w:ascii="Arial" w:eastAsia="Arial" w:hAnsi="Arial" w:cs="Arial"/>
          <w:color w:val="000000"/>
          <w:sz w:val="20"/>
        </w:rPr>
        <w:t xml:space="preserve"> příjmu žádostí je 30. 3. 2018). Jednání dílčí plánovací komise pro PO2 o podobě a zaměření výzev probíhala vždy před vyhlášením výzev (11. </w:t>
      </w:r>
      <w:proofErr w:type="gramStart"/>
      <w:r>
        <w:rPr>
          <w:rFonts w:ascii="Arial" w:eastAsia="Arial" w:hAnsi="Arial" w:cs="Arial"/>
          <w:color w:val="000000"/>
          <w:sz w:val="20"/>
        </w:rPr>
        <w:t>1.,</w:t>
      </w:r>
      <w:proofErr w:type="gramEnd"/>
      <w:r>
        <w:rPr>
          <w:rFonts w:ascii="Arial" w:eastAsia="Arial" w:hAnsi="Arial" w:cs="Arial"/>
          <w:color w:val="000000"/>
          <w:sz w:val="20"/>
        </w:rPr>
        <w:t xml:space="preserve"> 11. 5.). Dále byly drobné úpravy výzev a harmonogramu vyhlašovaných výzev projednávány dílčí plánovací komisí pro PO2 prostřednictvím procedury per rollam (usnesení ze dne 5. </w:t>
      </w:r>
      <w:proofErr w:type="gramStart"/>
      <w:r>
        <w:rPr>
          <w:rFonts w:ascii="Arial" w:eastAsia="Arial" w:hAnsi="Arial" w:cs="Arial"/>
          <w:color w:val="000000"/>
          <w:sz w:val="20"/>
        </w:rPr>
        <w:t>6.,</w:t>
      </w:r>
      <w:proofErr w:type="gramEnd"/>
      <w:r>
        <w:rPr>
          <w:rFonts w:ascii="Arial" w:eastAsia="Arial" w:hAnsi="Arial" w:cs="Arial"/>
          <w:color w:val="000000"/>
          <w:sz w:val="20"/>
        </w:rPr>
        <w:t xml:space="preserve"> 4. </w:t>
      </w:r>
      <w:proofErr w:type="gramStart"/>
      <w:r>
        <w:rPr>
          <w:rFonts w:ascii="Arial" w:eastAsia="Arial" w:hAnsi="Arial" w:cs="Arial"/>
          <w:color w:val="000000"/>
          <w:sz w:val="20"/>
        </w:rPr>
        <w:t>8.,</w:t>
      </w:r>
      <w:proofErr w:type="gramEnd"/>
      <w:r>
        <w:rPr>
          <w:rFonts w:ascii="Arial" w:eastAsia="Arial" w:hAnsi="Arial" w:cs="Arial"/>
          <w:color w:val="000000"/>
          <w:sz w:val="20"/>
        </w:rPr>
        <w:t xml:space="preserve"> 10. </w:t>
      </w:r>
      <w:proofErr w:type="gramStart"/>
      <w:r>
        <w:rPr>
          <w:rFonts w:ascii="Arial" w:eastAsia="Arial" w:hAnsi="Arial" w:cs="Arial"/>
          <w:color w:val="000000"/>
          <w:sz w:val="20"/>
        </w:rPr>
        <w:t>10.,</w:t>
      </w:r>
      <w:proofErr w:type="gramEnd"/>
      <w:r>
        <w:rPr>
          <w:rFonts w:ascii="Arial" w:eastAsia="Arial" w:hAnsi="Arial" w:cs="Arial"/>
          <w:color w:val="000000"/>
          <w:sz w:val="20"/>
        </w:rPr>
        <w:t xml:space="preserve"> 14. 11.).</w:t>
      </w:r>
    </w:p>
    <w:p w:rsidR="00743145"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Co se týče plnění věcných milníků, v rámci SC 2.1 je ohroženo naplnění plánované hodnoty milníku u indikátoru 3 25 00 energeticky vztažná plocha, který je naplňován skrze aktivitu 2.1.3 Realizace pilotních projektů přeměny energeticky náročných městských budov na budovy s téměř nulovou spotřebou energie. V rámci aktivity byl dosud předložen jeden </w:t>
      </w:r>
      <w:proofErr w:type="gramStart"/>
      <w:r w:rsidRPr="008E0B6D">
        <w:rPr>
          <w:rFonts w:ascii="Arial" w:eastAsia="Arial" w:hAnsi="Arial" w:cs="Arial"/>
          <w:color w:val="000000"/>
          <w:sz w:val="20"/>
        </w:rPr>
        <w:t>projekt ?</w:t>
      </w:r>
      <w:proofErr w:type="gramEnd"/>
      <w:r w:rsidRPr="008E0B6D">
        <w:rPr>
          <w:rFonts w:ascii="Arial" w:eastAsia="Arial" w:hAnsi="Arial" w:cs="Arial"/>
          <w:color w:val="000000"/>
          <w:sz w:val="20"/>
        </w:rPr>
        <w:t xml:space="preserve"> Pilotní projekt přeměny budovy střední školy Českobrodská. Předpokládané datum ukončení je 31. 8. 2019, v případě schválení </w:t>
      </w:r>
      <w:proofErr w:type="gramStart"/>
      <w:r w:rsidRPr="008E0B6D">
        <w:rPr>
          <w:rFonts w:ascii="Arial" w:eastAsia="Arial" w:hAnsi="Arial" w:cs="Arial"/>
          <w:color w:val="000000"/>
          <w:sz w:val="20"/>
        </w:rPr>
        <w:t>a</w:t>
      </w:r>
      <w:proofErr w:type="gramEnd"/>
      <w:r w:rsidRPr="008E0B6D">
        <w:rPr>
          <w:rFonts w:ascii="Arial" w:eastAsia="Arial" w:hAnsi="Arial" w:cs="Arial"/>
          <w:color w:val="000000"/>
          <w:sz w:val="20"/>
        </w:rPr>
        <w:t xml:space="preserve"> úspěšné realizace projekt přispěje k naplnění indikátoru 3 25 00 Energeticky vztažná plocha hodnotou 4 367 m2. Další pilotní projekty přeměny škol jsou připravovány, nicméně je třeba nalézt pro žáky náhradní prostory po dobu rekonstrukce. Zpoždění při plnění milníku je způsobeno chybným předpokladem při nastavení programu, že bude podpořena budova Institutu plánování </w:t>
      </w:r>
      <w:r w:rsidR="00743145" w:rsidRPr="008E0B6D">
        <w:rPr>
          <w:rFonts w:ascii="Arial" w:eastAsia="Arial" w:hAnsi="Arial" w:cs="Arial"/>
          <w:color w:val="000000"/>
          <w:sz w:val="20"/>
        </w:rPr>
        <w:br/>
      </w:r>
      <w:r w:rsidRPr="008E0B6D">
        <w:rPr>
          <w:rFonts w:ascii="Arial" w:eastAsia="Arial" w:hAnsi="Arial" w:cs="Arial"/>
          <w:color w:val="000000"/>
          <w:sz w:val="20"/>
        </w:rPr>
        <w:t xml:space="preserve">a rozvoje (Emauzy), která sice je připravována, nicméně potýká se s problémem prokázání efektivity výdajů (kladné výsledky ekonomické analýzy v modulu CBA). Vzhledem k vysokým legislativním požadavkům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dosažení standardu budovy s téměř nulovou spotřebou energie a oproti tomu relativně nízkému ocenění socioekonomického dopadu úspory energií v modulu CBA je třeba pro investici sehnat dodatečné prostředky, aby mohlo být dosaženo požadovaného standardu. </w:t>
      </w:r>
      <w:r w:rsidRPr="008E0B6D">
        <w:br/>
      </w:r>
      <w:r w:rsidRPr="008E0B6D">
        <w:rPr>
          <w:rFonts w:ascii="Arial" w:eastAsia="Arial" w:hAnsi="Arial" w:cs="Arial"/>
          <w:color w:val="000000"/>
          <w:sz w:val="20"/>
        </w:rPr>
        <w:t xml:space="preserve">V rámci SC 2.2 je ohroženo plnění plánované hodnoty milníku u indikátoru 7 40 10 Počet vozidel parkujících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P + R, neboť dochází k průtahům u plánovaného projektu P+R Černý Most, vzhledem k nutnosti vypořádání majetkoprávních vztahů, situaci dále zkomplikovala restituční řízení a úpadek jednoho z majitelů pozemků do likvidace. Nicméně projekt již získal pravomocné územní rozhodnutí a předpokládá se jeho předložení do konce výzvy č. 16, následná realizace je odhadována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2 roky. K plnění hodnoty indikátoru by mělo přispět i P+R Radotín, jehož projekt byl schválen v rámci </w:t>
      </w:r>
      <w:r w:rsidR="00743145" w:rsidRPr="008E0B6D">
        <w:rPr>
          <w:rFonts w:ascii="Arial" w:eastAsia="Arial" w:hAnsi="Arial" w:cs="Arial"/>
          <w:color w:val="000000"/>
          <w:sz w:val="20"/>
        </w:rPr>
        <w:br/>
      </w:r>
      <w:r w:rsidRPr="008E0B6D">
        <w:rPr>
          <w:rFonts w:ascii="Arial" w:eastAsia="Arial" w:hAnsi="Arial" w:cs="Arial"/>
          <w:color w:val="000000"/>
          <w:sz w:val="20"/>
        </w:rPr>
        <w:t xml:space="preserve">15. </w:t>
      </w:r>
      <w:proofErr w:type="gramStart"/>
      <w:r w:rsidRPr="008E0B6D">
        <w:rPr>
          <w:rFonts w:ascii="Arial" w:eastAsia="Arial" w:hAnsi="Arial" w:cs="Arial"/>
          <w:color w:val="000000"/>
          <w:sz w:val="20"/>
        </w:rPr>
        <w:t>výzvy</w:t>
      </w:r>
      <w:proofErr w:type="gramEnd"/>
      <w:r w:rsidRPr="008E0B6D">
        <w:rPr>
          <w:rFonts w:ascii="Arial" w:eastAsia="Arial" w:hAnsi="Arial" w:cs="Arial"/>
          <w:color w:val="000000"/>
          <w:sz w:val="20"/>
        </w:rPr>
        <w:t>, po získání stavebního povolení s ním bude moci být podepsána smlouva, dostavba P+R je odhadována na polovinu roku 2019.</w:t>
      </w:r>
    </w:p>
    <w:p w:rsidR="00743145" w:rsidRPr="00743145" w:rsidRDefault="00697A5C">
      <w:pPr>
        <w:spacing w:after="120" w:line="264" w:lineRule="auto"/>
        <w:ind w:left="111" w:right="105"/>
        <w:jc w:val="both"/>
        <w:rPr>
          <w:rFonts w:ascii="Arial" w:eastAsia="Arial" w:hAnsi="Arial" w:cs="Arial"/>
          <w:b/>
          <w:color w:val="000000"/>
          <w:sz w:val="20"/>
          <w:u w:val="single"/>
        </w:rPr>
      </w:pPr>
      <w:r w:rsidRPr="00743145">
        <w:rPr>
          <w:rFonts w:ascii="Arial" w:eastAsia="Arial" w:hAnsi="Arial" w:cs="Arial"/>
          <w:b/>
          <w:color w:val="000000"/>
          <w:sz w:val="20"/>
          <w:u w:val="single"/>
        </w:rPr>
        <w:t>Dosažený pokrok v prioritní ose 3</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 xml:space="preserve">V roce 2017 byly v rámci PO3 vyhlášeny dvě výzvy. Výzva č. 34, spolufinancována z ESF, byla vyhlášena dne 20. </w:t>
      </w:r>
      <w:proofErr w:type="gramStart"/>
      <w:r>
        <w:rPr>
          <w:rFonts w:ascii="Arial" w:eastAsia="Arial" w:hAnsi="Arial" w:cs="Arial"/>
          <w:color w:val="000000"/>
          <w:sz w:val="20"/>
        </w:rPr>
        <w:t>září</w:t>
      </w:r>
      <w:proofErr w:type="gramEnd"/>
      <w:r>
        <w:rPr>
          <w:rFonts w:ascii="Arial" w:eastAsia="Arial" w:hAnsi="Arial" w:cs="Arial"/>
          <w:color w:val="000000"/>
          <w:sz w:val="20"/>
        </w:rPr>
        <w:t xml:space="preserve"> 2017 s celkovou alokací 100 mil. Kč. Vzhledem k vysokému počtu </w:t>
      </w:r>
      <w:r>
        <w:rPr>
          <w:rFonts w:ascii="Arial" w:eastAsia="Arial" w:hAnsi="Arial" w:cs="Arial"/>
          <w:color w:val="000000"/>
          <w:sz w:val="20"/>
        </w:rPr>
        <w:lastRenderedPageBreak/>
        <w:t xml:space="preserve">předložených žádostí o podporu byla alokace výzvy navýšena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200 mil. Kč. Do této výzvy bylo předloženo 129 projektů s celkovou alokací 591</w:t>
      </w:r>
      <w:proofErr w:type="gramStart"/>
      <w:r>
        <w:rPr>
          <w:rFonts w:ascii="Arial" w:eastAsia="Arial" w:hAnsi="Arial" w:cs="Arial"/>
          <w:color w:val="000000"/>
          <w:sz w:val="20"/>
        </w:rPr>
        <w:t>,67</w:t>
      </w:r>
      <w:proofErr w:type="gramEnd"/>
      <w:r>
        <w:rPr>
          <w:rFonts w:ascii="Arial" w:eastAsia="Arial" w:hAnsi="Arial" w:cs="Arial"/>
          <w:color w:val="000000"/>
          <w:sz w:val="20"/>
        </w:rPr>
        <w:t xml:space="preserve"> mil. Kč CZV. V 88 předložených </w:t>
      </w:r>
      <w:proofErr w:type="gramStart"/>
      <w:r>
        <w:rPr>
          <w:rFonts w:ascii="Arial" w:eastAsia="Arial" w:hAnsi="Arial" w:cs="Arial"/>
          <w:color w:val="000000"/>
          <w:sz w:val="20"/>
        </w:rPr>
        <w:t>projektech  se</w:t>
      </w:r>
      <w:proofErr w:type="gramEnd"/>
      <w:r>
        <w:rPr>
          <w:rFonts w:ascii="Arial" w:eastAsia="Arial" w:hAnsi="Arial" w:cs="Arial"/>
          <w:color w:val="000000"/>
          <w:sz w:val="20"/>
        </w:rPr>
        <w:t xml:space="preserve"> jedná o podporu kulturně komunitních center, 39 projektů bylo předloženo na podporu sociálního podnikání a 2 projekty byly projekty kombinované.</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 xml:space="preserve">Dne 20. </w:t>
      </w:r>
      <w:proofErr w:type="gramStart"/>
      <w:r>
        <w:rPr>
          <w:rFonts w:ascii="Arial" w:eastAsia="Arial" w:hAnsi="Arial" w:cs="Arial"/>
          <w:color w:val="000000"/>
          <w:sz w:val="20"/>
        </w:rPr>
        <w:t>září</w:t>
      </w:r>
      <w:proofErr w:type="gramEnd"/>
      <w:r>
        <w:rPr>
          <w:rFonts w:ascii="Arial" w:eastAsia="Arial" w:hAnsi="Arial" w:cs="Arial"/>
          <w:color w:val="000000"/>
          <w:sz w:val="20"/>
        </w:rPr>
        <w:t xml:space="preserve"> 2017 byla rovněž vyhlášena výzva č. 35, spolufinancována z ERDF, příjem žádostí bude uzavřen 23. </w:t>
      </w:r>
      <w:proofErr w:type="gramStart"/>
      <w:r>
        <w:rPr>
          <w:rFonts w:ascii="Arial" w:eastAsia="Arial" w:hAnsi="Arial" w:cs="Arial"/>
          <w:color w:val="000000"/>
          <w:sz w:val="20"/>
        </w:rPr>
        <w:t>března</w:t>
      </w:r>
      <w:proofErr w:type="gramEnd"/>
      <w:r>
        <w:rPr>
          <w:rFonts w:ascii="Arial" w:eastAsia="Arial" w:hAnsi="Arial" w:cs="Arial"/>
          <w:color w:val="000000"/>
          <w:sz w:val="20"/>
        </w:rPr>
        <w:t xml:space="preserve"> 2018. K 31. 12. 2017 nebyl předložen žádný projekt, nicméně po dosavadních zkušenostech je nejvíce žádostí o podporu předloženo týden před ukončením příjmu žádostí. Celková alokace výzvy je 300 mil. Kč. Tato investiční výzva je zaměřena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podporu sociálních služeb, komunitního života a sociálního bydlení.</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V dubnu 2017 byl ukončen příjem žádostí o podporu do výzev č. 25 a 27 (spolufinancovány z ERDF). Ve výzvě č. 25 bylo předloženo 18 žádostí, s alokací 57</w:t>
      </w:r>
      <w:proofErr w:type="gramStart"/>
      <w:r>
        <w:rPr>
          <w:rFonts w:ascii="Arial" w:eastAsia="Arial" w:hAnsi="Arial" w:cs="Arial"/>
          <w:color w:val="000000"/>
          <w:sz w:val="20"/>
        </w:rPr>
        <w:t>,22</w:t>
      </w:r>
      <w:proofErr w:type="gramEnd"/>
      <w:r>
        <w:rPr>
          <w:rFonts w:ascii="Arial" w:eastAsia="Arial" w:hAnsi="Arial" w:cs="Arial"/>
          <w:color w:val="000000"/>
          <w:sz w:val="20"/>
        </w:rPr>
        <w:t xml:space="preserve"> mil. Kč CZV (alokace výzvy 65 mil. Kč). Úspěšně prošlo všemi kroky hodnocení 7 projektů zaměřených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podporu sociálního podnikání.</w:t>
      </w:r>
      <w:r>
        <w:br/>
      </w:r>
      <w:r>
        <w:rPr>
          <w:rFonts w:ascii="Arial" w:eastAsia="Arial" w:hAnsi="Arial" w:cs="Arial"/>
          <w:color w:val="000000"/>
          <w:sz w:val="20"/>
        </w:rPr>
        <w:t>Příjem žádostí do výzvy č. 27 byl ukončen také v dubnu 2017. Do této výzvy bylo podáno celkem 17 žádostí o podporu s alokací 212 mil. Kč CZV (alokace výzvy 300 mil. Kč). 11 projektů bylo předloženo na podporu komutního života, 3 projekty na sociální bydlení, 2 žádosti na podporu azylových domů a 1 žádost na terénní program. Úspěšně prošlo hodnocením 10 projektů.</w:t>
      </w:r>
    </w:p>
    <w:p w:rsidR="00743145"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Naplnění milníků v PO 3 (4 věcné a 1 finanční milník) by mělo proběhnout bez větších problémů. Byly aktualizovány predikce a finanční plány, které potvrdily naplnění milníkových hodnot. </w:t>
      </w:r>
      <w:r w:rsidRPr="008E0B6D">
        <w:br/>
      </w:r>
      <w:r w:rsidRPr="008E0B6D">
        <w:rPr>
          <w:rFonts w:ascii="Arial" w:eastAsia="Arial" w:hAnsi="Arial" w:cs="Arial"/>
          <w:color w:val="000000"/>
          <w:sz w:val="20"/>
        </w:rPr>
        <w:t xml:space="preserve">Milníky Počet podpořených zázemí pro služby a sociální práci a Počet podpořených zařízení v rámci komunitních </w:t>
      </w:r>
      <w:proofErr w:type="gramStart"/>
      <w:r w:rsidRPr="008E0B6D">
        <w:rPr>
          <w:rFonts w:ascii="Arial" w:eastAsia="Arial" w:hAnsi="Arial" w:cs="Arial"/>
          <w:color w:val="000000"/>
          <w:sz w:val="20"/>
        </w:rPr>
        <w:t>a</w:t>
      </w:r>
      <w:proofErr w:type="gramEnd"/>
      <w:r w:rsidRPr="008E0B6D">
        <w:rPr>
          <w:rFonts w:ascii="Arial" w:eastAsia="Arial" w:hAnsi="Arial" w:cs="Arial"/>
          <w:color w:val="000000"/>
          <w:sz w:val="20"/>
        </w:rPr>
        <w:t xml:space="preserve"> integračních aktivit budou naplněny z více než 100%. U milníku Počet podniků pobírajících podporu ŘO eviduje hodnotu 2. Výzvou č. 25 (7 projektů) a výzvou č. 38 (výzva průběžná otevřená do 1/2019) bude tato hodnota dále navýšena a bude tak tento milník splněn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minimálně 85%. Hodnota u milníku Celkový počet účastníků je rovněž nízká. Je to způsobeno vykazováním účastníků až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konci realizací projektů, nikoli již v průběhu. ŘO bude instruovat příjemce, aby tento indikátor vykazovali již v průběhu realizace projektů a využívali mimořádnou zprávu o realizaci projektů, aby mohl ŘO schválit zprávy do konce roku 2018 a hodnoty tak mohly být načtené. Dle aktualizovaných propočtů by finanční milník </w:t>
      </w:r>
      <w:proofErr w:type="gramStart"/>
      <w:r w:rsidRPr="008E0B6D">
        <w:rPr>
          <w:rFonts w:ascii="Arial" w:eastAsia="Arial" w:hAnsi="Arial" w:cs="Arial"/>
          <w:color w:val="000000"/>
          <w:sz w:val="20"/>
        </w:rPr>
        <w:t>měl</w:t>
      </w:r>
      <w:proofErr w:type="gramEnd"/>
      <w:r w:rsidRPr="008E0B6D">
        <w:rPr>
          <w:rFonts w:ascii="Arial" w:eastAsia="Arial" w:hAnsi="Arial" w:cs="Arial"/>
          <w:color w:val="000000"/>
          <w:sz w:val="20"/>
        </w:rPr>
        <w:t xml:space="preserve"> být naplněn z vice než 75%.</w:t>
      </w:r>
    </w:p>
    <w:p w:rsidR="00743145" w:rsidRPr="00743145" w:rsidRDefault="00697A5C">
      <w:pPr>
        <w:spacing w:after="120" w:line="264" w:lineRule="auto"/>
        <w:ind w:left="111" w:right="105"/>
        <w:jc w:val="both"/>
        <w:rPr>
          <w:rFonts w:ascii="Arial" w:eastAsia="Arial" w:hAnsi="Arial" w:cs="Arial"/>
          <w:b/>
          <w:color w:val="000000"/>
          <w:sz w:val="20"/>
          <w:u w:val="single"/>
        </w:rPr>
      </w:pPr>
      <w:r w:rsidRPr="00743145">
        <w:rPr>
          <w:rFonts w:ascii="Arial" w:eastAsia="Arial" w:hAnsi="Arial" w:cs="Arial"/>
          <w:b/>
          <w:color w:val="000000"/>
          <w:sz w:val="20"/>
          <w:u w:val="single"/>
        </w:rPr>
        <w:t>Dosažený pokrok v prioritní ose 4</w:t>
      </w:r>
    </w:p>
    <w:p w:rsidR="00743145"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 xml:space="preserve">V roce 2017 byly postupně vyhlašovány výzvy v souladu s harmonogramem výzev ve všech specifických cílech PO 4. Jedná se o multifondovou prioritní </w:t>
      </w:r>
      <w:proofErr w:type="gramStart"/>
      <w:r>
        <w:rPr>
          <w:rFonts w:ascii="Arial" w:eastAsia="Arial" w:hAnsi="Arial" w:cs="Arial"/>
          <w:color w:val="000000"/>
          <w:sz w:val="20"/>
        </w:rPr>
        <w:t>osu</w:t>
      </w:r>
      <w:proofErr w:type="gramEnd"/>
      <w:r>
        <w:rPr>
          <w:rFonts w:ascii="Arial" w:eastAsia="Arial" w:hAnsi="Arial" w:cs="Arial"/>
          <w:color w:val="000000"/>
          <w:sz w:val="20"/>
        </w:rPr>
        <w:t>: Specifický cíl 4.1 je spolufinancován z EFRR, specifické cíle 4.2 a 4.3 jsou spolufinancovány z ESF.</w:t>
      </w:r>
    </w:p>
    <w:p w:rsidR="008E0B6D" w:rsidRDefault="00697A5C">
      <w:pPr>
        <w:spacing w:after="120" w:line="264" w:lineRule="auto"/>
        <w:ind w:left="111" w:right="105"/>
        <w:jc w:val="both"/>
        <w:rPr>
          <w:rFonts w:ascii="Arial" w:eastAsia="Arial" w:hAnsi="Arial" w:cs="Arial"/>
          <w:color w:val="000000"/>
          <w:sz w:val="20"/>
        </w:rPr>
      </w:pPr>
      <w:r>
        <w:rPr>
          <w:rFonts w:ascii="Arial" w:eastAsia="Arial" w:hAnsi="Arial" w:cs="Arial"/>
          <w:color w:val="000000"/>
          <w:sz w:val="20"/>
        </w:rPr>
        <w:t>V první polovině roku 2017 také probíhaly konzultace a hodnocení projektů podaných do výzev vyhlášených v roce 2016: Ve výzvě č. 21 (SC 4.2, alokace 360 mil. Kč) bylo k 26. 1. 2017 předloženo 70 žádostí o podporu s alokací 311</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mil. Kč CZV. Projekty byly následně hodnoceny a ke schválení bylo Zastupitelstvu hl. m. Prahy předloženo 47 projektů s alokací 182</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mil. Kč CZV. Do výzvy č. 20 (SC 4.1, alokace 300 mil. Kč) bylo k 30.3.2017 předloženo 146 žádostí s požadovanou podporu ve výši 387</w:t>
      </w:r>
      <w:proofErr w:type="gramStart"/>
      <w:r>
        <w:rPr>
          <w:rFonts w:ascii="Arial" w:eastAsia="Arial" w:hAnsi="Arial" w:cs="Arial"/>
          <w:color w:val="000000"/>
          <w:sz w:val="20"/>
        </w:rPr>
        <w:t>,3</w:t>
      </w:r>
      <w:proofErr w:type="gramEnd"/>
      <w:r>
        <w:rPr>
          <w:rFonts w:ascii="Arial" w:eastAsia="Arial" w:hAnsi="Arial" w:cs="Arial"/>
          <w:color w:val="000000"/>
          <w:sz w:val="20"/>
        </w:rPr>
        <w:t xml:space="preserve"> mil. Kč CZV, schváleno v ZHMP </w:t>
      </w:r>
      <w:proofErr w:type="gramStart"/>
      <w:r>
        <w:rPr>
          <w:rFonts w:ascii="Arial" w:eastAsia="Arial" w:hAnsi="Arial" w:cs="Arial"/>
          <w:color w:val="000000"/>
          <w:sz w:val="20"/>
        </w:rPr>
        <w:t>bylo  98</w:t>
      </w:r>
      <w:proofErr w:type="gramEnd"/>
      <w:r>
        <w:rPr>
          <w:rFonts w:ascii="Arial" w:eastAsia="Arial" w:hAnsi="Arial" w:cs="Arial"/>
          <w:color w:val="000000"/>
          <w:sz w:val="20"/>
        </w:rPr>
        <w:t xml:space="preserve"> žádostí v objemu 227 mil. Kč CZV. Ve výzvě </w:t>
      </w:r>
      <w:r w:rsidR="00743145">
        <w:rPr>
          <w:rFonts w:ascii="Arial" w:eastAsia="Arial" w:hAnsi="Arial" w:cs="Arial"/>
          <w:color w:val="000000"/>
          <w:sz w:val="20"/>
        </w:rPr>
        <w:br/>
      </w:r>
      <w:r>
        <w:rPr>
          <w:rFonts w:ascii="Arial" w:eastAsia="Arial" w:hAnsi="Arial" w:cs="Arial"/>
          <w:color w:val="000000"/>
          <w:sz w:val="20"/>
        </w:rPr>
        <w:t>č. 23 (SC 4.1, alokace 400 mil. Kč) bylo předloženo 16 žádostí v objemu 442</w:t>
      </w:r>
      <w:proofErr w:type="gramStart"/>
      <w:r>
        <w:rPr>
          <w:rFonts w:ascii="Arial" w:eastAsia="Arial" w:hAnsi="Arial" w:cs="Arial"/>
          <w:color w:val="000000"/>
          <w:sz w:val="20"/>
        </w:rPr>
        <w:t>,9</w:t>
      </w:r>
      <w:proofErr w:type="gramEnd"/>
      <w:r>
        <w:rPr>
          <w:rFonts w:ascii="Arial" w:eastAsia="Arial" w:hAnsi="Arial" w:cs="Arial"/>
          <w:color w:val="000000"/>
          <w:sz w:val="20"/>
        </w:rPr>
        <w:t xml:space="preserve"> mil. Kč, v ZHMP byla schválena podpora 13 žádostí ve výši 442</w:t>
      </w:r>
      <w:proofErr w:type="gramStart"/>
      <w:r>
        <w:rPr>
          <w:rFonts w:ascii="Arial" w:eastAsia="Arial" w:hAnsi="Arial" w:cs="Arial"/>
          <w:color w:val="000000"/>
          <w:sz w:val="20"/>
        </w:rPr>
        <w:t>,9</w:t>
      </w:r>
      <w:proofErr w:type="gramEnd"/>
      <w:r>
        <w:rPr>
          <w:rFonts w:ascii="Arial" w:eastAsia="Arial" w:hAnsi="Arial" w:cs="Arial"/>
          <w:color w:val="000000"/>
          <w:sz w:val="20"/>
        </w:rPr>
        <w:t xml:space="preserve"> mil. Kč CZV. Do průběžné výzvy č. 22 (SC 4.3, alokace 125 mil. Kč) bylo až do 14. 12. 2017 předloženo 27 žádostí v celkové výši 125</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mil. Kč CZV, v ZHMP bylo celkem schváleno 22 žádostí v objemu 105</w:t>
      </w:r>
      <w:proofErr w:type="gramStart"/>
      <w:r>
        <w:rPr>
          <w:rFonts w:ascii="Arial" w:eastAsia="Arial" w:hAnsi="Arial" w:cs="Arial"/>
          <w:color w:val="000000"/>
          <w:sz w:val="20"/>
        </w:rPr>
        <w:t>,3</w:t>
      </w:r>
      <w:proofErr w:type="gramEnd"/>
      <w:r>
        <w:rPr>
          <w:rFonts w:ascii="Arial" w:eastAsia="Arial" w:hAnsi="Arial" w:cs="Arial"/>
          <w:color w:val="000000"/>
          <w:sz w:val="20"/>
        </w:rPr>
        <w:t xml:space="preserve"> mil. Kč CZV.  </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Na jednáních Plánovací komise pro PO 4 OP PPR byly v roce 2017 projednávány dvě hlavní změny harmonogramu - doplnění vyhlášení výzvy č. 41 a posunutí vyhlášení výzvy č. 28 postupně až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listopad 2017. </w:t>
      </w:r>
    </w:p>
    <w:p w:rsidR="008E0B6D"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Výzva č. 41 (SC 4.2, alokace 80 mil. Kč) byla vyhlášena dne 30. 8. 2017, do výzvy bylo předloženo 11 žádostí za 21 mil. Kč CZV. Dne 25. 10. 2017 byly vyhlášeny výzvy č. 36 a 37 (SC 4.1, alokace 130 a 100 mil. Kč). Příjem žádostí bude ukončen v březnu a v červnu 2018. Výzva č. 28 (SC 4.2, </w:t>
      </w:r>
      <w:r w:rsidRPr="008E0B6D">
        <w:rPr>
          <w:rFonts w:ascii="Arial" w:eastAsia="Arial" w:hAnsi="Arial" w:cs="Arial"/>
          <w:color w:val="000000"/>
          <w:sz w:val="20"/>
        </w:rPr>
        <w:lastRenderedPageBreak/>
        <w:t xml:space="preserve">alokace 400 mil. Kč) byla vyhlášena 15. 11. 2017. Jedná se o výzvu průběžnou, která využívá zjednodušené metody vykazování - jednotkové náklady. Termín ukončení příjmu žádostí je </w:t>
      </w:r>
      <w:r w:rsidR="00743145" w:rsidRPr="008E0B6D">
        <w:rPr>
          <w:rFonts w:ascii="Arial" w:eastAsia="Arial" w:hAnsi="Arial" w:cs="Arial"/>
          <w:color w:val="000000"/>
          <w:sz w:val="20"/>
        </w:rPr>
        <w:br/>
      </w:r>
      <w:r w:rsidRPr="008E0B6D">
        <w:rPr>
          <w:rFonts w:ascii="Arial" w:eastAsia="Arial" w:hAnsi="Arial" w:cs="Arial"/>
          <w:color w:val="000000"/>
          <w:sz w:val="20"/>
        </w:rPr>
        <w:t>31. 5. 2018. K 31.12.2017 bylo do výzvy č. 28 předloženo 25 žádostí o podporu.</w:t>
      </w:r>
    </w:p>
    <w:p w:rsidR="00743145"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Dosažení hodnot věcných a finančních milníků v PO 4 je dle průběžných dat z podaných zpráv </w:t>
      </w:r>
      <w:r w:rsidRPr="008E0B6D">
        <w:br/>
      </w:r>
      <w:r w:rsidRPr="008E0B6D">
        <w:rPr>
          <w:rFonts w:ascii="Arial" w:eastAsia="Arial" w:hAnsi="Arial" w:cs="Arial"/>
          <w:color w:val="000000"/>
          <w:sz w:val="20"/>
        </w:rPr>
        <w:t xml:space="preserve">o realizaci a finančních plánů v projektech bez problémů. Milníky by měly být naplněny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hodnoty přesahující 100 %, v případě finančního milníku ESF se hodnota odhadu pohybuje nad povinných 85 %.</w:t>
      </w:r>
    </w:p>
    <w:p w:rsidR="00743145" w:rsidRDefault="00697A5C">
      <w:pPr>
        <w:spacing w:after="120" w:line="264" w:lineRule="auto"/>
        <w:ind w:left="111" w:right="105"/>
        <w:jc w:val="both"/>
        <w:rPr>
          <w:rFonts w:ascii="Arial" w:eastAsia="Arial" w:hAnsi="Arial" w:cs="Arial"/>
          <w:color w:val="000000"/>
          <w:sz w:val="20"/>
        </w:rPr>
      </w:pPr>
      <w:r w:rsidRPr="00743145">
        <w:rPr>
          <w:rFonts w:ascii="Arial" w:eastAsia="Arial" w:hAnsi="Arial" w:cs="Arial"/>
          <w:b/>
          <w:color w:val="000000"/>
          <w:sz w:val="20"/>
          <w:u w:val="single"/>
        </w:rPr>
        <w:t>Dosažený pokrok v prioritní ose 5</w:t>
      </w:r>
      <w:r>
        <w:rPr>
          <w:rFonts w:ascii="Arial" w:eastAsia="Arial" w:hAnsi="Arial" w:cs="Arial"/>
          <w:color w:val="000000"/>
          <w:sz w:val="20"/>
        </w:rPr>
        <w:t xml:space="preserve"> viz kapitola 3.1.</w:t>
      </w:r>
    </w:p>
    <w:p w:rsidR="00743145" w:rsidRPr="00743145" w:rsidRDefault="00697A5C">
      <w:pPr>
        <w:spacing w:after="120" w:line="264" w:lineRule="auto"/>
        <w:ind w:left="111" w:right="105"/>
        <w:jc w:val="both"/>
        <w:rPr>
          <w:rFonts w:ascii="Arial" w:eastAsia="Arial" w:hAnsi="Arial" w:cs="Arial"/>
          <w:b/>
          <w:color w:val="000000"/>
          <w:sz w:val="20"/>
          <w:u w:val="single"/>
        </w:rPr>
      </w:pPr>
      <w:r>
        <w:br/>
      </w:r>
      <w:r w:rsidRPr="00743145">
        <w:rPr>
          <w:rFonts w:ascii="Arial" w:eastAsia="Arial" w:hAnsi="Arial" w:cs="Arial"/>
          <w:b/>
          <w:color w:val="000000"/>
          <w:sz w:val="20"/>
          <w:u w:val="single"/>
        </w:rPr>
        <w:t>Dosažený pokrok OP PPR</w:t>
      </w:r>
    </w:p>
    <w:p w:rsidR="00743145" w:rsidRPr="008E0B6D" w:rsidRDefault="00697A5C">
      <w:pPr>
        <w:spacing w:after="120" w:line="264" w:lineRule="auto"/>
        <w:ind w:left="111" w:right="105"/>
        <w:jc w:val="both"/>
        <w:rPr>
          <w:rFonts w:ascii="Arial" w:eastAsia="Arial" w:hAnsi="Arial" w:cs="Arial"/>
          <w:color w:val="000000"/>
          <w:sz w:val="20"/>
          <w:u w:val="single"/>
        </w:rPr>
      </w:pPr>
      <w:r w:rsidRPr="008E0B6D">
        <w:rPr>
          <w:rFonts w:ascii="Arial" w:eastAsia="Arial" w:hAnsi="Arial" w:cs="Arial"/>
          <w:color w:val="000000"/>
          <w:sz w:val="20"/>
          <w:u w:val="single"/>
        </w:rPr>
        <w:t>Vyhodnocení predikce plnění hodnot věcných indikátorů:</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Plnění hodnot věcných indikátorů úzce koreluje s úspěšností jednotlivých výzev. Výjimkou jsou kvantitativní ukazatele v PO4, kde se navzdory celkově menšímu objemu rozdaných prostředků podařilo vysoce přeplňovat ukazatele (podpořené osoby, produkty atd.), a to patrně zejména díky většímu počtu menších projektů. Ukazatele, které nejsou plněny, jsou ŘO vyhodnocovány </w:t>
      </w:r>
      <w:r w:rsidR="00743145" w:rsidRPr="008E0B6D">
        <w:rPr>
          <w:rFonts w:ascii="Arial" w:eastAsia="Arial" w:hAnsi="Arial" w:cs="Arial"/>
          <w:color w:val="000000"/>
          <w:sz w:val="20"/>
        </w:rPr>
        <w:br/>
      </w:r>
      <w:r w:rsidRPr="008E0B6D">
        <w:rPr>
          <w:rFonts w:ascii="Arial" w:eastAsia="Arial" w:hAnsi="Arial" w:cs="Arial"/>
          <w:color w:val="000000"/>
          <w:sz w:val="20"/>
        </w:rPr>
        <w:t xml:space="preserve">a rozplánovány do dalších navazujících výzev; naplňování se očekává částečně z projektů schválených ve III. </w:t>
      </w:r>
      <w:proofErr w:type="gramStart"/>
      <w:r w:rsidRPr="008E0B6D">
        <w:rPr>
          <w:rFonts w:ascii="Arial" w:eastAsia="Arial" w:hAnsi="Arial" w:cs="Arial"/>
          <w:color w:val="000000"/>
          <w:sz w:val="20"/>
        </w:rPr>
        <w:t>a</w:t>
      </w:r>
      <w:proofErr w:type="gramEnd"/>
      <w:r w:rsidRPr="008E0B6D">
        <w:rPr>
          <w:rFonts w:ascii="Arial" w:eastAsia="Arial" w:hAnsi="Arial" w:cs="Arial"/>
          <w:color w:val="000000"/>
          <w:sz w:val="20"/>
        </w:rPr>
        <w:t xml:space="preserve"> IV. </w:t>
      </w:r>
      <w:proofErr w:type="gramStart"/>
      <w:r w:rsidRPr="008E0B6D">
        <w:rPr>
          <w:rFonts w:ascii="Arial" w:eastAsia="Arial" w:hAnsi="Arial" w:cs="Arial"/>
          <w:color w:val="000000"/>
          <w:sz w:val="20"/>
        </w:rPr>
        <w:t>kvartálu</w:t>
      </w:r>
      <w:proofErr w:type="gramEnd"/>
      <w:r w:rsidRPr="008E0B6D">
        <w:rPr>
          <w:rFonts w:ascii="Arial" w:eastAsia="Arial" w:hAnsi="Arial" w:cs="Arial"/>
          <w:color w:val="000000"/>
          <w:sz w:val="20"/>
        </w:rPr>
        <w:t xml:space="preserve"> roku 2017 a z výzev roku 2018. V některý případech došlo jen </w:t>
      </w:r>
      <w:r w:rsidR="00743145" w:rsidRPr="008E0B6D">
        <w:rPr>
          <w:rFonts w:ascii="Arial" w:eastAsia="Arial" w:hAnsi="Arial" w:cs="Arial"/>
          <w:color w:val="000000"/>
          <w:sz w:val="20"/>
        </w:rPr>
        <w:br/>
      </w:r>
      <w:r w:rsidRPr="008E0B6D">
        <w:rPr>
          <w:rFonts w:ascii="Arial" w:eastAsia="Arial" w:hAnsi="Arial" w:cs="Arial"/>
          <w:color w:val="000000"/>
          <w:sz w:val="20"/>
        </w:rPr>
        <w:t>k časovému posunu v přípravě projektů (např. PO1 a 2, výzvy 9, 11, 15).</w:t>
      </w:r>
    </w:p>
    <w:p w:rsidR="00743145" w:rsidRPr="008E0B6D" w:rsidRDefault="00697A5C">
      <w:pPr>
        <w:spacing w:after="120" w:line="264" w:lineRule="auto"/>
        <w:ind w:left="111" w:right="105"/>
        <w:jc w:val="both"/>
        <w:rPr>
          <w:rFonts w:ascii="Arial" w:eastAsia="Arial" w:hAnsi="Arial" w:cs="Arial"/>
          <w:color w:val="000000"/>
          <w:sz w:val="20"/>
          <w:u w:val="single"/>
        </w:rPr>
      </w:pPr>
      <w:r w:rsidRPr="008E0B6D">
        <w:rPr>
          <w:rFonts w:ascii="Arial" w:eastAsia="Arial" w:hAnsi="Arial" w:cs="Arial"/>
          <w:color w:val="000000"/>
          <w:sz w:val="20"/>
          <w:u w:val="single"/>
        </w:rPr>
        <w:t>Opatření ŘO:</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Pravidelné zpřesňování predikcí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základě právě ukončených výzev, projektů předložených do ZHMP, kontrahovaných výdajů a aktuálních finančních plánů. Vyhlašování nových výzev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základě zbytkových alokací, popř. </w:t>
      </w:r>
      <w:proofErr w:type="gramStart"/>
      <w:r w:rsidRPr="008E0B6D">
        <w:rPr>
          <w:rFonts w:ascii="Arial" w:eastAsia="Arial" w:hAnsi="Arial" w:cs="Arial"/>
          <w:color w:val="000000"/>
          <w:sz w:val="20"/>
        </w:rPr>
        <w:t>prodlužování</w:t>
      </w:r>
      <w:proofErr w:type="gramEnd"/>
      <w:r w:rsidRPr="008E0B6D">
        <w:rPr>
          <w:rFonts w:ascii="Arial" w:eastAsia="Arial" w:hAnsi="Arial" w:cs="Arial"/>
          <w:color w:val="000000"/>
          <w:sz w:val="20"/>
        </w:rPr>
        <w:t xml:space="preserve"> průběžných výzev. Optimalizace činností oddělení finančního řízení a kontroly.</w:t>
      </w:r>
    </w:p>
    <w:p w:rsidR="00743145" w:rsidRPr="008E0B6D" w:rsidRDefault="00697A5C">
      <w:pPr>
        <w:spacing w:after="120" w:line="264" w:lineRule="auto"/>
        <w:ind w:left="111" w:right="105"/>
        <w:jc w:val="both"/>
        <w:rPr>
          <w:rFonts w:ascii="Arial" w:eastAsia="Arial" w:hAnsi="Arial" w:cs="Arial"/>
          <w:color w:val="000000"/>
          <w:sz w:val="20"/>
          <w:u w:val="single"/>
        </w:rPr>
      </w:pPr>
      <w:r w:rsidRPr="008E0B6D">
        <w:rPr>
          <w:rFonts w:ascii="Arial" w:eastAsia="Arial" w:hAnsi="Arial" w:cs="Arial"/>
          <w:color w:val="000000"/>
          <w:sz w:val="20"/>
          <w:u w:val="single"/>
        </w:rPr>
        <w:t>Stav čerpání OP PPR:</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K 31. 12. 2017 byla v OP PPR kumulativně vyhlášená alokace ve výši dotace 11</w:t>
      </w:r>
      <w:proofErr w:type="gramStart"/>
      <w:r w:rsidRPr="008E0B6D">
        <w:rPr>
          <w:rFonts w:ascii="Arial" w:eastAsia="Arial" w:hAnsi="Arial" w:cs="Arial"/>
          <w:color w:val="000000"/>
          <w:sz w:val="20"/>
        </w:rPr>
        <w:t>,6</w:t>
      </w:r>
      <w:proofErr w:type="gramEnd"/>
      <w:r w:rsidRPr="008E0B6D">
        <w:rPr>
          <w:rFonts w:ascii="Arial" w:eastAsia="Arial" w:hAnsi="Arial" w:cs="Arial"/>
          <w:color w:val="000000"/>
          <w:sz w:val="20"/>
        </w:rPr>
        <w:t xml:space="preserve"> mld. Kč </w:t>
      </w:r>
      <w:r w:rsidR="00743145" w:rsidRPr="008E0B6D">
        <w:rPr>
          <w:rFonts w:ascii="Arial" w:eastAsia="Arial" w:hAnsi="Arial" w:cs="Arial"/>
          <w:color w:val="000000"/>
          <w:sz w:val="20"/>
        </w:rPr>
        <w:br/>
      </w:r>
      <w:r w:rsidRPr="008E0B6D">
        <w:rPr>
          <w:rFonts w:ascii="Arial" w:eastAsia="Arial" w:hAnsi="Arial" w:cs="Arial"/>
          <w:color w:val="000000"/>
          <w:sz w:val="20"/>
        </w:rPr>
        <w:t>(0</w:t>
      </w:r>
      <w:proofErr w:type="gramStart"/>
      <w:r w:rsidRPr="008E0B6D">
        <w:rPr>
          <w:rFonts w:ascii="Arial" w:eastAsia="Arial" w:hAnsi="Arial" w:cs="Arial"/>
          <w:color w:val="000000"/>
          <w:sz w:val="20"/>
        </w:rPr>
        <w:t>,5</w:t>
      </w:r>
      <w:proofErr w:type="gramEnd"/>
      <w:r w:rsidRPr="008E0B6D">
        <w:rPr>
          <w:rFonts w:ascii="Arial" w:eastAsia="Arial" w:hAnsi="Arial" w:cs="Arial"/>
          <w:color w:val="000000"/>
          <w:sz w:val="20"/>
        </w:rPr>
        <w:t xml:space="preserve"> mld. EUR; použit kurz EK k 31.12.2017, tj. 25,474 CZK/EUR), zaregistrováno je 669 projektů </w:t>
      </w:r>
      <w:r w:rsidR="00743145" w:rsidRPr="008E0B6D">
        <w:rPr>
          <w:rFonts w:ascii="Arial" w:eastAsia="Arial" w:hAnsi="Arial" w:cs="Arial"/>
          <w:color w:val="000000"/>
          <w:sz w:val="20"/>
        </w:rPr>
        <w:br/>
      </w:r>
      <w:r w:rsidRPr="008E0B6D">
        <w:rPr>
          <w:rFonts w:ascii="Arial" w:eastAsia="Arial" w:hAnsi="Arial" w:cs="Arial"/>
          <w:color w:val="000000"/>
          <w:sz w:val="20"/>
        </w:rPr>
        <w:t>o objemu celkových způsobilých výdajů 7</w:t>
      </w:r>
      <w:proofErr w:type="gramStart"/>
      <w:r w:rsidRPr="008E0B6D">
        <w:rPr>
          <w:rFonts w:ascii="Arial" w:eastAsia="Arial" w:hAnsi="Arial" w:cs="Arial"/>
          <w:color w:val="000000"/>
          <w:sz w:val="20"/>
        </w:rPr>
        <w:t>,1</w:t>
      </w:r>
      <w:proofErr w:type="gramEnd"/>
      <w:r w:rsidRPr="008E0B6D">
        <w:rPr>
          <w:rFonts w:ascii="Arial" w:eastAsia="Arial" w:hAnsi="Arial" w:cs="Arial"/>
          <w:color w:val="000000"/>
          <w:sz w:val="20"/>
        </w:rPr>
        <w:t xml:space="preserve"> mld. Kč (0</w:t>
      </w:r>
      <w:proofErr w:type="gramStart"/>
      <w:r w:rsidRPr="008E0B6D">
        <w:rPr>
          <w:rFonts w:ascii="Arial" w:eastAsia="Arial" w:hAnsi="Arial" w:cs="Arial"/>
          <w:color w:val="000000"/>
          <w:sz w:val="20"/>
        </w:rPr>
        <w:t>,27</w:t>
      </w:r>
      <w:proofErr w:type="gramEnd"/>
      <w:r w:rsidRPr="008E0B6D">
        <w:rPr>
          <w:rFonts w:ascii="Arial" w:eastAsia="Arial" w:hAnsi="Arial" w:cs="Arial"/>
          <w:color w:val="000000"/>
          <w:sz w:val="20"/>
        </w:rPr>
        <w:t xml:space="preserve"> mld. EUR; použit kurz EK k 31.12.2017, </w:t>
      </w:r>
      <w:r w:rsidR="00743145" w:rsidRPr="008E0B6D">
        <w:rPr>
          <w:rFonts w:ascii="Arial" w:eastAsia="Arial" w:hAnsi="Arial" w:cs="Arial"/>
          <w:color w:val="000000"/>
          <w:sz w:val="20"/>
        </w:rPr>
        <w:br/>
      </w:r>
      <w:r w:rsidRPr="008E0B6D">
        <w:rPr>
          <w:rFonts w:ascii="Arial" w:eastAsia="Arial" w:hAnsi="Arial" w:cs="Arial"/>
          <w:color w:val="000000"/>
          <w:sz w:val="20"/>
        </w:rPr>
        <w:t xml:space="preserve">tj. 25,474 CZK/EUR), uzavřeny smlouvy u 292 projektů o objemu celkových způsobilých výdajů </w:t>
      </w:r>
      <w:r w:rsidR="00743145" w:rsidRPr="008E0B6D">
        <w:rPr>
          <w:rFonts w:ascii="Arial" w:eastAsia="Arial" w:hAnsi="Arial" w:cs="Arial"/>
          <w:color w:val="000000"/>
          <w:sz w:val="20"/>
        </w:rPr>
        <w:br/>
      </w:r>
      <w:r w:rsidRPr="008E0B6D">
        <w:rPr>
          <w:rFonts w:ascii="Arial" w:eastAsia="Arial" w:hAnsi="Arial" w:cs="Arial"/>
          <w:color w:val="000000"/>
          <w:sz w:val="20"/>
        </w:rPr>
        <w:t>4</w:t>
      </w:r>
      <w:proofErr w:type="gramStart"/>
      <w:r w:rsidRPr="008E0B6D">
        <w:rPr>
          <w:rFonts w:ascii="Arial" w:eastAsia="Arial" w:hAnsi="Arial" w:cs="Arial"/>
          <w:color w:val="000000"/>
          <w:sz w:val="20"/>
        </w:rPr>
        <w:t>,1</w:t>
      </w:r>
      <w:proofErr w:type="gramEnd"/>
      <w:r w:rsidRPr="008E0B6D">
        <w:rPr>
          <w:rFonts w:ascii="Arial" w:eastAsia="Arial" w:hAnsi="Arial" w:cs="Arial"/>
          <w:color w:val="000000"/>
          <w:sz w:val="20"/>
        </w:rPr>
        <w:t xml:space="preserve"> mld. Kč (0</w:t>
      </w:r>
      <w:proofErr w:type="gramStart"/>
      <w:r w:rsidRPr="008E0B6D">
        <w:rPr>
          <w:rFonts w:ascii="Arial" w:eastAsia="Arial" w:hAnsi="Arial" w:cs="Arial"/>
          <w:color w:val="000000"/>
          <w:sz w:val="20"/>
        </w:rPr>
        <w:t>,16</w:t>
      </w:r>
      <w:proofErr w:type="gramEnd"/>
      <w:r w:rsidRPr="008E0B6D">
        <w:rPr>
          <w:rFonts w:ascii="Arial" w:eastAsia="Arial" w:hAnsi="Arial" w:cs="Arial"/>
          <w:color w:val="000000"/>
          <w:sz w:val="20"/>
        </w:rPr>
        <w:t xml:space="preserve"> mld. EUR; použit kurz EK k 31.12.2017, tj. 25,474 CZK/EUR), schváleno 20 souhrnných žádostí o objemu 138</w:t>
      </w:r>
      <w:proofErr w:type="gramStart"/>
      <w:r w:rsidRPr="008E0B6D">
        <w:rPr>
          <w:rFonts w:ascii="Arial" w:eastAsia="Arial" w:hAnsi="Arial" w:cs="Arial"/>
          <w:color w:val="000000"/>
          <w:sz w:val="20"/>
        </w:rPr>
        <w:t>,1</w:t>
      </w:r>
      <w:proofErr w:type="gramEnd"/>
      <w:r w:rsidRPr="008E0B6D">
        <w:rPr>
          <w:rFonts w:ascii="Arial" w:eastAsia="Arial" w:hAnsi="Arial" w:cs="Arial"/>
          <w:color w:val="000000"/>
          <w:sz w:val="20"/>
        </w:rPr>
        <w:t xml:space="preserve"> mil. Kč (5</w:t>
      </w:r>
      <w:proofErr w:type="gramStart"/>
      <w:r w:rsidRPr="008E0B6D">
        <w:rPr>
          <w:rFonts w:ascii="Arial" w:eastAsia="Arial" w:hAnsi="Arial" w:cs="Arial"/>
          <w:color w:val="000000"/>
          <w:sz w:val="20"/>
        </w:rPr>
        <w:t>,42</w:t>
      </w:r>
      <w:proofErr w:type="gramEnd"/>
      <w:r w:rsidRPr="008E0B6D">
        <w:rPr>
          <w:rFonts w:ascii="Arial" w:eastAsia="Arial" w:hAnsi="Arial" w:cs="Arial"/>
          <w:color w:val="000000"/>
          <w:sz w:val="20"/>
        </w:rPr>
        <w:t xml:space="preserve"> mil. EUR, podíl EU; použit kurz EK k 31.12.2017, tj. 25,474 CZK/EUR) a certifikováno 178</w:t>
      </w:r>
      <w:proofErr w:type="gramStart"/>
      <w:r w:rsidRPr="008E0B6D">
        <w:rPr>
          <w:rFonts w:ascii="Arial" w:eastAsia="Arial" w:hAnsi="Arial" w:cs="Arial"/>
          <w:color w:val="000000"/>
          <w:sz w:val="20"/>
        </w:rPr>
        <w:t>,5</w:t>
      </w:r>
      <w:proofErr w:type="gramEnd"/>
      <w:r w:rsidRPr="008E0B6D">
        <w:rPr>
          <w:rFonts w:ascii="Arial" w:eastAsia="Arial" w:hAnsi="Arial" w:cs="Arial"/>
          <w:color w:val="000000"/>
          <w:sz w:val="20"/>
        </w:rPr>
        <w:t xml:space="preserve"> mil. Kč CZV (6</w:t>
      </w:r>
      <w:proofErr w:type="gramStart"/>
      <w:r w:rsidRPr="008E0B6D">
        <w:rPr>
          <w:rFonts w:ascii="Arial" w:eastAsia="Arial" w:hAnsi="Arial" w:cs="Arial"/>
          <w:color w:val="000000"/>
          <w:sz w:val="20"/>
        </w:rPr>
        <w:t>,81</w:t>
      </w:r>
      <w:proofErr w:type="gramEnd"/>
      <w:r w:rsidRPr="008E0B6D">
        <w:rPr>
          <w:rFonts w:ascii="Arial" w:eastAsia="Arial" w:hAnsi="Arial" w:cs="Arial"/>
          <w:color w:val="000000"/>
          <w:sz w:val="20"/>
        </w:rPr>
        <w:t xml:space="preserve"> mil. EUR CZV; použit kurz EK </w:t>
      </w:r>
      <w:r w:rsidR="00743145" w:rsidRPr="008E0B6D">
        <w:rPr>
          <w:rFonts w:ascii="Arial" w:eastAsia="Arial" w:hAnsi="Arial" w:cs="Arial"/>
          <w:color w:val="000000"/>
          <w:sz w:val="20"/>
        </w:rPr>
        <w:br/>
      </w:r>
      <w:r w:rsidRPr="008E0B6D">
        <w:rPr>
          <w:rFonts w:ascii="Arial" w:eastAsia="Arial" w:hAnsi="Arial" w:cs="Arial"/>
          <w:color w:val="000000"/>
          <w:sz w:val="20"/>
        </w:rPr>
        <w:t xml:space="preserve">k 31.12.2017, tj. 25,474 CZK/EUR). </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ŘO podle predikcí předpokládá naplnění limitu n+3 ke konci roku 2018 ve výši 35,48 mil. EUR (podíl EU) tj. 111 % limitu n+3 (certifikované výdaje ERDF jsou predikovány ve výši 25</w:t>
      </w:r>
      <w:proofErr w:type="gramStart"/>
      <w:r w:rsidRPr="008E0B6D">
        <w:rPr>
          <w:rFonts w:ascii="Arial" w:eastAsia="Arial" w:hAnsi="Arial" w:cs="Arial"/>
          <w:color w:val="000000"/>
          <w:sz w:val="20"/>
        </w:rPr>
        <w:t>,30</w:t>
      </w:r>
      <w:proofErr w:type="gramEnd"/>
      <w:r w:rsidRPr="008E0B6D">
        <w:rPr>
          <w:rFonts w:ascii="Arial" w:eastAsia="Arial" w:hAnsi="Arial" w:cs="Arial"/>
          <w:color w:val="000000"/>
          <w:sz w:val="20"/>
        </w:rPr>
        <w:t xml:space="preserve"> mil. EUR, </w:t>
      </w:r>
      <w:r w:rsidR="00743145" w:rsidRPr="008E0B6D">
        <w:rPr>
          <w:rFonts w:ascii="Arial" w:eastAsia="Arial" w:hAnsi="Arial" w:cs="Arial"/>
          <w:color w:val="000000"/>
          <w:sz w:val="20"/>
        </w:rPr>
        <w:br/>
      </w:r>
      <w:r w:rsidRPr="008E0B6D">
        <w:rPr>
          <w:rFonts w:ascii="Arial" w:eastAsia="Arial" w:hAnsi="Arial" w:cs="Arial"/>
          <w:color w:val="000000"/>
          <w:sz w:val="20"/>
        </w:rPr>
        <w:t>tj. 104 % limitu n+3, ESF ve výši 10</w:t>
      </w:r>
      <w:proofErr w:type="gramStart"/>
      <w:r w:rsidRPr="008E0B6D">
        <w:rPr>
          <w:rFonts w:ascii="Arial" w:eastAsia="Arial" w:hAnsi="Arial" w:cs="Arial"/>
          <w:color w:val="000000"/>
          <w:sz w:val="20"/>
        </w:rPr>
        <w:t>,18</w:t>
      </w:r>
      <w:proofErr w:type="gramEnd"/>
      <w:r w:rsidRPr="008E0B6D">
        <w:rPr>
          <w:rFonts w:ascii="Arial" w:eastAsia="Arial" w:hAnsi="Arial" w:cs="Arial"/>
          <w:color w:val="000000"/>
          <w:sz w:val="20"/>
        </w:rPr>
        <w:t xml:space="preserve"> mil. EUR, tj. 134 % limitu n+3).</w:t>
      </w:r>
    </w:p>
    <w:p w:rsidR="00743145" w:rsidRPr="008E0B6D" w:rsidRDefault="00697A5C">
      <w:pPr>
        <w:spacing w:after="120" w:line="264" w:lineRule="auto"/>
        <w:ind w:left="111" w:right="105"/>
        <w:jc w:val="both"/>
        <w:rPr>
          <w:rFonts w:ascii="Arial" w:eastAsia="Arial" w:hAnsi="Arial" w:cs="Arial"/>
          <w:b/>
          <w:color w:val="000000"/>
          <w:sz w:val="20"/>
          <w:u w:val="single"/>
        </w:rPr>
      </w:pPr>
      <w:r w:rsidRPr="008E0B6D">
        <w:rPr>
          <w:rFonts w:ascii="Arial" w:eastAsia="Arial" w:hAnsi="Arial" w:cs="Arial"/>
          <w:b/>
          <w:color w:val="000000"/>
          <w:sz w:val="20"/>
          <w:u w:val="single"/>
        </w:rPr>
        <w:t xml:space="preserve">Informace k revizím: </w:t>
      </w:r>
    </w:p>
    <w:p w:rsidR="00743145" w:rsidRPr="008E0B6D"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Revize č. 1 OP PPR byla koncem února 2017 zaslána k oficiálnímu schválení Evropské komisi. Následně byla schválena usnesením Rady hl. m. Prahy č. 747 ze dne 4. 4. 2017 a Rozhodnutím Evropské komise ze dne 23. 5. 2017 č. </w:t>
      </w:r>
      <w:proofErr w:type="gramStart"/>
      <w:r w:rsidRPr="008E0B6D">
        <w:rPr>
          <w:rFonts w:ascii="Arial" w:eastAsia="Arial" w:hAnsi="Arial" w:cs="Arial"/>
          <w:color w:val="000000"/>
          <w:sz w:val="20"/>
        </w:rPr>
        <w:t>C(</w:t>
      </w:r>
      <w:proofErr w:type="gramEnd"/>
      <w:r w:rsidRPr="008E0B6D">
        <w:rPr>
          <w:rFonts w:ascii="Arial" w:eastAsia="Arial" w:hAnsi="Arial" w:cs="Arial"/>
          <w:color w:val="000000"/>
          <w:sz w:val="20"/>
        </w:rPr>
        <w:t>2017)3425.</w:t>
      </w:r>
    </w:p>
    <w:p w:rsidR="00457252" w:rsidRDefault="00697A5C">
      <w:pPr>
        <w:spacing w:after="120" w:line="264" w:lineRule="auto"/>
        <w:ind w:left="111" w:right="105"/>
        <w:jc w:val="both"/>
        <w:rPr>
          <w:rFonts w:ascii="Arial" w:eastAsia="Arial" w:hAnsi="Arial" w:cs="Arial"/>
          <w:color w:val="000000"/>
          <w:sz w:val="20"/>
        </w:rPr>
      </w:pPr>
      <w:r w:rsidRPr="008E0B6D">
        <w:rPr>
          <w:rFonts w:ascii="Arial" w:eastAsia="Arial" w:hAnsi="Arial" w:cs="Arial"/>
          <w:color w:val="000000"/>
          <w:sz w:val="20"/>
        </w:rPr>
        <w:t xml:space="preserve">Revize č. 2 OP PPR byla dne 19. </w:t>
      </w:r>
      <w:proofErr w:type="gramStart"/>
      <w:r w:rsidRPr="008E0B6D">
        <w:rPr>
          <w:rFonts w:ascii="Arial" w:eastAsia="Arial" w:hAnsi="Arial" w:cs="Arial"/>
          <w:color w:val="000000"/>
          <w:sz w:val="20"/>
        </w:rPr>
        <w:t>října</w:t>
      </w:r>
      <w:proofErr w:type="gramEnd"/>
      <w:r w:rsidRPr="008E0B6D">
        <w:rPr>
          <w:rFonts w:ascii="Arial" w:eastAsia="Arial" w:hAnsi="Arial" w:cs="Arial"/>
          <w:color w:val="000000"/>
          <w:sz w:val="20"/>
        </w:rPr>
        <w:t xml:space="preserve"> 2017 schválena Monitorovacím výborem OP PPR. </w:t>
      </w:r>
      <w:r w:rsidR="00743145" w:rsidRPr="008E0B6D">
        <w:rPr>
          <w:rFonts w:ascii="Arial" w:eastAsia="Arial" w:hAnsi="Arial" w:cs="Arial"/>
          <w:color w:val="000000"/>
          <w:sz w:val="20"/>
        </w:rPr>
        <w:br/>
      </w:r>
      <w:r w:rsidRPr="008E0B6D">
        <w:rPr>
          <w:rFonts w:ascii="Arial" w:eastAsia="Arial" w:hAnsi="Arial" w:cs="Arial"/>
          <w:color w:val="000000"/>
          <w:sz w:val="20"/>
        </w:rPr>
        <w:t xml:space="preserve">V návaznosti </w:t>
      </w:r>
      <w:proofErr w:type="gramStart"/>
      <w:r w:rsidRPr="008E0B6D">
        <w:rPr>
          <w:rFonts w:ascii="Arial" w:eastAsia="Arial" w:hAnsi="Arial" w:cs="Arial"/>
          <w:color w:val="000000"/>
          <w:sz w:val="20"/>
        </w:rPr>
        <w:t>na</w:t>
      </w:r>
      <w:proofErr w:type="gramEnd"/>
      <w:r w:rsidRPr="008E0B6D">
        <w:rPr>
          <w:rFonts w:ascii="Arial" w:eastAsia="Arial" w:hAnsi="Arial" w:cs="Arial"/>
          <w:color w:val="000000"/>
          <w:sz w:val="20"/>
        </w:rPr>
        <w:t xml:space="preserve"> obdržené stanovisko Ministerstva životního prostředí ze dne 14. </w:t>
      </w:r>
      <w:proofErr w:type="gramStart"/>
      <w:r w:rsidRPr="008E0B6D">
        <w:rPr>
          <w:rFonts w:ascii="Arial" w:eastAsia="Arial" w:hAnsi="Arial" w:cs="Arial"/>
          <w:color w:val="000000"/>
          <w:sz w:val="20"/>
        </w:rPr>
        <w:t>listopadu</w:t>
      </w:r>
      <w:proofErr w:type="gramEnd"/>
      <w:r w:rsidRPr="008E0B6D">
        <w:rPr>
          <w:rFonts w:ascii="Arial" w:eastAsia="Arial" w:hAnsi="Arial" w:cs="Arial"/>
          <w:color w:val="000000"/>
          <w:sz w:val="20"/>
        </w:rPr>
        <w:t xml:space="preserve"> 2017 bylo následně zpracováno Oznámení změny koncepce nutné pro zahájení zjišťovacího zjišťovací řízení dle § 10d zákona č. 100/2001 Sb., o posuzování vlivů na životní prostředí a o změně některých souvisejících zákonů, ve znění pozdějších předpisů.</w:t>
      </w:r>
    </w:p>
    <w:p w:rsidR="00457252" w:rsidRDefault="00697A5C" w:rsidP="00DA591F">
      <w:pPr>
        <w:pStyle w:val="Nadpis1"/>
        <w:keepNext/>
      </w:pPr>
      <w:bookmarkStart w:id="8" w:name="_Toc512860935"/>
      <w:r>
        <w:lastRenderedPageBreak/>
        <w:t>IMPLEMENTACE PRIORITNÍ OSY (čl. 50 odst. 2 nařízení (EU) č. 1303/2013)</w:t>
      </w:r>
      <w:bookmarkEnd w:id="8"/>
    </w:p>
    <w:p w:rsidR="00457252" w:rsidRPr="00DA591F" w:rsidRDefault="00697A5C" w:rsidP="00DA591F">
      <w:pPr>
        <w:pStyle w:val="Nadpis2"/>
      </w:pPr>
      <w:bookmarkStart w:id="9" w:name="_Toc512860936"/>
      <w:r w:rsidRPr="00DA591F">
        <w:t>Přehled implementace</w:t>
      </w:r>
      <w:bookmarkEnd w:id="9"/>
    </w:p>
    <w:tbl>
      <w:tblPr>
        <w:tblW w:w="0" w:type="auto"/>
        <w:tblInd w:w="54" w:type="dxa"/>
        <w:tblLayout w:type="fixed"/>
        <w:tblCellMar>
          <w:left w:w="0" w:type="dxa"/>
          <w:right w:w="0" w:type="dxa"/>
        </w:tblCellMar>
        <w:tblLook w:val="04A0" w:firstRow="1" w:lastRow="0" w:firstColumn="1" w:lastColumn="0" w:noHBand="0" w:noVBand="1"/>
      </w:tblPr>
      <w:tblGrid>
        <w:gridCol w:w="817"/>
        <w:gridCol w:w="2268"/>
        <w:gridCol w:w="5812"/>
      </w:tblGrid>
      <w:tr w:rsidR="00457252" w:rsidTr="00DA591F">
        <w:trPr>
          <w:tblHeader/>
        </w:trPr>
        <w:tc>
          <w:tcPr>
            <w:tcW w:w="8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spacing w:before="120" w:after="120"/>
              <w:ind w:left="57" w:right="57"/>
              <w:jc w:val="center"/>
              <w:rPr>
                <w:rFonts w:ascii="Arial" w:eastAsia="Arial" w:hAnsi="Arial" w:cs="Arial"/>
                <w:color w:val="000000"/>
                <w:sz w:val="20"/>
              </w:rPr>
            </w:pPr>
            <w:r>
              <w:rPr>
                <w:rFonts w:ascii="Arial" w:eastAsia="Arial" w:hAnsi="Arial" w:cs="Arial"/>
                <w:color w:val="000000"/>
                <w:sz w:val="20"/>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spacing w:before="120" w:after="120"/>
              <w:ind w:left="57" w:right="57"/>
              <w:jc w:val="center"/>
              <w:rPr>
                <w:rFonts w:ascii="Arial" w:eastAsia="Arial" w:hAnsi="Arial" w:cs="Arial"/>
                <w:color w:val="000000"/>
                <w:sz w:val="20"/>
              </w:rPr>
            </w:pPr>
            <w:r>
              <w:rPr>
                <w:rFonts w:ascii="Arial" w:eastAsia="Arial" w:hAnsi="Arial" w:cs="Arial"/>
                <w:color w:val="000000"/>
                <w:sz w:val="20"/>
              </w:rPr>
              <w:t>Prioritní osa</w:t>
            </w:r>
          </w:p>
        </w:tc>
        <w:tc>
          <w:tcPr>
            <w:tcW w:w="58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spacing w:before="120" w:after="120"/>
              <w:ind w:left="57" w:right="57"/>
              <w:jc w:val="center"/>
              <w:rPr>
                <w:rFonts w:ascii="Arial" w:eastAsia="Arial" w:hAnsi="Arial" w:cs="Arial"/>
                <w:color w:val="000000"/>
                <w:sz w:val="20"/>
              </w:rPr>
            </w:pPr>
            <w:r>
              <w:rPr>
                <w:rFonts w:ascii="Arial" w:eastAsia="Arial" w:hAnsi="Arial" w:cs="Arial"/>
                <w:color w:val="000000"/>
                <w:sz w:val="20"/>
              </w:rPr>
              <w:t>Klíčové informace o implementaci prioritní osy s odkazem na klíčové události, významné problémy a opatření přijatá k jejich odstranění</w:t>
            </w:r>
          </w:p>
        </w:tc>
      </w:tr>
      <w:tr w:rsidR="00457252" w:rsidTr="00DA591F">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3"/>
              <w:jc w:val="center"/>
              <w:rPr>
                <w:rFonts w:ascii="Arial" w:eastAsia="Arial" w:hAnsi="Arial" w:cs="Arial"/>
                <w:color w:val="000000"/>
                <w:sz w:val="14"/>
              </w:rPr>
            </w:pPr>
            <w:r>
              <w:rPr>
                <w:rFonts w:ascii="Arial" w:eastAsia="Arial" w:hAnsi="Arial" w:cs="Arial"/>
                <w:color w:val="000000"/>
                <w:sz w:val="14"/>
              </w:rPr>
              <w:t>07.1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117" w:right="25"/>
              <w:rPr>
                <w:rFonts w:ascii="Arial" w:eastAsia="Arial" w:hAnsi="Arial" w:cs="Arial"/>
                <w:color w:val="000000"/>
                <w:sz w:val="14"/>
              </w:rPr>
            </w:pPr>
            <w:r>
              <w:rPr>
                <w:rFonts w:ascii="Arial" w:eastAsia="Arial" w:hAnsi="Arial" w:cs="Arial"/>
                <w:color w:val="000000"/>
                <w:sz w:val="14"/>
              </w:rPr>
              <w:t>Posílení výzkumu, technologického rozvoje a inovací</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743145"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Na projekty PO1 jsou alokovány finanční prostředky celkových způsobilých výdajů ve výši 124</w:t>
            </w:r>
            <w:proofErr w:type="gramStart"/>
            <w:r>
              <w:rPr>
                <w:rFonts w:ascii="Arial" w:eastAsia="Arial" w:hAnsi="Arial" w:cs="Arial"/>
                <w:color w:val="000000"/>
                <w:sz w:val="14"/>
              </w:rPr>
              <w:t>,99</w:t>
            </w:r>
            <w:proofErr w:type="gramEnd"/>
            <w:r>
              <w:rPr>
                <w:rFonts w:ascii="Arial" w:eastAsia="Arial" w:hAnsi="Arial" w:cs="Arial"/>
                <w:color w:val="000000"/>
                <w:sz w:val="14"/>
              </w:rPr>
              <w:t xml:space="preserve"> mil. EUR. Z toho k naplnění SC 1.1 Vyšší míra mezisektorové spolupráce stimulovaná regionální samosprávou je připraveno celkem 62</w:t>
            </w:r>
            <w:proofErr w:type="gramStart"/>
            <w:r>
              <w:rPr>
                <w:rFonts w:ascii="Arial" w:eastAsia="Arial" w:hAnsi="Arial" w:cs="Arial"/>
                <w:color w:val="000000"/>
                <w:sz w:val="14"/>
              </w:rPr>
              <w:t>,49</w:t>
            </w:r>
            <w:proofErr w:type="gramEnd"/>
            <w:r>
              <w:rPr>
                <w:rFonts w:ascii="Arial" w:eastAsia="Arial" w:hAnsi="Arial" w:cs="Arial"/>
                <w:color w:val="000000"/>
                <w:sz w:val="14"/>
              </w:rPr>
              <w:t xml:space="preserve"> mil. EUR, tj. 1</w:t>
            </w:r>
            <w:proofErr w:type="gramStart"/>
            <w:r>
              <w:rPr>
                <w:rFonts w:ascii="Arial" w:eastAsia="Arial" w:hAnsi="Arial" w:cs="Arial"/>
                <w:color w:val="000000"/>
                <w:sz w:val="14"/>
              </w:rPr>
              <w:t>,59</w:t>
            </w:r>
            <w:proofErr w:type="gramEnd"/>
            <w:r>
              <w:rPr>
                <w:rFonts w:ascii="Arial" w:eastAsia="Arial" w:hAnsi="Arial" w:cs="Arial"/>
                <w:color w:val="000000"/>
                <w:sz w:val="14"/>
              </w:rPr>
              <w:t xml:space="preserve"> mld. CZK při kurzu 25,474 CZK/EUR. Na SC 1.2 Snazší vznik a rozvoj znalostně intenzivních firem je výše alokace 62</w:t>
            </w:r>
            <w:proofErr w:type="gramStart"/>
            <w:r>
              <w:rPr>
                <w:rFonts w:ascii="Arial" w:eastAsia="Arial" w:hAnsi="Arial" w:cs="Arial"/>
                <w:color w:val="000000"/>
                <w:sz w:val="14"/>
              </w:rPr>
              <w:t>,49</w:t>
            </w:r>
            <w:proofErr w:type="gramEnd"/>
            <w:r>
              <w:rPr>
                <w:rFonts w:ascii="Arial" w:eastAsia="Arial" w:hAnsi="Arial" w:cs="Arial"/>
                <w:color w:val="000000"/>
                <w:sz w:val="14"/>
              </w:rPr>
              <w:t xml:space="preserve"> mil. EUR, tj. 1</w:t>
            </w:r>
            <w:proofErr w:type="gramStart"/>
            <w:r>
              <w:rPr>
                <w:rFonts w:ascii="Arial" w:eastAsia="Arial" w:hAnsi="Arial" w:cs="Arial"/>
                <w:color w:val="000000"/>
                <w:sz w:val="14"/>
              </w:rPr>
              <w:t>,59</w:t>
            </w:r>
            <w:proofErr w:type="gramEnd"/>
            <w:r>
              <w:rPr>
                <w:rFonts w:ascii="Arial" w:eastAsia="Arial" w:hAnsi="Arial" w:cs="Arial"/>
                <w:color w:val="000000"/>
                <w:sz w:val="14"/>
              </w:rPr>
              <w:t xml:space="preserve"> mld. CZK při kurzu 25,474 CZK/EUR.</w:t>
            </w:r>
          </w:p>
          <w:p w:rsidR="00743145"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Popis implementace PO 1 blíže viz kapitola 2. Závažné problémy a přijatá opatření k jejich odstranění viz kapitola 6a.</w:t>
            </w:r>
          </w:p>
          <w:p w:rsidR="00457252"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 xml:space="preserve">V průběhu roku 2017 byla zahájena realizace všech projektů ze 7.výzvy. Do realizace vstoupil i zasmluvněný projekt 10.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a především voucehrové projekty 9.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11.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V průběhu druhého pololetí roku 2017 začala realizovat i většina z projektů 8.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na inovační partnerství a PCP. Všechny projekty jsou vesměs v prvních fázích realizace, vyšší čerpání očekáváme v první polovině roku 2019 po jejich plném rozběhnutí, u 7.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se bude jednat už o ukončené projekty.</w:t>
            </w:r>
          </w:p>
        </w:tc>
      </w:tr>
      <w:tr w:rsidR="00457252" w:rsidTr="00DA591F">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3"/>
              <w:jc w:val="center"/>
              <w:rPr>
                <w:rFonts w:ascii="Arial" w:eastAsia="Arial" w:hAnsi="Arial" w:cs="Arial"/>
                <w:color w:val="000000"/>
                <w:sz w:val="14"/>
              </w:rPr>
            </w:pPr>
            <w:r>
              <w:rPr>
                <w:rFonts w:ascii="Arial" w:eastAsia="Arial" w:hAnsi="Arial" w:cs="Arial"/>
                <w:color w:val="000000"/>
                <w:sz w:val="14"/>
              </w:rPr>
              <w:t>07.2</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117" w:right="25"/>
              <w:rPr>
                <w:rFonts w:ascii="Arial" w:eastAsia="Arial" w:hAnsi="Arial" w:cs="Arial"/>
                <w:color w:val="000000"/>
                <w:sz w:val="14"/>
              </w:rPr>
            </w:pPr>
            <w:r>
              <w:rPr>
                <w:rFonts w:ascii="Arial" w:eastAsia="Arial" w:hAnsi="Arial" w:cs="Arial"/>
                <w:color w:val="000000"/>
                <w:sz w:val="14"/>
              </w:rPr>
              <w:t>Udržitelná mobilita a energetické úspory</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743145"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Na projekty PO2 jsou alokovány finanční prostředky celkových způsobilých výdajů ve výši 120</w:t>
            </w:r>
            <w:proofErr w:type="gramStart"/>
            <w:r>
              <w:rPr>
                <w:rFonts w:ascii="Arial" w:eastAsia="Arial" w:hAnsi="Arial" w:cs="Arial"/>
                <w:color w:val="000000"/>
                <w:sz w:val="14"/>
              </w:rPr>
              <w:t>,95</w:t>
            </w:r>
            <w:proofErr w:type="gramEnd"/>
            <w:r>
              <w:rPr>
                <w:rFonts w:ascii="Arial" w:eastAsia="Arial" w:hAnsi="Arial" w:cs="Arial"/>
                <w:color w:val="000000"/>
                <w:sz w:val="14"/>
              </w:rPr>
              <w:t xml:space="preserve"> mil. EUR. K naplnění specifického cíle 2.1 Energetické úspory v městských objektech dosažené také s využitím vhodných obnovitelných zdrojů energie, energeticky efektivních zařízení a inteligentních systému řízení je alokováno celkem 72</w:t>
            </w:r>
            <w:proofErr w:type="gramStart"/>
            <w:r>
              <w:rPr>
                <w:rFonts w:ascii="Arial" w:eastAsia="Arial" w:hAnsi="Arial" w:cs="Arial"/>
                <w:color w:val="000000"/>
                <w:sz w:val="14"/>
              </w:rPr>
              <w:t>,57</w:t>
            </w:r>
            <w:proofErr w:type="gramEnd"/>
            <w:r>
              <w:rPr>
                <w:rFonts w:ascii="Arial" w:eastAsia="Arial" w:hAnsi="Arial" w:cs="Arial"/>
                <w:color w:val="000000"/>
                <w:sz w:val="14"/>
              </w:rPr>
              <w:t xml:space="preserve"> mil. EUR, tj. 1, 85 mld. CZK při kurzu 25,474 CZK/EUR. Na SC 2.2 Zvyšování atraktivity užívání městské veřejné dopravy je výše alokace 48</w:t>
            </w:r>
            <w:proofErr w:type="gramStart"/>
            <w:r>
              <w:rPr>
                <w:rFonts w:ascii="Arial" w:eastAsia="Arial" w:hAnsi="Arial" w:cs="Arial"/>
                <w:color w:val="000000"/>
                <w:sz w:val="14"/>
              </w:rPr>
              <w:t>,38</w:t>
            </w:r>
            <w:proofErr w:type="gramEnd"/>
            <w:r>
              <w:rPr>
                <w:rFonts w:ascii="Arial" w:eastAsia="Arial" w:hAnsi="Arial" w:cs="Arial"/>
                <w:color w:val="000000"/>
                <w:sz w:val="14"/>
              </w:rPr>
              <w:t xml:space="preserve"> mil. EUR, tj. 1, 23 mld. CZK při kurzu 25,474 CZK/EUR. Do této sumy je také zahrnut finanční příděl pro integrované územní investice (ITI) 34</w:t>
            </w:r>
            <w:proofErr w:type="gramStart"/>
            <w:r>
              <w:rPr>
                <w:rFonts w:ascii="Arial" w:eastAsia="Arial" w:hAnsi="Arial" w:cs="Arial"/>
                <w:color w:val="000000"/>
                <w:sz w:val="14"/>
              </w:rPr>
              <w:t>,19</w:t>
            </w:r>
            <w:proofErr w:type="gramEnd"/>
            <w:r>
              <w:rPr>
                <w:rFonts w:ascii="Arial" w:eastAsia="Arial" w:hAnsi="Arial" w:cs="Arial"/>
                <w:color w:val="000000"/>
                <w:sz w:val="14"/>
              </w:rPr>
              <w:t xml:space="preserve"> mil. EUR, tj. 870</w:t>
            </w:r>
            <w:proofErr w:type="gramStart"/>
            <w:r>
              <w:rPr>
                <w:rFonts w:ascii="Arial" w:eastAsia="Arial" w:hAnsi="Arial" w:cs="Arial"/>
                <w:color w:val="000000"/>
                <w:sz w:val="14"/>
              </w:rPr>
              <w:t>,96</w:t>
            </w:r>
            <w:proofErr w:type="gramEnd"/>
            <w:r>
              <w:rPr>
                <w:rFonts w:ascii="Arial" w:eastAsia="Arial" w:hAnsi="Arial" w:cs="Arial"/>
                <w:color w:val="000000"/>
                <w:sz w:val="14"/>
              </w:rPr>
              <w:t xml:space="preserve"> mil. CZK při kurzu 25,474 CZK/EUR. V případě schválení revize č. 2 operačního programu dojde ke snížení hlavní alokace PO2 na </w:t>
            </w:r>
            <w:r w:rsidR="00DA591F">
              <w:rPr>
                <w:rFonts w:ascii="Arial" w:eastAsia="Arial" w:hAnsi="Arial" w:cs="Arial"/>
                <w:color w:val="000000"/>
                <w:sz w:val="14"/>
              </w:rPr>
              <w:br/>
            </w:r>
            <w:r>
              <w:rPr>
                <w:rFonts w:ascii="Arial" w:eastAsia="Arial" w:hAnsi="Arial" w:cs="Arial"/>
                <w:color w:val="000000"/>
                <w:sz w:val="14"/>
              </w:rPr>
              <w:t>106</w:t>
            </w:r>
            <w:proofErr w:type="gramStart"/>
            <w:r>
              <w:rPr>
                <w:rFonts w:ascii="Arial" w:eastAsia="Arial" w:hAnsi="Arial" w:cs="Arial"/>
                <w:color w:val="000000"/>
                <w:sz w:val="14"/>
              </w:rPr>
              <w:t>,7</w:t>
            </w:r>
            <w:proofErr w:type="gramEnd"/>
            <w:r>
              <w:rPr>
                <w:rFonts w:ascii="Arial" w:eastAsia="Arial" w:hAnsi="Arial" w:cs="Arial"/>
                <w:color w:val="000000"/>
                <w:sz w:val="14"/>
              </w:rPr>
              <w:t xml:space="preserve"> mil. EUR.</w:t>
            </w:r>
          </w:p>
          <w:p w:rsidR="00743145"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Popis implementace PO 2 blíže viz kapitola 2. Závažné problémy a přijatá opatření k jejich odstranění viz kapitola 6a.</w:t>
            </w:r>
          </w:p>
          <w:p w:rsidR="00457252"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 xml:space="preserve">V průběhu roku 2017  byla v rámci PO2 zahájema realizace celkem 12 projektů 10 projektů je realizováno v rámci výzev č. 13 a 31, zaměřených na energetické úspory ve veřejné dopravě. 1 projekt je realizován v rámci výzvy č. 40, zaměřené na energetické úspory </w:t>
            </w:r>
            <w:r w:rsidR="00743145">
              <w:rPr>
                <w:rFonts w:ascii="Arial" w:eastAsia="Arial" w:hAnsi="Arial" w:cs="Arial"/>
                <w:color w:val="000000"/>
                <w:sz w:val="14"/>
              </w:rPr>
              <w:br/>
            </w:r>
            <w:r>
              <w:rPr>
                <w:rFonts w:ascii="Arial" w:eastAsia="Arial" w:hAnsi="Arial" w:cs="Arial"/>
                <w:color w:val="000000"/>
                <w:sz w:val="14"/>
              </w:rPr>
              <w:t>v silniční dopravě, další schválený projekt v této výzvě bude zahájen v roce 2018. Další projekty ve výzvě č. 31 byly v průběhu roku 2017 schváleny, a zahájí realizaci v roce 2018.</w:t>
            </w:r>
          </w:p>
        </w:tc>
      </w:tr>
      <w:tr w:rsidR="00457252" w:rsidTr="00DA591F">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3"/>
              <w:jc w:val="center"/>
              <w:rPr>
                <w:rFonts w:ascii="Arial" w:eastAsia="Arial" w:hAnsi="Arial" w:cs="Arial"/>
                <w:color w:val="000000"/>
                <w:sz w:val="14"/>
              </w:rPr>
            </w:pPr>
            <w:r>
              <w:rPr>
                <w:rFonts w:ascii="Arial" w:eastAsia="Arial" w:hAnsi="Arial" w:cs="Arial"/>
                <w:color w:val="000000"/>
                <w:sz w:val="14"/>
              </w:rPr>
              <w:t>07.3</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117" w:right="25"/>
              <w:rPr>
                <w:rFonts w:ascii="Arial" w:eastAsia="Arial" w:hAnsi="Arial" w:cs="Arial"/>
                <w:color w:val="000000"/>
                <w:sz w:val="14"/>
              </w:rPr>
            </w:pPr>
            <w:r>
              <w:rPr>
                <w:rFonts w:ascii="Arial" w:eastAsia="Arial" w:hAnsi="Arial" w:cs="Arial"/>
                <w:color w:val="000000"/>
                <w:sz w:val="14"/>
              </w:rPr>
              <w:t xml:space="preserve">Podpora sociálního začleňování </w:t>
            </w:r>
            <w:r w:rsidR="00DA591F">
              <w:rPr>
                <w:rFonts w:ascii="Arial" w:eastAsia="Arial" w:hAnsi="Arial" w:cs="Arial"/>
                <w:color w:val="000000"/>
                <w:sz w:val="14"/>
              </w:rPr>
              <w:br/>
            </w:r>
            <w:r>
              <w:rPr>
                <w:rFonts w:ascii="Arial" w:eastAsia="Arial" w:hAnsi="Arial" w:cs="Arial"/>
                <w:color w:val="000000"/>
                <w:sz w:val="14"/>
              </w:rPr>
              <w:t>a boj proti chudobě</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DA591F"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Na projekty PO3 jsou alokovány finanční prostředky celkových způsobilých výdajů ve výši 51</w:t>
            </w:r>
            <w:proofErr w:type="gramStart"/>
            <w:r>
              <w:rPr>
                <w:rFonts w:ascii="Arial" w:eastAsia="Arial" w:hAnsi="Arial" w:cs="Arial"/>
                <w:color w:val="000000"/>
                <w:sz w:val="14"/>
              </w:rPr>
              <w:t>,61</w:t>
            </w:r>
            <w:proofErr w:type="gramEnd"/>
            <w:r>
              <w:rPr>
                <w:rFonts w:ascii="Arial" w:eastAsia="Arial" w:hAnsi="Arial" w:cs="Arial"/>
                <w:color w:val="000000"/>
                <w:sz w:val="14"/>
              </w:rPr>
              <w:t xml:space="preserve"> mil. EUR. Z toho k naplnění specifického cíle 3.1 je alokováno celkem </w:t>
            </w:r>
            <w:r w:rsidR="00DA591F">
              <w:rPr>
                <w:rFonts w:ascii="Arial" w:eastAsia="Arial" w:hAnsi="Arial" w:cs="Arial"/>
                <w:color w:val="000000"/>
                <w:sz w:val="14"/>
              </w:rPr>
              <w:br/>
            </w:r>
            <w:r>
              <w:rPr>
                <w:rFonts w:ascii="Arial" w:eastAsia="Arial" w:hAnsi="Arial" w:cs="Arial"/>
                <w:color w:val="000000"/>
                <w:sz w:val="14"/>
              </w:rPr>
              <w:t>22</w:t>
            </w:r>
            <w:proofErr w:type="gramStart"/>
            <w:r>
              <w:rPr>
                <w:rFonts w:ascii="Arial" w:eastAsia="Arial" w:hAnsi="Arial" w:cs="Arial"/>
                <w:color w:val="000000"/>
                <w:sz w:val="14"/>
              </w:rPr>
              <w:t>,58</w:t>
            </w:r>
            <w:proofErr w:type="gramEnd"/>
            <w:r>
              <w:rPr>
                <w:rFonts w:ascii="Arial" w:eastAsia="Arial" w:hAnsi="Arial" w:cs="Arial"/>
                <w:color w:val="000000"/>
                <w:sz w:val="14"/>
              </w:rPr>
              <w:t xml:space="preserve"> mil. EUR, tj. 575</w:t>
            </w:r>
            <w:proofErr w:type="gramStart"/>
            <w:r>
              <w:rPr>
                <w:rFonts w:ascii="Arial" w:eastAsia="Arial" w:hAnsi="Arial" w:cs="Arial"/>
                <w:color w:val="000000"/>
                <w:sz w:val="14"/>
              </w:rPr>
              <w:t>,20</w:t>
            </w:r>
            <w:proofErr w:type="gramEnd"/>
            <w:r>
              <w:rPr>
                <w:rFonts w:ascii="Arial" w:eastAsia="Arial" w:hAnsi="Arial" w:cs="Arial"/>
                <w:color w:val="000000"/>
                <w:sz w:val="14"/>
              </w:rPr>
              <w:t xml:space="preserve"> mil. CZK při kurzu 25,474 CZK/EUR. Na SC 3.2 je alokováno celkem 2</w:t>
            </w:r>
            <w:proofErr w:type="gramStart"/>
            <w:r>
              <w:rPr>
                <w:rFonts w:ascii="Arial" w:eastAsia="Arial" w:hAnsi="Arial" w:cs="Arial"/>
                <w:color w:val="000000"/>
                <w:sz w:val="14"/>
              </w:rPr>
              <w:t>,42</w:t>
            </w:r>
            <w:proofErr w:type="gramEnd"/>
            <w:r>
              <w:rPr>
                <w:rFonts w:ascii="Arial" w:eastAsia="Arial" w:hAnsi="Arial" w:cs="Arial"/>
                <w:color w:val="000000"/>
                <w:sz w:val="14"/>
              </w:rPr>
              <w:t xml:space="preserve"> mil. EUR, tj. 61</w:t>
            </w:r>
            <w:proofErr w:type="gramStart"/>
            <w:r>
              <w:rPr>
                <w:rFonts w:ascii="Arial" w:eastAsia="Arial" w:hAnsi="Arial" w:cs="Arial"/>
                <w:color w:val="000000"/>
                <w:sz w:val="14"/>
              </w:rPr>
              <w:t>,65</w:t>
            </w:r>
            <w:proofErr w:type="gramEnd"/>
            <w:r>
              <w:rPr>
                <w:rFonts w:ascii="Arial" w:eastAsia="Arial" w:hAnsi="Arial" w:cs="Arial"/>
                <w:color w:val="000000"/>
                <w:sz w:val="14"/>
              </w:rPr>
              <w:t xml:space="preserve"> mil. CZK při kurzu 25,474 CZK/EUR a na SC 3.3 je vyčleněno 26</w:t>
            </w:r>
            <w:proofErr w:type="gramStart"/>
            <w:r>
              <w:rPr>
                <w:rFonts w:ascii="Arial" w:eastAsia="Arial" w:hAnsi="Arial" w:cs="Arial"/>
                <w:color w:val="000000"/>
                <w:sz w:val="14"/>
              </w:rPr>
              <w:t>,61</w:t>
            </w:r>
            <w:proofErr w:type="gramEnd"/>
            <w:r>
              <w:rPr>
                <w:rFonts w:ascii="Arial" w:eastAsia="Arial" w:hAnsi="Arial" w:cs="Arial"/>
                <w:color w:val="000000"/>
                <w:sz w:val="14"/>
              </w:rPr>
              <w:t xml:space="preserve"> mil. EUR, tj. 677</w:t>
            </w:r>
            <w:proofErr w:type="gramStart"/>
            <w:r>
              <w:rPr>
                <w:rFonts w:ascii="Arial" w:eastAsia="Arial" w:hAnsi="Arial" w:cs="Arial"/>
                <w:color w:val="000000"/>
                <w:sz w:val="14"/>
              </w:rPr>
              <w:t>,86</w:t>
            </w:r>
            <w:proofErr w:type="gramEnd"/>
            <w:r>
              <w:rPr>
                <w:rFonts w:ascii="Arial" w:eastAsia="Arial" w:hAnsi="Arial" w:cs="Arial"/>
                <w:color w:val="000000"/>
                <w:sz w:val="14"/>
              </w:rPr>
              <w:t xml:space="preserve"> mil. CZK při kurzu 25,474 CZK/EUR. V rámci PO3 probíhá využívání křížového financování pouze u projektů spolufinancovaných z ESF.</w:t>
            </w:r>
          </w:p>
          <w:p w:rsidR="00DA591F"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Popis implementace PO 3 blíže viz kapitola 2. Závažné problémy a přijatá opatření k jejich odstranění viz kapitola 6a.</w:t>
            </w:r>
          </w:p>
          <w:p w:rsidR="00457252"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 xml:space="preserve">V průběhu roku 2017 pokračovala realizace projektů schválených ve výzvě č. 6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a byla zahájena realizace projektů schválených ve výzvě č. 17 a 18 u těchto projektů byly administrovány zprávy o realizaci a realizovány kontroly na místě. Na podzim roku 2017 probíhala ex ante kontrola projektů 25.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27. </w:t>
            </w:r>
            <w:proofErr w:type="gramStart"/>
            <w:r>
              <w:rPr>
                <w:rFonts w:ascii="Arial" w:eastAsia="Arial" w:hAnsi="Arial" w:cs="Arial"/>
                <w:color w:val="000000"/>
                <w:sz w:val="14"/>
              </w:rPr>
              <w:t>výzvy</w:t>
            </w:r>
            <w:proofErr w:type="gramEnd"/>
            <w:r>
              <w:rPr>
                <w:rFonts w:ascii="Arial" w:eastAsia="Arial" w:hAnsi="Arial" w:cs="Arial"/>
                <w:color w:val="000000"/>
                <w:sz w:val="14"/>
              </w:rPr>
              <w:t>, uzavírání Smluv o financování bude dokončeno začátkem roku 2018. Byly pořádány semináře pro žadatele a příjemce.</w:t>
            </w:r>
          </w:p>
        </w:tc>
      </w:tr>
      <w:tr w:rsidR="00457252" w:rsidTr="00DA591F">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3"/>
              <w:jc w:val="center"/>
              <w:rPr>
                <w:rFonts w:ascii="Arial" w:eastAsia="Arial" w:hAnsi="Arial" w:cs="Arial"/>
                <w:color w:val="000000"/>
                <w:sz w:val="14"/>
              </w:rPr>
            </w:pPr>
            <w:r>
              <w:rPr>
                <w:rFonts w:ascii="Arial" w:eastAsia="Arial" w:hAnsi="Arial" w:cs="Arial"/>
                <w:color w:val="000000"/>
                <w:sz w:val="14"/>
              </w:rPr>
              <w:t>07.4</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117" w:right="25"/>
              <w:rPr>
                <w:rFonts w:ascii="Arial" w:eastAsia="Arial" w:hAnsi="Arial" w:cs="Arial"/>
                <w:color w:val="000000"/>
                <w:sz w:val="14"/>
              </w:rPr>
            </w:pPr>
            <w:r>
              <w:rPr>
                <w:rFonts w:ascii="Arial" w:eastAsia="Arial" w:hAnsi="Arial" w:cs="Arial"/>
                <w:color w:val="000000"/>
                <w:sz w:val="14"/>
              </w:rPr>
              <w:t>Vzdělání a vzdělanost a podpora zaměstnanosti</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DA591F"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 xml:space="preserve">Na projekty PO4 jsou alokovány finanční prostředky celk. </w:t>
            </w:r>
            <w:proofErr w:type="gramStart"/>
            <w:r>
              <w:rPr>
                <w:rFonts w:ascii="Arial" w:eastAsia="Arial" w:hAnsi="Arial" w:cs="Arial"/>
                <w:color w:val="000000"/>
                <w:sz w:val="14"/>
              </w:rPr>
              <w:t>zp</w:t>
            </w:r>
            <w:proofErr w:type="gramEnd"/>
            <w:r>
              <w:rPr>
                <w:rFonts w:ascii="Arial" w:eastAsia="Arial" w:hAnsi="Arial" w:cs="Arial"/>
                <w:color w:val="000000"/>
                <w:sz w:val="14"/>
              </w:rPr>
              <w:t xml:space="preserve">. </w:t>
            </w:r>
            <w:proofErr w:type="gramStart"/>
            <w:r>
              <w:rPr>
                <w:rFonts w:ascii="Arial" w:eastAsia="Arial" w:hAnsi="Arial" w:cs="Arial"/>
                <w:color w:val="000000"/>
                <w:sz w:val="14"/>
              </w:rPr>
              <w:t>výdajů</w:t>
            </w:r>
            <w:proofErr w:type="gramEnd"/>
            <w:r>
              <w:rPr>
                <w:rFonts w:ascii="Arial" w:eastAsia="Arial" w:hAnsi="Arial" w:cs="Arial"/>
                <w:color w:val="000000"/>
                <w:sz w:val="14"/>
              </w:rPr>
              <w:t xml:space="preserve"> ve výši 89,5 mil. EUR, tj. 2</w:t>
            </w:r>
            <w:proofErr w:type="gramStart"/>
            <w:r>
              <w:rPr>
                <w:rFonts w:ascii="Arial" w:eastAsia="Arial" w:hAnsi="Arial" w:cs="Arial"/>
                <w:color w:val="000000"/>
                <w:sz w:val="14"/>
              </w:rPr>
              <w:t>,28</w:t>
            </w:r>
            <w:proofErr w:type="gramEnd"/>
            <w:r>
              <w:rPr>
                <w:rFonts w:ascii="Arial" w:eastAsia="Arial" w:hAnsi="Arial" w:cs="Arial"/>
                <w:color w:val="000000"/>
                <w:sz w:val="14"/>
              </w:rPr>
              <w:t xml:space="preserve"> mld. CZK při kurzu 25,474 CZK/EUR. Z toho k naplnění SC 4.1 je připraveno celkem 36</w:t>
            </w:r>
            <w:proofErr w:type="gramStart"/>
            <w:r>
              <w:rPr>
                <w:rFonts w:ascii="Arial" w:eastAsia="Arial" w:hAnsi="Arial" w:cs="Arial"/>
                <w:color w:val="000000"/>
                <w:sz w:val="14"/>
              </w:rPr>
              <w:t>,3</w:t>
            </w:r>
            <w:proofErr w:type="gramEnd"/>
            <w:r>
              <w:rPr>
                <w:rFonts w:ascii="Arial" w:eastAsia="Arial" w:hAnsi="Arial" w:cs="Arial"/>
                <w:color w:val="000000"/>
                <w:sz w:val="14"/>
              </w:rPr>
              <w:t xml:space="preserve"> mil. EUR, tj. 924</w:t>
            </w:r>
            <w:proofErr w:type="gramStart"/>
            <w:r>
              <w:rPr>
                <w:rFonts w:ascii="Arial" w:eastAsia="Arial" w:hAnsi="Arial" w:cs="Arial"/>
                <w:color w:val="000000"/>
                <w:sz w:val="14"/>
              </w:rPr>
              <w:t>,71</w:t>
            </w:r>
            <w:proofErr w:type="gramEnd"/>
            <w:r>
              <w:rPr>
                <w:rFonts w:ascii="Arial" w:eastAsia="Arial" w:hAnsi="Arial" w:cs="Arial"/>
                <w:color w:val="000000"/>
                <w:sz w:val="14"/>
              </w:rPr>
              <w:t xml:space="preserve"> mil. CZK při kurzu 25,474 CZK/EUR. Na SC 4.2 je výše alokace 47</w:t>
            </w:r>
            <w:proofErr w:type="gramStart"/>
            <w:r>
              <w:rPr>
                <w:rFonts w:ascii="Arial" w:eastAsia="Arial" w:hAnsi="Arial" w:cs="Arial"/>
                <w:color w:val="000000"/>
                <w:sz w:val="14"/>
              </w:rPr>
              <w:t>,2</w:t>
            </w:r>
            <w:proofErr w:type="gramEnd"/>
            <w:r>
              <w:rPr>
                <w:rFonts w:ascii="Arial" w:eastAsia="Arial" w:hAnsi="Arial" w:cs="Arial"/>
                <w:color w:val="000000"/>
                <w:sz w:val="14"/>
              </w:rPr>
              <w:t xml:space="preserve"> mil. EUR, tj. 1</w:t>
            </w:r>
            <w:proofErr w:type="gramStart"/>
            <w:r>
              <w:rPr>
                <w:rFonts w:ascii="Arial" w:eastAsia="Arial" w:hAnsi="Arial" w:cs="Arial"/>
                <w:color w:val="000000"/>
                <w:sz w:val="14"/>
              </w:rPr>
              <w:t>,2</w:t>
            </w:r>
            <w:proofErr w:type="gramEnd"/>
            <w:r>
              <w:rPr>
                <w:rFonts w:ascii="Arial" w:eastAsia="Arial" w:hAnsi="Arial" w:cs="Arial"/>
                <w:color w:val="000000"/>
                <w:sz w:val="14"/>
              </w:rPr>
              <w:t xml:space="preserve"> mld. CZK při kurzu 25,474 CZK/EUR. Výše alokace SC 4.3 je 6</w:t>
            </w:r>
            <w:proofErr w:type="gramStart"/>
            <w:r>
              <w:rPr>
                <w:rFonts w:ascii="Arial" w:eastAsia="Arial" w:hAnsi="Arial" w:cs="Arial"/>
                <w:color w:val="000000"/>
                <w:sz w:val="14"/>
              </w:rPr>
              <w:t>,04</w:t>
            </w:r>
            <w:proofErr w:type="gramEnd"/>
            <w:r>
              <w:rPr>
                <w:rFonts w:ascii="Arial" w:eastAsia="Arial" w:hAnsi="Arial" w:cs="Arial"/>
                <w:color w:val="000000"/>
                <w:sz w:val="14"/>
              </w:rPr>
              <w:t xml:space="preserve"> mil. EUR, tj. 153</w:t>
            </w:r>
            <w:proofErr w:type="gramStart"/>
            <w:r>
              <w:rPr>
                <w:rFonts w:ascii="Arial" w:eastAsia="Arial" w:hAnsi="Arial" w:cs="Arial"/>
                <w:color w:val="000000"/>
                <w:sz w:val="14"/>
              </w:rPr>
              <w:t>,86</w:t>
            </w:r>
            <w:proofErr w:type="gramEnd"/>
            <w:r>
              <w:rPr>
                <w:rFonts w:ascii="Arial" w:eastAsia="Arial" w:hAnsi="Arial" w:cs="Arial"/>
                <w:color w:val="000000"/>
                <w:sz w:val="14"/>
              </w:rPr>
              <w:t xml:space="preserve"> mil. CZK při kurzu 25,474 CZK/EUR. </w:t>
            </w:r>
          </w:p>
          <w:p w:rsidR="00DA591F"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Popis implementace PO4 blíže viz kapitola 2. Závažné problémy a přijatá opatření k jejich odstranění viz kapitola 6a.</w:t>
            </w:r>
          </w:p>
          <w:p w:rsidR="00457252"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 xml:space="preserve">V průběhu roku 2017 pokračovala realizace projektů schválených ve výzvě č. 1 (SC. 4.1), 2 (SC 4.2), 3 (SC 4.3), v celkovém počtu 57 projektů. Realizace byla zahájena u projektů schválených ve výzvě č. 19 (SC. 4.1), 22 (SC 4.3), 21 (SC 4.2) a 23 (SC. 4.1), v celkovém počtu 87 projektů. Byly vyhlášeny celkem 4 výzvy, v srpnu 2017 výzva č. 41 (SC 4.2), </w:t>
            </w:r>
            <w:r w:rsidR="00DA591F">
              <w:rPr>
                <w:rFonts w:ascii="Arial" w:eastAsia="Arial" w:hAnsi="Arial" w:cs="Arial"/>
                <w:color w:val="000000"/>
                <w:sz w:val="14"/>
              </w:rPr>
              <w:br/>
            </w:r>
            <w:r>
              <w:rPr>
                <w:rFonts w:ascii="Arial" w:eastAsia="Arial" w:hAnsi="Arial" w:cs="Arial"/>
                <w:color w:val="000000"/>
                <w:sz w:val="14"/>
              </w:rPr>
              <w:t xml:space="preserve">v říjnu výzva č. 36 a 37 (SC 4.1) a v listopadu výzva č. 28 (SC 4.2). Dále bylo v roce 2017 </w:t>
            </w:r>
            <w:proofErr w:type="gramStart"/>
            <w:r>
              <w:rPr>
                <w:rFonts w:ascii="Arial" w:eastAsia="Arial" w:hAnsi="Arial" w:cs="Arial"/>
                <w:color w:val="000000"/>
                <w:sz w:val="14"/>
              </w:rPr>
              <w:t>ve  20</w:t>
            </w:r>
            <w:proofErr w:type="gramEnd"/>
            <w:r>
              <w:rPr>
                <w:rFonts w:ascii="Arial" w:eastAsia="Arial" w:hAnsi="Arial" w:cs="Arial"/>
                <w:color w:val="000000"/>
                <w:sz w:val="14"/>
              </w:rPr>
              <w:t xml:space="preserve">. výzvě (SC 4.1) schváleno ZHMP celkem 98 žádostí o podporu, u nichž bude v roce 2018 provedena ex-ante kontrola a uzavřena Smlouva o financování a začne realizace projektů. V roce 2017 intenzivně probíhala administrativní ověření Zpráv o realizaci </w:t>
            </w:r>
            <w:r w:rsidR="00DA591F">
              <w:rPr>
                <w:rFonts w:ascii="Arial" w:eastAsia="Arial" w:hAnsi="Arial" w:cs="Arial"/>
                <w:color w:val="000000"/>
                <w:sz w:val="14"/>
              </w:rPr>
              <w:br/>
            </w:r>
            <w:r>
              <w:rPr>
                <w:rFonts w:ascii="Arial" w:eastAsia="Arial" w:hAnsi="Arial" w:cs="Arial"/>
                <w:color w:val="000000"/>
                <w:sz w:val="14"/>
              </w:rPr>
              <w:t xml:space="preserve">a Žádostí o platbu u projektů v realizaci, probíhala ex-ante kontrola výzvy č. 19, 21, 22 </w:t>
            </w:r>
            <w:r w:rsidR="00DA591F">
              <w:rPr>
                <w:rFonts w:ascii="Arial" w:eastAsia="Arial" w:hAnsi="Arial" w:cs="Arial"/>
                <w:color w:val="000000"/>
                <w:sz w:val="14"/>
              </w:rPr>
              <w:br/>
            </w:r>
            <w:r>
              <w:rPr>
                <w:rFonts w:ascii="Arial" w:eastAsia="Arial" w:hAnsi="Arial" w:cs="Arial"/>
                <w:color w:val="000000"/>
                <w:sz w:val="14"/>
              </w:rPr>
              <w:t>a 23, dale kontroly na místě a byly pořádány semináře pro žadatele a příjemce.</w:t>
            </w:r>
          </w:p>
        </w:tc>
      </w:tr>
      <w:tr w:rsidR="00457252" w:rsidTr="00DA591F">
        <w:tc>
          <w:tcPr>
            <w:tcW w:w="81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3"/>
              <w:jc w:val="center"/>
              <w:rPr>
                <w:rFonts w:ascii="Arial" w:eastAsia="Arial" w:hAnsi="Arial" w:cs="Arial"/>
                <w:color w:val="000000"/>
                <w:sz w:val="14"/>
              </w:rPr>
            </w:pPr>
            <w:r>
              <w:rPr>
                <w:rFonts w:ascii="Arial" w:eastAsia="Arial" w:hAnsi="Arial" w:cs="Arial"/>
                <w:color w:val="000000"/>
                <w:sz w:val="14"/>
              </w:rPr>
              <w:lastRenderedPageBreak/>
              <w:t>07.5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rsidP="00DA591F">
            <w:pPr>
              <w:ind w:left="117" w:right="25"/>
              <w:rPr>
                <w:rFonts w:ascii="Arial" w:eastAsia="Arial" w:hAnsi="Arial" w:cs="Arial"/>
                <w:color w:val="000000"/>
                <w:sz w:val="14"/>
              </w:rPr>
            </w:pPr>
            <w:r>
              <w:rPr>
                <w:rFonts w:ascii="Arial" w:eastAsia="Arial" w:hAnsi="Arial" w:cs="Arial"/>
                <w:color w:val="000000"/>
                <w:sz w:val="14"/>
              </w:rPr>
              <w:t>Technická pomoc</w:t>
            </w:r>
          </w:p>
        </w:tc>
        <w:tc>
          <w:tcPr>
            <w:tcW w:w="5812" w:type="dxa"/>
            <w:tcBorders>
              <w:top w:val="single" w:sz="4" w:space="0" w:color="000000"/>
              <w:left w:val="single" w:sz="4" w:space="0" w:color="000000"/>
              <w:bottom w:val="single" w:sz="4" w:space="0" w:color="000000"/>
              <w:right w:val="single" w:sz="4" w:space="0" w:color="000000"/>
            </w:tcBorders>
            <w:shd w:val="clear" w:color="auto" w:fill="FFFFFF"/>
          </w:tcPr>
          <w:p w:rsidR="00DA591F" w:rsidRPr="00B45D41" w:rsidRDefault="00697A5C" w:rsidP="00DA591F">
            <w:pPr>
              <w:keepNext/>
              <w:spacing w:after="120"/>
              <w:ind w:left="119" w:right="164"/>
              <w:jc w:val="both"/>
              <w:rPr>
                <w:rFonts w:ascii="Arial" w:eastAsia="Arial" w:hAnsi="Arial" w:cs="Arial"/>
                <w:color w:val="000000"/>
                <w:sz w:val="14"/>
              </w:rPr>
            </w:pPr>
            <w:r w:rsidRPr="00B45D41">
              <w:rPr>
                <w:rFonts w:ascii="Arial" w:eastAsia="Arial" w:hAnsi="Arial" w:cs="Arial"/>
                <w:color w:val="000000"/>
                <w:sz w:val="14"/>
              </w:rPr>
              <w:t>Projekt Technická pomoc OP PPR</w:t>
            </w:r>
            <w:r w:rsidR="00DA591F" w:rsidRPr="00B45D41">
              <w:rPr>
                <w:rFonts w:ascii="Arial" w:eastAsia="Arial" w:hAnsi="Arial" w:cs="Arial"/>
                <w:color w:val="000000"/>
                <w:sz w:val="14"/>
              </w:rPr>
              <w:t>:</w:t>
            </w:r>
          </w:p>
          <w:p w:rsidR="00DA591F" w:rsidRPr="00B45D41" w:rsidRDefault="00697A5C" w:rsidP="00DA591F">
            <w:pPr>
              <w:spacing w:after="120"/>
              <w:ind w:left="117" w:right="167"/>
              <w:jc w:val="both"/>
              <w:rPr>
                <w:rFonts w:ascii="Arial" w:eastAsia="Arial" w:hAnsi="Arial" w:cs="Arial"/>
                <w:color w:val="000000"/>
                <w:sz w:val="14"/>
              </w:rPr>
            </w:pPr>
            <w:r w:rsidRPr="00B45D41">
              <w:rPr>
                <w:rFonts w:ascii="Arial" w:eastAsia="Arial" w:hAnsi="Arial" w:cs="Arial"/>
                <w:color w:val="000000"/>
                <w:sz w:val="14"/>
              </w:rPr>
              <w:t xml:space="preserve">V období 1. 12. 2016 - 31. 5. 2017 byly realizovány činnosti v rámci všech aktivit. V rámci aktivity č. 1 byly podpořeny mzdy. V rámci aktivity č. 2 bylo podpořeno právní poradenství, zpracování odborné analýzy "Zlepšení a zefektivnění komunikace řídícího orgánu Operačního programu Praha - pól růstu ČR s Evropskou komisí", odborné poradenství od Komory dotačních poradců, prověření podmínek spolupráce s EIF a prověření podmínek začlenění FN do implementační struktury NIF, zpracování evaluace "Evaluace efektů </w:t>
            </w:r>
            <w:r w:rsidR="00DA591F" w:rsidRPr="00B45D41">
              <w:rPr>
                <w:rFonts w:ascii="Arial" w:eastAsia="Arial" w:hAnsi="Arial" w:cs="Arial"/>
                <w:color w:val="000000"/>
                <w:sz w:val="14"/>
              </w:rPr>
              <w:br/>
            </w:r>
            <w:r w:rsidRPr="00B45D41">
              <w:rPr>
                <w:rFonts w:ascii="Arial" w:eastAsia="Arial" w:hAnsi="Arial" w:cs="Arial"/>
                <w:color w:val="000000"/>
                <w:sz w:val="14"/>
              </w:rPr>
              <w:t xml:space="preserve">a dopadů dosažených realizací Operačního programu Praha - Konkurenceschopnost" </w:t>
            </w:r>
            <w:r w:rsidR="00DA591F" w:rsidRPr="00B45D41">
              <w:rPr>
                <w:rFonts w:ascii="Arial" w:eastAsia="Arial" w:hAnsi="Arial" w:cs="Arial"/>
                <w:color w:val="000000"/>
                <w:sz w:val="14"/>
              </w:rPr>
              <w:br/>
            </w:r>
            <w:r w:rsidRPr="00B45D41">
              <w:rPr>
                <w:rFonts w:ascii="Arial" w:eastAsia="Arial" w:hAnsi="Arial" w:cs="Arial"/>
                <w:color w:val="000000"/>
                <w:sz w:val="14"/>
              </w:rPr>
              <w:t xml:space="preserve">a překladatelské služby. U aktivity č. 3 bylo podpořeno výjezdní zasedání odboru, výuka anglického jazyka, konference, workshopy a školení pro </w:t>
            </w:r>
            <w:proofErr w:type="gramStart"/>
            <w:r w:rsidRPr="00B45D41">
              <w:rPr>
                <w:rFonts w:ascii="Arial" w:eastAsia="Arial" w:hAnsi="Arial" w:cs="Arial"/>
                <w:color w:val="000000"/>
                <w:sz w:val="14"/>
              </w:rPr>
              <w:t>zaměstnance .</w:t>
            </w:r>
            <w:proofErr w:type="gramEnd"/>
            <w:r w:rsidRPr="00B45D41">
              <w:rPr>
                <w:rFonts w:ascii="Arial" w:eastAsia="Arial" w:hAnsi="Arial" w:cs="Arial"/>
                <w:color w:val="000000"/>
                <w:sz w:val="14"/>
              </w:rPr>
              <w:t xml:space="preserve"> U aktivity č. 4 byly podpořeny pracovní skupiny, plánovací komise, Monitorovací výbor OP PPR. U aktivity </w:t>
            </w:r>
            <w:r w:rsidR="00DA591F" w:rsidRPr="00B45D41">
              <w:rPr>
                <w:rFonts w:ascii="Arial" w:eastAsia="Arial" w:hAnsi="Arial" w:cs="Arial"/>
                <w:color w:val="000000"/>
                <w:sz w:val="14"/>
              </w:rPr>
              <w:br/>
            </w:r>
            <w:r w:rsidRPr="00B45D41">
              <w:rPr>
                <w:rFonts w:ascii="Arial" w:eastAsia="Arial" w:hAnsi="Arial" w:cs="Arial"/>
                <w:color w:val="000000"/>
                <w:sz w:val="14"/>
              </w:rPr>
              <w:t xml:space="preserve">č. 5 byla podpořena školení hodnotitelů a jejich činnost. V rámci aktivity č. 6 byl podpořen provoz www prezentací, nákup drobného občerstvení na semináře pro žadatele a příjemce a další akce OP PPR, uveřejnění formuláře na ISVZ atd. Celkem </w:t>
            </w:r>
            <w:proofErr w:type="gramStart"/>
            <w:r w:rsidRPr="00B45D41">
              <w:rPr>
                <w:rFonts w:ascii="Arial" w:eastAsia="Arial" w:hAnsi="Arial" w:cs="Arial"/>
                <w:color w:val="000000"/>
                <w:sz w:val="14"/>
              </w:rPr>
              <w:t>za  18</w:t>
            </w:r>
            <w:proofErr w:type="gramEnd"/>
            <w:r w:rsidRPr="00B45D41">
              <w:rPr>
                <w:rFonts w:ascii="Arial" w:eastAsia="Arial" w:hAnsi="Arial" w:cs="Arial"/>
                <w:color w:val="000000"/>
                <w:sz w:val="14"/>
              </w:rPr>
              <w:t xml:space="preserve"> 639 285,34 Kč. </w:t>
            </w:r>
          </w:p>
          <w:p w:rsidR="00DA591F" w:rsidRPr="00B45D41" w:rsidRDefault="00697A5C" w:rsidP="00DA591F">
            <w:pPr>
              <w:spacing w:after="120"/>
              <w:ind w:left="117" w:right="167"/>
              <w:jc w:val="both"/>
              <w:rPr>
                <w:rFonts w:ascii="Arial" w:eastAsia="Arial" w:hAnsi="Arial" w:cs="Arial"/>
                <w:color w:val="000000"/>
                <w:sz w:val="14"/>
              </w:rPr>
            </w:pPr>
            <w:r w:rsidRPr="00B45D41">
              <w:rPr>
                <w:rFonts w:ascii="Arial" w:eastAsia="Arial" w:hAnsi="Arial" w:cs="Arial"/>
                <w:color w:val="000000"/>
                <w:sz w:val="14"/>
              </w:rPr>
              <w:t>V období 1. 6. - 30. 11. 2017 byly realizovány činnosti v rámci všech aktivit. V rámci aktivity č. 1 byly podpořeny mzdy. U aktivity č. 2 bylo podpořeno právní poradenství, překladatelské služby, vypracování První průběžné evaluace OP PPR, expertní zpracování návrhu revize OP PPR</w:t>
            </w:r>
            <w:proofErr w:type="gramStart"/>
            <w:r w:rsidRPr="00B45D41">
              <w:rPr>
                <w:rFonts w:ascii="Arial" w:eastAsia="Arial" w:hAnsi="Arial" w:cs="Arial"/>
                <w:color w:val="000000"/>
                <w:sz w:val="14"/>
              </w:rPr>
              <w:t>?,</w:t>
            </w:r>
            <w:proofErr w:type="gramEnd"/>
            <w:r w:rsidRPr="00B45D41">
              <w:rPr>
                <w:rFonts w:ascii="Arial" w:eastAsia="Arial" w:hAnsi="Arial" w:cs="Arial"/>
                <w:color w:val="000000"/>
                <w:sz w:val="14"/>
              </w:rPr>
              <w:t xml:space="preserve"> určení hodnoty indikátoru 5 00 01 (1. fáze),  kontrola úplnosti a formální správnosti dokumentace vč. </w:t>
            </w:r>
            <w:proofErr w:type="gramStart"/>
            <w:r w:rsidRPr="00B45D41">
              <w:rPr>
                <w:rFonts w:ascii="Arial" w:eastAsia="Arial" w:hAnsi="Arial" w:cs="Arial"/>
                <w:color w:val="000000"/>
                <w:sz w:val="14"/>
              </w:rPr>
              <w:t>analýzy</w:t>
            </w:r>
            <w:proofErr w:type="gramEnd"/>
            <w:r w:rsidRPr="00B45D41">
              <w:rPr>
                <w:rFonts w:ascii="Arial" w:eastAsia="Arial" w:hAnsi="Arial" w:cs="Arial"/>
                <w:color w:val="000000"/>
                <w:sz w:val="14"/>
              </w:rPr>
              <w:t xml:space="preserve"> položkového rozpočtu stavby atd. V rámci aktivity č. 3 bylo podpořeno výjezdní zasedání odboru, výuka anglického jazyka, kurzy a školení pro zaměstnance. U aktivity č. 4 byly podpořeny pracovní skupiny, plánovací komise, výroční jednání odboru a Monitorovací výbor OP PPR atd. U aktivity </w:t>
            </w:r>
            <w:r w:rsidR="00DA591F" w:rsidRPr="00B45D41">
              <w:rPr>
                <w:rFonts w:ascii="Arial" w:eastAsia="Arial" w:hAnsi="Arial" w:cs="Arial"/>
                <w:color w:val="000000"/>
                <w:sz w:val="14"/>
              </w:rPr>
              <w:br/>
            </w:r>
            <w:r w:rsidRPr="00B45D41">
              <w:rPr>
                <w:rFonts w:ascii="Arial" w:eastAsia="Arial" w:hAnsi="Arial" w:cs="Arial"/>
                <w:color w:val="000000"/>
                <w:sz w:val="14"/>
              </w:rPr>
              <w:t xml:space="preserve">č. 5 byla podpořena školení hodnotitelů a jejich činnost. U aktivity č. 6 byl podpořen provoz www prezentací, nákup drobného občerstvení </w:t>
            </w:r>
            <w:proofErr w:type="gramStart"/>
            <w:r w:rsidRPr="00B45D41">
              <w:rPr>
                <w:rFonts w:ascii="Arial" w:eastAsia="Arial" w:hAnsi="Arial" w:cs="Arial"/>
                <w:color w:val="000000"/>
                <w:sz w:val="14"/>
              </w:rPr>
              <w:t>a</w:t>
            </w:r>
            <w:proofErr w:type="gramEnd"/>
            <w:r w:rsidRPr="00B45D41">
              <w:rPr>
                <w:rFonts w:ascii="Arial" w:eastAsia="Arial" w:hAnsi="Arial" w:cs="Arial"/>
                <w:color w:val="000000"/>
                <w:sz w:val="14"/>
              </w:rPr>
              <w:t xml:space="preserve"> uveřejnění formuláře na ISVZ atd. Celkem za 23 943 899</w:t>
            </w:r>
            <w:proofErr w:type="gramStart"/>
            <w:r w:rsidRPr="00B45D41">
              <w:rPr>
                <w:rFonts w:ascii="Arial" w:eastAsia="Arial" w:hAnsi="Arial" w:cs="Arial"/>
                <w:color w:val="000000"/>
                <w:sz w:val="14"/>
              </w:rPr>
              <w:t>,88</w:t>
            </w:r>
            <w:proofErr w:type="gramEnd"/>
            <w:r w:rsidRPr="00B45D41">
              <w:rPr>
                <w:rFonts w:ascii="Arial" w:eastAsia="Arial" w:hAnsi="Arial" w:cs="Arial"/>
                <w:color w:val="000000"/>
                <w:sz w:val="14"/>
              </w:rPr>
              <w:t xml:space="preserve"> Kč. </w:t>
            </w:r>
          </w:p>
          <w:p w:rsidR="00DA591F" w:rsidRPr="00B45D41" w:rsidRDefault="00697A5C" w:rsidP="00DA591F">
            <w:pPr>
              <w:spacing w:after="120"/>
              <w:ind w:left="117" w:right="167"/>
              <w:jc w:val="both"/>
              <w:rPr>
                <w:rFonts w:ascii="Arial" w:eastAsia="Arial" w:hAnsi="Arial" w:cs="Arial"/>
                <w:color w:val="000000"/>
                <w:sz w:val="14"/>
              </w:rPr>
            </w:pPr>
            <w:r w:rsidRPr="00B45D41">
              <w:rPr>
                <w:rFonts w:ascii="Arial" w:eastAsia="Arial" w:hAnsi="Arial" w:cs="Arial"/>
                <w:color w:val="000000"/>
                <w:sz w:val="14"/>
              </w:rPr>
              <w:t>Projekt Publicita a informovanost o OP PPR</w:t>
            </w:r>
            <w:r w:rsidR="00DA591F" w:rsidRPr="00B45D41">
              <w:rPr>
                <w:rFonts w:ascii="Arial" w:eastAsia="Arial" w:hAnsi="Arial" w:cs="Arial"/>
                <w:color w:val="000000"/>
                <w:sz w:val="14"/>
              </w:rPr>
              <w:t>:</w:t>
            </w:r>
          </w:p>
          <w:p w:rsidR="00DA591F" w:rsidRPr="00B45D41" w:rsidRDefault="00697A5C" w:rsidP="00DA591F">
            <w:pPr>
              <w:spacing w:after="120"/>
              <w:ind w:left="117" w:right="167"/>
              <w:jc w:val="both"/>
              <w:rPr>
                <w:rFonts w:ascii="Arial" w:eastAsia="Arial" w:hAnsi="Arial" w:cs="Arial"/>
                <w:color w:val="000000"/>
                <w:sz w:val="14"/>
              </w:rPr>
            </w:pPr>
            <w:r w:rsidRPr="00B45D41">
              <w:rPr>
                <w:rFonts w:ascii="Arial" w:eastAsia="Arial" w:hAnsi="Arial" w:cs="Arial"/>
                <w:color w:val="000000"/>
                <w:sz w:val="14"/>
              </w:rPr>
              <w:t xml:space="preserve">V období 1. 1. - 30. 6. 2017 byly realizovány činnosti v </w:t>
            </w:r>
            <w:proofErr w:type="gramStart"/>
            <w:r w:rsidRPr="00B45D41">
              <w:rPr>
                <w:rFonts w:ascii="Arial" w:eastAsia="Arial" w:hAnsi="Arial" w:cs="Arial"/>
                <w:color w:val="000000"/>
                <w:sz w:val="14"/>
              </w:rPr>
              <w:t>rámci  všech</w:t>
            </w:r>
            <w:proofErr w:type="gramEnd"/>
            <w:r w:rsidRPr="00B45D41">
              <w:rPr>
                <w:rFonts w:ascii="Arial" w:eastAsia="Arial" w:hAnsi="Arial" w:cs="Arial"/>
                <w:color w:val="000000"/>
                <w:sz w:val="14"/>
              </w:rPr>
              <w:t xml:space="preserve"> aktivit.  V rámci aktivity č. 1 byl podpořen webhosting penizeproprahu.cz a byla podpořena údržba, správa a rozvoj webové prezentace. U aktivity č. 2 byly podpořeny semináře pro žadatele a pro příjemce a bylo podpořeno vyhodnocování povědomí (tracking) atd. U aktivity č. 3 byla podpořena inzerce výzev OP PPR a byl podpořen průběžný monitoring a vyhodnocení reklamní </w:t>
            </w:r>
            <w:r w:rsidR="00DA591F" w:rsidRPr="00B45D41">
              <w:rPr>
                <w:rFonts w:ascii="Arial" w:eastAsia="Arial" w:hAnsi="Arial" w:cs="Arial"/>
                <w:color w:val="000000"/>
                <w:sz w:val="14"/>
              </w:rPr>
              <w:br/>
            </w:r>
            <w:r w:rsidRPr="00B45D41">
              <w:rPr>
                <w:rFonts w:ascii="Arial" w:eastAsia="Arial" w:hAnsi="Arial" w:cs="Arial"/>
                <w:color w:val="000000"/>
                <w:sz w:val="14"/>
              </w:rPr>
              <w:t xml:space="preserve">a redakční komunikace atd. Celkem </w:t>
            </w:r>
            <w:proofErr w:type="gramStart"/>
            <w:r w:rsidRPr="00B45D41">
              <w:rPr>
                <w:rFonts w:ascii="Arial" w:eastAsia="Arial" w:hAnsi="Arial" w:cs="Arial"/>
                <w:color w:val="000000"/>
                <w:sz w:val="14"/>
              </w:rPr>
              <w:t>za  1</w:t>
            </w:r>
            <w:proofErr w:type="gramEnd"/>
            <w:r w:rsidRPr="00B45D41">
              <w:rPr>
                <w:rFonts w:ascii="Arial" w:eastAsia="Arial" w:hAnsi="Arial" w:cs="Arial"/>
                <w:color w:val="000000"/>
                <w:sz w:val="14"/>
              </w:rPr>
              <w:t xml:space="preserve"> 536 719 Kč. </w:t>
            </w:r>
          </w:p>
          <w:p w:rsidR="00DA591F" w:rsidRDefault="00697A5C" w:rsidP="00DA591F">
            <w:pPr>
              <w:spacing w:after="120"/>
              <w:ind w:left="117" w:right="167"/>
              <w:jc w:val="both"/>
              <w:rPr>
                <w:rFonts w:ascii="Arial" w:eastAsia="Arial" w:hAnsi="Arial" w:cs="Arial"/>
                <w:color w:val="000000"/>
                <w:sz w:val="14"/>
              </w:rPr>
            </w:pPr>
            <w:r w:rsidRPr="00B45D41">
              <w:rPr>
                <w:rFonts w:ascii="Arial" w:eastAsia="Arial" w:hAnsi="Arial" w:cs="Arial"/>
                <w:color w:val="000000"/>
                <w:sz w:val="14"/>
              </w:rPr>
              <w:t xml:space="preserve">V období 1. 7. - 31. 12. 2017 byly realizovány činnosti v rámci všech aktivit. V rámci aktivity č. 1 byl podpořen webhosting penizeproprahu.cz a byla podpořena údržba, správa a rozvoj webové prezentace. U aktivity č. 2 byly podpořeny semináře pro žadatele a pro příjemce a byla podpořena 1. </w:t>
            </w:r>
            <w:proofErr w:type="gramStart"/>
            <w:r w:rsidRPr="00B45D41">
              <w:rPr>
                <w:rFonts w:ascii="Arial" w:eastAsia="Arial" w:hAnsi="Arial" w:cs="Arial"/>
                <w:color w:val="000000"/>
                <w:sz w:val="14"/>
              </w:rPr>
              <w:t>dodávka</w:t>
            </w:r>
            <w:proofErr w:type="gramEnd"/>
            <w:r w:rsidRPr="00B45D41">
              <w:rPr>
                <w:rFonts w:ascii="Arial" w:eastAsia="Arial" w:hAnsi="Arial" w:cs="Arial"/>
                <w:color w:val="000000"/>
                <w:sz w:val="14"/>
              </w:rPr>
              <w:t xml:space="preserve"> propagačních předmětů. U aktivity č. 3 byla podpořena inzerce výzev OP PPR a byl podpořen nákup cen do soutěže s OP PPR, nákup samolepek OP PPR, nákup vysílacího času na odvysílání rozhovorů a soutěže na rozhlasových stanicích a dále byla podpořena výroba rozhovorů, spotu a scénářů atd. Celkem </w:t>
            </w:r>
            <w:proofErr w:type="gramStart"/>
            <w:r w:rsidRPr="00B45D41">
              <w:rPr>
                <w:rFonts w:ascii="Arial" w:eastAsia="Arial" w:hAnsi="Arial" w:cs="Arial"/>
                <w:color w:val="000000"/>
                <w:sz w:val="14"/>
              </w:rPr>
              <w:t xml:space="preserve">za  </w:t>
            </w:r>
            <w:proofErr w:type="gramEnd"/>
            <w:r w:rsidR="00DA591F" w:rsidRPr="00B45D41">
              <w:rPr>
                <w:rFonts w:ascii="Arial" w:eastAsia="Arial" w:hAnsi="Arial" w:cs="Arial"/>
                <w:color w:val="000000"/>
                <w:sz w:val="14"/>
              </w:rPr>
              <w:br/>
            </w:r>
            <w:r w:rsidRPr="00B45D41">
              <w:rPr>
                <w:rFonts w:ascii="Arial" w:eastAsia="Arial" w:hAnsi="Arial" w:cs="Arial"/>
                <w:color w:val="000000"/>
                <w:sz w:val="14"/>
              </w:rPr>
              <w:t>436 952,28  Kč.</w:t>
            </w:r>
            <w:r>
              <w:rPr>
                <w:rFonts w:ascii="Arial" w:eastAsia="Arial" w:hAnsi="Arial" w:cs="Arial"/>
                <w:color w:val="000000"/>
                <w:sz w:val="14"/>
              </w:rPr>
              <w:t xml:space="preserve"> </w:t>
            </w:r>
          </w:p>
          <w:p w:rsidR="00457252" w:rsidRDefault="00697A5C" w:rsidP="00DA591F">
            <w:pPr>
              <w:spacing w:after="120"/>
              <w:ind w:left="117" w:right="167"/>
              <w:jc w:val="both"/>
              <w:rPr>
                <w:rFonts w:ascii="Arial" w:eastAsia="Arial" w:hAnsi="Arial" w:cs="Arial"/>
                <w:color w:val="000000"/>
                <w:sz w:val="14"/>
              </w:rPr>
            </w:pPr>
            <w:r>
              <w:rPr>
                <w:rFonts w:ascii="Arial" w:eastAsia="Arial" w:hAnsi="Arial" w:cs="Arial"/>
                <w:color w:val="000000"/>
                <w:sz w:val="14"/>
              </w:rPr>
              <w:t>V r. 2017 nebyly při implementaci identifikovány žádné závažné problémy.</w:t>
            </w:r>
          </w:p>
        </w:tc>
      </w:tr>
    </w:tbl>
    <w:p w:rsidR="00DA591F" w:rsidRDefault="00DA591F">
      <w:pPr>
        <w:spacing w:after="200" w:line="276" w:lineRule="auto"/>
        <w:ind w:left="111" w:right="105"/>
        <w:rPr>
          <w:rFonts w:ascii="Calibri" w:eastAsia="Calibri" w:hAnsi="Calibri" w:cs="Calibri"/>
          <w:color w:val="000000"/>
        </w:rPr>
        <w:sectPr w:rsidR="00DA591F">
          <w:headerReference w:type="default" r:id="rId8"/>
          <w:footerReference w:type="default" r:id="rId9"/>
          <w:pgSz w:w="11900" w:h="16820"/>
          <w:pgMar w:top="1120" w:right="1420" w:bottom="1000" w:left="1420" w:header="709" w:footer="709" w:gutter="0"/>
          <w:pgNumType w:start="1"/>
          <w:cols w:space="720"/>
          <w:noEndnote/>
        </w:sectPr>
      </w:pPr>
    </w:p>
    <w:p w:rsidR="00DA591F" w:rsidRPr="00DA591F" w:rsidRDefault="00697A5C" w:rsidP="00DA591F">
      <w:pPr>
        <w:pStyle w:val="Nadpis2"/>
        <w:rPr>
          <w:i/>
          <w:iCs/>
          <w:sz w:val="16"/>
        </w:rPr>
      </w:pPr>
      <w:bookmarkStart w:id="10" w:name="_Toc512860937"/>
      <w:r w:rsidRPr="00DA591F">
        <w:lastRenderedPageBreak/>
        <w:t>Společné indikátory a indikátory specifické pro jednotlivé programy (čl. 50 odst. 2 nařízení (EU) č. 1303/2013</w:t>
      </w:r>
      <w:r w:rsidRPr="00DA591F">
        <w:rPr>
          <w:i/>
          <w:iCs/>
        </w:rPr>
        <w:t>)</w:t>
      </w:r>
      <w:bookmarkEnd w:id="10"/>
    </w:p>
    <w:p w:rsidR="00457252" w:rsidRPr="00DA591F" w:rsidRDefault="00697A5C" w:rsidP="00DA591F">
      <w:pPr>
        <w:tabs>
          <w:tab w:val="left" w:pos="1675"/>
        </w:tabs>
        <w:ind w:left="115" w:right="670"/>
        <w:rPr>
          <w:rFonts w:ascii="Arial" w:eastAsia="Arial" w:hAnsi="Arial" w:cs="Arial"/>
          <w:b/>
          <w:bCs/>
          <w:i/>
          <w:iCs/>
          <w:color w:val="000000"/>
          <w:sz w:val="20"/>
        </w:rPr>
      </w:pPr>
      <w:r w:rsidRPr="00DA591F">
        <w:rPr>
          <w:rFonts w:ascii="Arial" w:eastAsia="Arial" w:hAnsi="Arial" w:cs="Arial"/>
          <w:b/>
          <w:bCs/>
          <w:i/>
          <w:iCs/>
          <w:color w:val="000000"/>
          <w:sz w:val="20"/>
        </w:rPr>
        <w:t>Tabulka 1: Indikátory výsledků pro EFRR a Fond soudržnosti (podle prioritních os a specifických cílů); platí rovněž pro prioritní osu „technická pomoc</w:t>
      </w:r>
      <w:proofErr w:type="gramStart"/>
      <w:r w:rsidRPr="00DA591F">
        <w:rPr>
          <w:rFonts w:ascii="Arial" w:eastAsia="Arial" w:hAnsi="Arial" w:cs="Arial"/>
          <w:b/>
          <w:bCs/>
          <w:i/>
          <w:iCs/>
          <w:color w:val="000000"/>
          <w:sz w:val="20"/>
        </w:rPr>
        <w:t>“ (</w:t>
      </w:r>
      <w:proofErr w:type="gramEnd"/>
      <w:r w:rsidRPr="00DA591F">
        <w:rPr>
          <w:rFonts w:ascii="Arial" w:eastAsia="Arial" w:hAnsi="Arial" w:cs="Arial"/>
          <w:b/>
          <w:bCs/>
          <w:i/>
          <w:iCs/>
          <w:color w:val="000000"/>
          <w:sz w:val="20"/>
        </w:rPr>
        <w:t>3)</w:t>
      </w:r>
    </w:p>
    <w:p w:rsidR="00457252" w:rsidRDefault="00697A5C" w:rsidP="005764B8">
      <w:pPr>
        <w:keepNext/>
        <w:spacing w:before="240"/>
        <w:ind w:left="115" w:right="809"/>
        <w:jc w:val="both"/>
        <w:rPr>
          <w:rFonts w:ascii="Arial" w:eastAsia="Arial" w:hAnsi="Arial" w:cs="Arial"/>
          <w:color w:val="000000"/>
          <w:sz w:val="20"/>
        </w:rPr>
      </w:pPr>
      <w:r>
        <w:rPr>
          <w:rFonts w:ascii="Arial" w:eastAsia="Arial" w:hAnsi="Arial" w:cs="Arial"/>
          <w:color w:val="000000"/>
          <w:sz w:val="20"/>
        </w:rPr>
        <w:t>Investiční priorita: 07.1.02 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podporou technického a aplikovaného výzkumu, pilotních linek, opatření k včasnému ověřování produktů, schopností vyspělé výroby a prvovýroby, zejména v oblasti klíčových technologií a šíření technologií pro všeobecné použití</w:t>
      </w:r>
    </w:p>
    <w:tbl>
      <w:tblPr>
        <w:tblW w:w="0" w:type="auto"/>
        <w:tblInd w:w="58" w:type="dxa"/>
        <w:tblLayout w:type="fixed"/>
        <w:tblCellMar>
          <w:left w:w="0" w:type="dxa"/>
          <w:right w:w="0" w:type="dxa"/>
        </w:tblCellMar>
        <w:tblLook w:val="04A0" w:firstRow="1" w:lastRow="0" w:firstColumn="1" w:lastColumn="0" w:noHBand="0" w:noVBand="1"/>
      </w:tblPr>
      <w:tblGrid>
        <w:gridCol w:w="646"/>
        <w:gridCol w:w="1701"/>
        <w:gridCol w:w="709"/>
        <w:gridCol w:w="850"/>
        <w:gridCol w:w="709"/>
        <w:gridCol w:w="709"/>
        <w:gridCol w:w="709"/>
        <w:gridCol w:w="567"/>
        <w:gridCol w:w="567"/>
        <w:gridCol w:w="567"/>
        <w:gridCol w:w="567"/>
        <w:gridCol w:w="567"/>
        <w:gridCol w:w="567"/>
        <w:gridCol w:w="567"/>
        <w:gridCol w:w="567"/>
        <w:gridCol w:w="567"/>
        <w:gridCol w:w="567"/>
        <w:gridCol w:w="3685"/>
      </w:tblGrid>
      <w:tr w:rsidR="00457252" w:rsidTr="005764B8">
        <w:trPr>
          <w:tblHeader/>
        </w:trPr>
        <w:tc>
          <w:tcPr>
            <w:tcW w:w="603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457252"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21020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Podnikové výdaje na VaV v podnikatelském sektoru jako % HDP - regiony ČR (hl. m. Praha)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0,750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382097" w:rsidP="00382097">
            <w:pPr>
              <w:tabs>
                <w:tab w:val="center" w:pos="349"/>
                <w:tab w:val="left" w:pos="828"/>
              </w:tabs>
              <w:ind w:left="57" w:right="57"/>
              <w:rPr>
                <w:rFonts w:ascii="Arial" w:eastAsia="Arial" w:hAnsi="Arial" w:cs="Arial"/>
                <w:color w:val="000000"/>
                <w:sz w:val="14"/>
              </w:rPr>
            </w:pPr>
            <w:r>
              <w:rPr>
                <w:rFonts w:ascii="Arial" w:eastAsia="Arial" w:hAnsi="Arial" w:cs="Arial"/>
                <w:color w:val="000000"/>
                <w:sz w:val="14"/>
              </w:rPr>
              <w:tab/>
              <w:t>2013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0,750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0,750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0,883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943653" w:rsidRDefault="00697A5C" w:rsidP="00943653">
            <w:pPr>
              <w:ind w:left="57" w:right="57"/>
              <w:rPr>
                <w:rFonts w:ascii="Arial" w:eastAsia="Arial" w:hAnsi="Arial" w:cs="Arial"/>
                <w:color w:val="000000"/>
                <w:sz w:val="14"/>
              </w:rPr>
            </w:pPr>
            <w:r>
              <w:rPr>
                <w:rFonts w:ascii="Arial" w:eastAsia="Arial" w:hAnsi="Arial" w:cs="Arial"/>
                <w:color w:val="000000"/>
                <w:sz w:val="14"/>
              </w:rPr>
              <w:t>Pro rok 2017 nejsou dostupné hodnoty, proto dané pole prázdné.</w:t>
            </w:r>
          </w:p>
        </w:tc>
      </w:tr>
      <w:tr w:rsidR="00382097"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21021</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 xml:space="preserve">Výdaje podnikatelského sektoru na provádění VaV ve vládním </w:t>
            </w:r>
            <w:r>
              <w:rPr>
                <w:rFonts w:ascii="Arial" w:eastAsia="Arial" w:hAnsi="Arial" w:cs="Arial"/>
                <w:color w:val="000000"/>
                <w:sz w:val="14"/>
              </w:rPr>
              <w:br/>
              <w:t>a vysokoškolském sektoru v hl. měste Praze jako % celkových výdajů na provádění VaV v těchto sektorech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12,400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center" w:pos="349"/>
                <w:tab w:val="left" w:pos="828"/>
              </w:tabs>
              <w:ind w:left="57" w:right="57"/>
              <w:rPr>
                <w:rFonts w:ascii="Arial" w:eastAsia="Arial" w:hAnsi="Arial" w:cs="Arial"/>
                <w:color w:val="000000"/>
                <w:sz w:val="14"/>
              </w:rPr>
            </w:pPr>
            <w:r>
              <w:rPr>
                <w:rFonts w:ascii="Arial" w:eastAsia="Arial" w:hAnsi="Arial" w:cs="Arial"/>
                <w:color w:val="000000"/>
                <w:sz w:val="14"/>
              </w:rPr>
              <w:tab/>
              <w:t>2013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17,600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12,400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10,774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12,800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Cílová hodnota je v Programovém dokumentu OP PPR uvedena jako interval 17</w:t>
            </w:r>
            <w:proofErr w:type="gramStart"/>
            <w:r>
              <w:rPr>
                <w:rFonts w:ascii="Arial" w:eastAsia="Arial" w:hAnsi="Arial" w:cs="Arial"/>
                <w:color w:val="000000"/>
                <w:sz w:val="14"/>
              </w:rPr>
              <w:t>,2</w:t>
            </w:r>
            <w:proofErr w:type="gramEnd"/>
            <w:r>
              <w:rPr>
                <w:rFonts w:ascii="Arial" w:eastAsia="Arial" w:hAnsi="Arial" w:cs="Arial"/>
                <w:color w:val="000000"/>
                <w:sz w:val="14"/>
              </w:rPr>
              <w:t xml:space="preserve"> - 18,0. </w:t>
            </w:r>
            <w:r w:rsidR="00B45D41">
              <w:rPr>
                <w:rFonts w:ascii="Arial" w:eastAsia="Arial" w:hAnsi="Arial" w:cs="Arial"/>
                <w:color w:val="000000"/>
                <w:sz w:val="14"/>
              </w:rPr>
              <w:t>V elektronickém systému SFC2014 je uvedena střední hodnota interval, tj. 17,6.</w:t>
            </w:r>
          </w:p>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Pro rok 2017 nejsou dostupné hodnoty, proto dané pole prázdné.</w:t>
            </w:r>
          </w:p>
        </w:tc>
      </w:tr>
      <w:tr w:rsidR="00382097"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21022</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Podíl výdajů na VaV </w:t>
            </w:r>
            <w:r>
              <w:rPr>
                <w:rFonts w:ascii="Arial" w:eastAsia="Arial" w:hAnsi="Arial" w:cs="Arial"/>
                <w:color w:val="000000"/>
                <w:sz w:val="14"/>
              </w:rPr>
              <w:br/>
              <w:t xml:space="preserve">v podnikatelském sektoru financovaných </w:t>
            </w:r>
            <w:r>
              <w:rPr>
                <w:rFonts w:ascii="Arial" w:eastAsia="Arial" w:hAnsi="Arial" w:cs="Arial"/>
                <w:color w:val="000000"/>
                <w:sz w:val="14"/>
              </w:rPr>
              <w:br/>
              <w:t>z veřejných zdrojů (domácích i zahraničních) v %</w:t>
            </w:r>
            <w:r>
              <w:rPr>
                <w:rFonts w:ascii="Arial" w:eastAsia="Arial" w:hAnsi="Arial" w:cs="Arial"/>
                <w:color w:val="000000"/>
                <w:sz w:val="14"/>
              </w:rPr>
              <w:br/>
              <w:t>(hl. m. Praha)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20,200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center" w:pos="349"/>
                <w:tab w:val="left" w:pos="828"/>
              </w:tabs>
              <w:ind w:left="57" w:right="57"/>
              <w:rPr>
                <w:rFonts w:ascii="Arial" w:eastAsia="Arial" w:hAnsi="Arial" w:cs="Arial"/>
                <w:color w:val="000000"/>
                <w:sz w:val="14"/>
              </w:rPr>
            </w:pPr>
            <w:r>
              <w:rPr>
                <w:rFonts w:ascii="Arial" w:eastAsia="Arial" w:hAnsi="Arial" w:cs="Arial"/>
                <w:color w:val="000000"/>
                <w:sz w:val="14"/>
              </w:rPr>
              <w:tab/>
              <w:t>2013</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8,340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7,843</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 xml:space="preserve">Cílová hodnota je v Programovém dokumentu OP PPR uvedena jako interval 20.5 - 21.5. </w:t>
            </w:r>
            <w:r w:rsidR="00B45D41">
              <w:rPr>
                <w:rFonts w:ascii="Arial" w:eastAsia="Arial" w:hAnsi="Arial" w:cs="Arial"/>
                <w:color w:val="000000"/>
                <w:sz w:val="14"/>
              </w:rPr>
              <w:t>V elektronickém systému SFC2014 je uvedena střední hodnota interval, tj. 21.</w:t>
            </w:r>
          </w:p>
          <w:p w:rsidR="00382097" w:rsidRDefault="00382097" w:rsidP="00382097">
            <w:pPr>
              <w:ind w:left="57" w:right="57"/>
              <w:rPr>
                <w:rFonts w:ascii="Arial" w:eastAsia="Arial" w:hAnsi="Arial" w:cs="Arial"/>
                <w:color w:val="000000"/>
                <w:sz w:val="14"/>
              </w:rPr>
            </w:pPr>
            <w:r>
              <w:rPr>
                <w:rFonts w:ascii="Arial" w:eastAsia="Arial" w:hAnsi="Arial" w:cs="Arial"/>
                <w:color w:val="000000"/>
                <w:sz w:val="14"/>
              </w:rPr>
              <w:t>Pro rok 2017 nejsou dostupné hodnoty, proto dané pole prázdné.</w:t>
            </w:r>
          </w:p>
        </w:tc>
      </w:tr>
    </w:tbl>
    <w:p w:rsidR="00457252" w:rsidRDefault="00697A5C" w:rsidP="005764B8">
      <w:pPr>
        <w:keepNext/>
        <w:spacing w:before="240"/>
        <w:ind w:left="115" w:right="809"/>
        <w:jc w:val="both"/>
        <w:rPr>
          <w:rFonts w:ascii="Arial" w:eastAsia="Arial" w:hAnsi="Arial" w:cs="Arial"/>
          <w:color w:val="000000"/>
          <w:sz w:val="20"/>
        </w:rPr>
      </w:pPr>
      <w:r>
        <w:rPr>
          <w:rFonts w:ascii="Arial" w:eastAsia="Arial" w:hAnsi="Arial" w:cs="Arial"/>
          <w:color w:val="000000"/>
          <w:sz w:val="20"/>
        </w:rPr>
        <w:lastRenderedPageBreak/>
        <w:t>Investiční priorita: 07.2.11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646"/>
        <w:gridCol w:w="1701"/>
        <w:gridCol w:w="709"/>
        <w:gridCol w:w="850"/>
        <w:gridCol w:w="709"/>
        <w:gridCol w:w="709"/>
        <w:gridCol w:w="709"/>
        <w:gridCol w:w="567"/>
        <w:gridCol w:w="567"/>
        <w:gridCol w:w="567"/>
        <w:gridCol w:w="567"/>
        <w:gridCol w:w="567"/>
        <w:gridCol w:w="567"/>
        <w:gridCol w:w="567"/>
        <w:gridCol w:w="567"/>
        <w:gridCol w:w="567"/>
        <w:gridCol w:w="567"/>
        <w:gridCol w:w="3685"/>
      </w:tblGrid>
      <w:tr w:rsidR="00457252" w:rsidTr="005764B8">
        <w:trPr>
          <w:tblHeader/>
        </w:trPr>
        <w:tc>
          <w:tcPr>
            <w:tcW w:w="603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5764B8"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36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32230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Spotřeba paliv po přeměnách - nevýrobní sféra</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PJ/rok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22,100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21,780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22,100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685"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Pro rok 2017 nejsou dostupné hodnoty, proto dané pole prázdné.</w:t>
            </w:r>
          </w:p>
        </w:tc>
      </w:tr>
    </w:tbl>
    <w:p w:rsidR="00457252" w:rsidRDefault="00697A5C" w:rsidP="005764B8">
      <w:pPr>
        <w:keepNext/>
        <w:spacing w:before="240"/>
        <w:ind w:left="115" w:right="951"/>
        <w:jc w:val="both"/>
        <w:rPr>
          <w:rFonts w:ascii="Arial" w:eastAsia="Arial" w:hAnsi="Arial" w:cs="Arial"/>
          <w:color w:val="000000"/>
          <w:sz w:val="20"/>
        </w:rPr>
      </w:pPr>
      <w:r>
        <w:rPr>
          <w:rFonts w:ascii="Arial" w:eastAsia="Arial" w:hAnsi="Arial" w:cs="Arial"/>
          <w:color w:val="000000"/>
          <w:sz w:val="20"/>
        </w:rPr>
        <w:t xml:space="preserve">Investiční priorita: 07.2.13 Podpora nízkouhlíkových strategií pro všechny typy oblastí, zejména městské oblasti, včetně podpory udržitelné městské multimodální mobility </w:t>
      </w:r>
      <w:r w:rsidR="005764B8">
        <w:rPr>
          <w:rFonts w:ascii="Arial" w:eastAsia="Arial" w:hAnsi="Arial" w:cs="Arial"/>
          <w:color w:val="000000"/>
          <w:sz w:val="20"/>
        </w:rPr>
        <w:br/>
      </w:r>
      <w:r>
        <w:rPr>
          <w:rFonts w:ascii="Arial" w:eastAsia="Arial" w:hAnsi="Arial" w:cs="Arial"/>
          <w:color w:val="000000"/>
          <w:sz w:val="20"/>
        </w:rPr>
        <w:t>a příslušných adaptačních opatření pro zmírnění změny klimatu</w:t>
      </w:r>
    </w:p>
    <w:tbl>
      <w:tblPr>
        <w:tblW w:w="15388" w:type="dxa"/>
        <w:tblInd w:w="58" w:type="dxa"/>
        <w:tblLayout w:type="fixed"/>
        <w:tblCellMar>
          <w:left w:w="0" w:type="dxa"/>
          <w:right w:w="0" w:type="dxa"/>
        </w:tblCellMar>
        <w:tblLook w:val="04A0" w:firstRow="1" w:lastRow="0" w:firstColumn="1" w:lastColumn="0" w:noHBand="0" w:noVBand="1"/>
      </w:tblPr>
      <w:tblGrid>
        <w:gridCol w:w="646"/>
        <w:gridCol w:w="1701"/>
        <w:gridCol w:w="992"/>
        <w:gridCol w:w="851"/>
        <w:gridCol w:w="992"/>
        <w:gridCol w:w="709"/>
        <w:gridCol w:w="1134"/>
        <w:gridCol w:w="992"/>
        <w:gridCol w:w="992"/>
        <w:gridCol w:w="993"/>
        <w:gridCol w:w="992"/>
        <w:gridCol w:w="567"/>
        <w:gridCol w:w="567"/>
        <w:gridCol w:w="567"/>
        <w:gridCol w:w="567"/>
        <w:gridCol w:w="567"/>
        <w:gridCol w:w="567"/>
        <w:gridCol w:w="992"/>
      </w:tblGrid>
      <w:tr w:rsidR="00457252" w:rsidTr="005764B8">
        <w:trPr>
          <w:tblHeader/>
        </w:trPr>
        <w:tc>
          <w:tcPr>
            <w:tcW w:w="7025"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7371"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457252"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74010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vozidel parkujících na P+R</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vozidla/rok</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870 844,000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1 300 000,000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870 844,000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870 844,000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870 844,000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964 613</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74515</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cestujících pražské integrované dopravy (pouze na území města)</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mil. osob/rok</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1 275,000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1 252,000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1 261</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bl>
    <w:p w:rsidR="00457252" w:rsidRDefault="00697A5C" w:rsidP="005764B8">
      <w:pPr>
        <w:keepNext/>
        <w:spacing w:before="240"/>
        <w:ind w:left="115" w:right="667"/>
        <w:jc w:val="both"/>
        <w:rPr>
          <w:rFonts w:ascii="Arial" w:eastAsia="Arial" w:hAnsi="Arial" w:cs="Arial"/>
          <w:color w:val="000000"/>
          <w:sz w:val="20"/>
        </w:rPr>
      </w:pPr>
      <w:r>
        <w:rPr>
          <w:rFonts w:ascii="Arial" w:eastAsia="Arial" w:hAnsi="Arial" w:cs="Arial"/>
          <w:color w:val="000000"/>
          <w:sz w:val="20"/>
        </w:rPr>
        <w:t xml:space="preserve">Investiční priorita: 07.3.56 Investice do zdravotnické a sociální infrastruktury, které přispívají k celostátnímu, regionálnímu a místnímu rozvoji, snižování nerovností, pokud jde </w:t>
      </w:r>
      <w:r w:rsidR="005764B8">
        <w:rPr>
          <w:rFonts w:ascii="Arial" w:eastAsia="Arial" w:hAnsi="Arial" w:cs="Arial"/>
          <w:color w:val="000000"/>
          <w:sz w:val="20"/>
        </w:rPr>
        <w:br/>
      </w:r>
      <w:r>
        <w:rPr>
          <w:rFonts w:ascii="Arial" w:eastAsia="Arial" w:hAnsi="Arial" w:cs="Arial"/>
          <w:color w:val="000000"/>
          <w:sz w:val="20"/>
        </w:rPr>
        <w:t>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646"/>
        <w:gridCol w:w="1701"/>
        <w:gridCol w:w="851"/>
        <w:gridCol w:w="850"/>
        <w:gridCol w:w="848"/>
        <w:gridCol w:w="711"/>
        <w:gridCol w:w="851"/>
        <w:gridCol w:w="850"/>
        <w:gridCol w:w="851"/>
        <w:gridCol w:w="850"/>
        <w:gridCol w:w="851"/>
        <w:gridCol w:w="567"/>
        <w:gridCol w:w="567"/>
        <w:gridCol w:w="567"/>
        <w:gridCol w:w="567"/>
        <w:gridCol w:w="567"/>
        <w:gridCol w:w="567"/>
        <w:gridCol w:w="2268"/>
      </w:tblGrid>
      <w:tr w:rsidR="00457252" w:rsidTr="005764B8">
        <w:trPr>
          <w:tblHeader/>
        </w:trPr>
        <w:tc>
          <w:tcPr>
            <w:tcW w:w="6458"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6804"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457252"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1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55320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Průměrný počet osob využívající sociální bydlení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Osoby/rok</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382097">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67510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Kapacita služeb </w:t>
            </w:r>
            <w:r w:rsidR="009C073F">
              <w:rPr>
                <w:rFonts w:ascii="Arial" w:eastAsia="Arial" w:hAnsi="Arial" w:cs="Arial"/>
                <w:color w:val="000000"/>
                <w:sz w:val="14"/>
              </w:rPr>
              <w:br/>
            </w:r>
            <w:r>
              <w:rPr>
                <w:rFonts w:ascii="Arial" w:eastAsia="Arial" w:hAnsi="Arial" w:cs="Arial"/>
                <w:color w:val="000000"/>
                <w:sz w:val="14"/>
              </w:rPr>
              <w:t>a sociální práce</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Klienti</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3 642,000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382097">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5 088,000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3 642,000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3 642,000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3 678,000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3 812</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bl>
    <w:p w:rsidR="00457252" w:rsidRDefault="00697A5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07.3.58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646"/>
        <w:gridCol w:w="1701"/>
        <w:gridCol w:w="709"/>
        <w:gridCol w:w="850"/>
        <w:gridCol w:w="709"/>
        <w:gridCol w:w="709"/>
        <w:gridCol w:w="709"/>
        <w:gridCol w:w="708"/>
        <w:gridCol w:w="709"/>
        <w:gridCol w:w="709"/>
        <w:gridCol w:w="739"/>
        <w:gridCol w:w="537"/>
        <w:gridCol w:w="567"/>
        <w:gridCol w:w="567"/>
        <w:gridCol w:w="567"/>
        <w:gridCol w:w="567"/>
        <w:gridCol w:w="567"/>
        <w:gridCol w:w="3260"/>
      </w:tblGrid>
      <w:tr w:rsidR="00457252" w:rsidTr="005764B8">
        <w:trPr>
          <w:tblHeader/>
        </w:trPr>
        <w:tc>
          <w:tcPr>
            <w:tcW w:w="6033"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6237"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32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5764B8"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3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3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10210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sociálních podniků, které aktivně působí na trhu</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Podniky</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52,000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73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54,000</w:t>
            </w:r>
          </w:p>
        </w:tc>
        <w:tc>
          <w:tcPr>
            <w:tcW w:w="53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bl>
    <w:p w:rsidR="00457252" w:rsidRDefault="00697A5C" w:rsidP="005764B8">
      <w:pPr>
        <w:keepNext/>
        <w:spacing w:before="240"/>
        <w:ind w:left="115" w:right="667"/>
        <w:jc w:val="both"/>
        <w:rPr>
          <w:rFonts w:ascii="Arial" w:eastAsia="Arial" w:hAnsi="Arial" w:cs="Arial"/>
          <w:color w:val="000000"/>
          <w:sz w:val="20"/>
        </w:rPr>
      </w:pPr>
      <w:r>
        <w:rPr>
          <w:rFonts w:ascii="Arial" w:eastAsia="Arial" w:hAnsi="Arial" w:cs="Arial"/>
          <w:color w:val="000000"/>
          <w:sz w:val="20"/>
        </w:rPr>
        <w:t>Investiční priorita: 07.4.67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646"/>
        <w:gridCol w:w="1701"/>
        <w:gridCol w:w="727"/>
        <w:gridCol w:w="851"/>
        <w:gridCol w:w="708"/>
        <w:gridCol w:w="709"/>
        <w:gridCol w:w="709"/>
        <w:gridCol w:w="690"/>
        <w:gridCol w:w="709"/>
        <w:gridCol w:w="709"/>
        <w:gridCol w:w="709"/>
        <w:gridCol w:w="567"/>
        <w:gridCol w:w="567"/>
        <w:gridCol w:w="567"/>
        <w:gridCol w:w="567"/>
        <w:gridCol w:w="567"/>
        <w:gridCol w:w="567"/>
        <w:gridCol w:w="3260"/>
      </w:tblGrid>
      <w:tr w:rsidR="00457252" w:rsidTr="005764B8">
        <w:trPr>
          <w:tblHeader/>
        </w:trPr>
        <w:tc>
          <w:tcPr>
            <w:tcW w:w="6051" w:type="dxa"/>
            <w:gridSpan w:val="7"/>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6219"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32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r>
      <w:tr w:rsidR="005764B8" w:rsidTr="005764B8">
        <w:trPr>
          <w:tblHeader/>
        </w:trPr>
        <w:tc>
          <w:tcPr>
            <w:tcW w:w="6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70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Výchozí hodnota</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Výchozí rok</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69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32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50010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Podíl dětí do 3 let umístněných v zařízení péče o děti</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3,740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 xml:space="preserve">Jedná se o indikátor vykazovaný na základě provedené evaluace. Hodnoty uváděny v procentech z celkové populace dětí do 3 let </w:t>
            </w:r>
            <w:r w:rsidR="005764B8">
              <w:rPr>
                <w:rFonts w:ascii="Arial" w:eastAsia="Arial" w:hAnsi="Arial" w:cs="Arial"/>
                <w:color w:val="000000"/>
                <w:sz w:val="14"/>
              </w:rPr>
              <w:br/>
            </w:r>
            <w:r>
              <w:rPr>
                <w:rFonts w:ascii="Arial" w:eastAsia="Arial" w:hAnsi="Arial" w:cs="Arial"/>
                <w:color w:val="000000"/>
                <w:sz w:val="14"/>
              </w:rPr>
              <w:t>v HMP. Dosažená hodnota 3</w:t>
            </w:r>
            <w:proofErr w:type="gramStart"/>
            <w:r>
              <w:rPr>
                <w:rFonts w:ascii="Arial" w:eastAsia="Arial" w:hAnsi="Arial" w:cs="Arial"/>
                <w:color w:val="000000"/>
                <w:sz w:val="14"/>
              </w:rPr>
              <w:t>,74</w:t>
            </w:r>
            <w:proofErr w:type="gramEnd"/>
            <w:r>
              <w:rPr>
                <w:rFonts w:ascii="Arial" w:eastAsia="Arial" w:hAnsi="Arial" w:cs="Arial"/>
                <w:color w:val="000000"/>
                <w:sz w:val="14"/>
              </w:rPr>
              <w:t xml:space="preserve"> % vycházíz průzkumu aktuální situace v Praze v červnu 2017, kdy celkový počet dětí do 3 let věku žijících na území HMP je 44 860. Z tohoto počtu je </w:t>
            </w:r>
            <w:r w:rsidR="005764B8">
              <w:rPr>
                <w:rFonts w:ascii="Arial" w:eastAsia="Arial" w:hAnsi="Arial" w:cs="Arial"/>
                <w:color w:val="000000"/>
                <w:sz w:val="14"/>
              </w:rPr>
              <w:br/>
            </w:r>
            <w:r>
              <w:rPr>
                <w:rFonts w:ascii="Arial" w:eastAsia="Arial" w:hAnsi="Arial" w:cs="Arial"/>
                <w:color w:val="000000"/>
                <w:sz w:val="14"/>
              </w:rPr>
              <w:t>v některém zařízení pro péči o děti v předškolním věku umístěno 1 677 z nich, tj. 3</w:t>
            </w:r>
            <w:proofErr w:type="gramStart"/>
            <w:r>
              <w:rPr>
                <w:rFonts w:ascii="Arial" w:eastAsia="Arial" w:hAnsi="Arial" w:cs="Arial"/>
                <w:color w:val="000000"/>
                <w:sz w:val="14"/>
              </w:rPr>
              <w:t>,74</w:t>
            </w:r>
            <w:proofErr w:type="gramEnd"/>
            <w:r>
              <w:rPr>
                <w:rFonts w:ascii="Arial" w:eastAsia="Arial" w:hAnsi="Arial" w:cs="Arial"/>
                <w:color w:val="000000"/>
                <w:sz w:val="14"/>
              </w:rPr>
              <w:t xml:space="preserve"> %.  </w:t>
            </w: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50020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Podíl tříletých dětí umístěných </w:t>
            </w:r>
            <w:r w:rsidR="009C073F">
              <w:rPr>
                <w:rFonts w:ascii="Arial" w:eastAsia="Arial" w:hAnsi="Arial" w:cs="Arial"/>
                <w:color w:val="000000"/>
                <w:sz w:val="14"/>
              </w:rPr>
              <w:br/>
            </w:r>
            <w:r>
              <w:rPr>
                <w:rFonts w:ascii="Arial" w:eastAsia="Arial" w:hAnsi="Arial" w:cs="Arial"/>
                <w:color w:val="000000"/>
                <w:sz w:val="14"/>
              </w:rPr>
              <w:t>v předškolním zařízení</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88,000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75,000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77,790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r w:rsidR="00457252" w:rsidTr="005764B8">
        <w:tc>
          <w:tcPr>
            <w:tcW w:w="646"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50110</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využívajících zařízení péče o děti předškolního věku</w:t>
            </w:r>
          </w:p>
        </w:tc>
        <w:tc>
          <w:tcPr>
            <w:tcW w:w="72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center"/>
              <w:rPr>
                <w:rFonts w:ascii="Arial" w:eastAsia="Arial" w:hAnsi="Arial" w:cs="Arial"/>
                <w:color w:val="000000"/>
                <w:sz w:val="14"/>
              </w:rPr>
            </w:pPr>
            <w:r>
              <w:rPr>
                <w:rFonts w:ascii="Arial" w:eastAsia="Arial" w:hAnsi="Arial" w:cs="Arial"/>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740,000</w:t>
            </w:r>
          </w:p>
        </w:tc>
        <w:tc>
          <w:tcPr>
            <w:tcW w:w="69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460,000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550</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457252" w:rsidRDefault="00457252">
            <w:pPr>
              <w:ind w:left="57" w:right="57"/>
              <w:rPr>
                <w:rFonts w:ascii="Arial" w:eastAsia="Arial" w:hAnsi="Arial" w:cs="Arial"/>
                <w:color w:val="000000"/>
                <w:sz w:val="14"/>
              </w:rPr>
            </w:pPr>
          </w:p>
        </w:tc>
      </w:tr>
    </w:tbl>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tabs>
          <w:tab w:val="left" w:pos="1675"/>
        </w:tabs>
        <w:ind w:left="115" w:right="106"/>
        <w:rPr>
          <w:rFonts w:ascii="Arial" w:eastAsia="Arial" w:hAnsi="Arial" w:cs="Arial"/>
          <w:color w:val="000000"/>
          <w:sz w:val="16"/>
        </w:rPr>
      </w:pPr>
      <w:r>
        <w:rPr>
          <w:rFonts w:ascii="Arial" w:eastAsia="Arial" w:hAnsi="Arial" w:cs="Arial"/>
          <w:color w:val="000000"/>
          <w:sz w:val="16"/>
        </w:rPr>
        <w:t>3 - V tabulce 1 je nutno rozdělení podle pohlaví v polích pro roční hodnotu použít pouze tehdy, je-li uvedeno v tabulce 12 modelu programu. V opačném případě použijte T = celkem.</w:t>
      </w:r>
    </w:p>
    <w:p w:rsidR="00457252" w:rsidRDefault="00457252">
      <w:pPr>
        <w:tabs>
          <w:tab w:val="left" w:pos="1675"/>
        </w:tabs>
        <w:ind w:left="115" w:right="670"/>
        <w:rPr>
          <w:rFonts w:ascii="Calibri" w:eastAsia="Calibri" w:hAnsi="Calibri" w:cs="Calibri"/>
          <w:color w:val="000000"/>
          <w:sz w:val="20"/>
        </w:rPr>
      </w:pPr>
    </w:p>
    <w:p w:rsidR="00457252" w:rsidRDefault="00697A5C">
      <w:r>
        <w:br w:type="page"/>
      </w:r>
    </w:p>
    <w:p w:rsidR="00457252" w:rsidRDefault="00697A5C">
      <w:pPr>
        <w:tabs>
          <w:tab w:val="left" w:pos="1675"/>
        </w:tabs>
        <w:ind w:left="115" w:right="670"/>
        <w:rPr>
          <w:rFonts w:ascii="Arial" w:eastAsia="Arial" w:hAnsi="Arial" w:cs="Arial"/>
          <w:b/>
          <w:bCs/>
          <w:i/>
          <w:iCs/>
          <w:color w:val="000000"/>
          <w:sz w:val="16"/>
        </w:rPr>
      </w:pPr>
      <w:r>
        <w:rPr>
          <w:rFonts w:ascii="Arial" w:eastAsia="Arial" w:hAnsi="Arial" w:cs="Arial"/>
          <w:b/>
          <w:bCs/>
          <w:i/>
          <w:iCs/>
          <w:color w:val="000000"/>
          <w:sz w:val="20"/>
        </w:rPr>
        <w:lastRenderedPageBreak/>
        <w:t>Tabulka 2A: Společné indikátory výsledků pro ESF (podle prioritních os, investičních priorit a kategorií regionů). Údaje o všech společných indikátorech výsledků pro ESF (s cílem a bez cíle) je nutno uvést v rozdělení podle pohlaví. V případě prioritní osy „technická pomoc</w:t>
      </w:r>
      <w:proofErr w:type="gramStart"/>
      <w:r>
        <w:rPr>
          <w:rFonts w:ascii="Arial" w:eastAsia="Arial" w:hAnsi="Arial" w:cs="Arial"/>
          <w:b/>
          <w:bCs/>
          <w:i/>
          <w:iCs/>
          <w:color w:val="000000"/>
          <w:sz w:val="20"/>
        </w:rPr>
        <w:t>“ jsou</w:t>
      </w:r>
      <w:proofErr w:type="gramEnd"/>
      <w:r>
        <w:rPr>
          <w:rFonts w:ascii="Arial" w:eastAsia="Arial" w:hAnsi="Arial" w:cs="Arial"/>
          <w:b/>
          <w:bCs/>
          <w:i/>
          <w:iCs/>
          <w:color w:val="000000"/>
          <w:sz w:val="20"/>
        </w:rPr>
        <w:t xml:space="preserve"> vykázány pouze ty společné indikátory, pro něž byl stanoven cíl.</w:t>
      </w:r>
      <w:r>
        <w:rPr>
          <w:rFonts w:ascii="Arial" w:eastAsia="Arial" w:hAnsi="Arial" w:cs="Arial"/>
          <w:b/>
          <w:bCs/>
          <w:i/>
          <w:iCs/>
          <w:color w:val="000000"/>
          <w:sz w:val="16"/>
        </w:rPr>
        <w:t xml:space="preserve"> (4)</w:t>
      </w:r>
    </w:p>
    <w:p w:rsidR="00457252" w:rsidRDefault="00457252">
      <w:pPr>
        <w:keepNext/>
        <w:ind w:left="115" w:right="106"/>
        <w:jc w:val="both"/>
        <w:rPr>
          <w:rFonts w:ascii="Arial" w:eastAsia="Arial" w:hAnsi="Arial" w:cs="Arial"/>
          <w:color w:val="000000"/>
          <w:sz w:val="20"/>
        </w:rPr>
      </w:pPr>
    </w:p>
    <w:p w:rsidR="00457252" w:rsidRDefault="00697A5C">
      <w:pPr>
        <w:keepNext/>
        <w:ind w:left="115" w:right="106"/>
        <w:jc w:val="both"/>
        <w:rPr>
          <w:rFonts w:ascii="Arial" w:eastAsia="Arial" w:hAnsi="Arial" w:cs="Arial"/>
          <w:color w:val="000000"/>
          <w:sz w:val="20"/>
        </w:rPr>
      </w:pPr>
      <w:r>
        <w:rPr>
          <w:rFonts w:ascii="Arial" w:eastAsia="Arial" w:hAnsi="Arial" w:cs="Arial"/>
          <w:color w:val="000000"/>
          <w:sz w:val="20"/>
        </w:rPr>
        <w:t>Investiční priorita: 07.3.63 Zlepšování přístupu k dostupným, udržitelným a vysoce kvalitním službám, včetně zdravotnictví a sociálních služeb obecného zájmu</w:t>
      </w:r>
    </w:p>
    <w:tbl>
      <w:tblPr>
        <w:tblW w:w="15955" w:type="dxa"/>
        <w:tblInd w:w="58" w:type="dxa"/>
        <w:tblLayout w:type="fixed"/>
        <w:tblCellMar>
          <w:left w:w="0" w:type="dxa"/>
          <w:right w:w="0" w:type="dxa"/>
        </w:tblCellMar>
        <w:tblLook w:val="04A0" w:firstRow="1" w:lastRow="0" w:firstColumn="1" w:lastColumn="0" w:noHBand="0" w:noVBand="1"/>
      </w:tblPr>
      <w:tblGrid>
        <w:gridCol w:w="646"/>
        <w:gridCol w:w="2552"/>
        <w:gridCol w:w="838"/>
        <w:gridCol w:w="2705"/>
        <w:gridCol w:w="705"/>
        <w:gridCol w:w="996"/>
        <w:gridCol w:w="567"/>
        <w:gridCol w:w="567"/>
        <w:gridCol w:w="567"/>
        <w:gridCol w:w="567"/>
        <w:gridCol w:w="567"/>
        <w:gridCol w:w="567"/>
        <w:gridCol w:w="567"/>
        <w:gridCol w:w="567"/>
        <w:gridCol w:w="567"/>
        <w:gridCol w:w="567"/>
        <w:gridCol w:w="992"/>
        <w:gridCol w:w="851"/>
      </w:tblGrid>
      <w:tr w:rsidR="00457252" w:rsidTr="00381BAA">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Společný indikátor výstupů použitý jako základ pro stanovení cíle</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 pro výchozí hodnotu a cíl</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381BAA">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381BAA">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381BAA">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62400/CR01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 kteří znovu začali hledat zaměstnání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60300</w:t>
            </w:r>
            <w:r>
              <w:br/>
            </w:r>
            <w:r>
              <w:rPr>
                <w:rFonts w:ascii="Arial" w:eastAsia="Arial" w:hAnsi="Arial" w:cs="Arial"/>
                <w:color w:val="000000"/>
                <w:sz w:val="14"/>
              </w:rPr>
              <w:t>Neaktivní účastníci</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62500/CR02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 procesu vzdělávání / odborné přípravy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62600/CR03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kteří získali kvalifikaci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60100, 60500</w:t>
            </w:r>
            <w:r>
              <w:br/>
            </w:r>
            <w:r>
              <w:rPr>
                <w:rFonts w:ascii="Arial" w:eastAsia="Arial" w:hAnsi="Arial" w:cs="Arial"/>
                <w:color w:val="000000"/>
                <w:sz w:val="14"/>
              </w:rPr>
              <w:t>Nezaměstnaní účastníci, včetně dlouhodobě nezaměstnaných, Zaměstnaní, včetně OSVČ</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62700/CR04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62800/CR05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Znevýhodnění účastníci, kteří po ukončení své účasti hledají zaměstnání, jsou v procesu vzdělávání/ odborné přípravy, rozšiřují si kvalifikaci nebo jsou zaměstnaní, </w:t>
            </w:r>
            <w:r w:rsidR="00381BAA">
              <w:rPr>
                <w:rFonts w:ascii="Arial" w:eastAsia="Arial" w:hAnsi="Arial" w:cs="Arial"/>
                <w:color w:val="000000"/>
                <w:sz w:val="14"/>
              </w:rPr>
              <w:br/>
            </w:r>
            <w:r>
              <w:rPr>
                <w:rFonts w:ascii="Arial" w:eastAsia="Arial" w:hAnsi="Arial" w:cs="Arial"/>
                <w:color w:val="000000"/>
                <w:sz w:val="14"/>
              </w:rPr>
              <w:t>a to i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62900/CR06</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322,000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63000/CR07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jejichž situace na trhu práce se 6 měsíců po ukončení jejich účasti zlepšila</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60500</w:t>
            </w:r>
            <w:r>
              <w:br/>
            </w:r>
            <w:r>
              <w:rPr>
                <w:rFonts w:ascii="Arial" w:eastAsia="Arial" w:hAnsi="Arial" w:cs="Arial"/>
                <w:color w:val="000000"/>
                <w:sz w:val="14"/>
              </w:rPr>
              <w:t>Zaměstnaní, včetně OSVČ</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63100/CR08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60700, 60100, 60400</w:t>
            </w:r>
            <w:r>
              <w:br/>
            </w:r>
            <w:r>
              <w:rPr>
                <w:rFonts w:ascii="Arial" w:eastAsia="Arial" w:hAnsi="Arial" w:cs="Arial"/>
                <w:color w:val="000000"/>
                <w:sz w:val="14"/>
              </w:rPr>
              <w:t>Účastníci ve věku nad 54 let, Nezaměstnaní účastníci, včetně dlouhodobě nezaměstnaných, Neaktivní osoby, které nejsou v procesu vzdělávání nebo odborné přípravy</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63200/CR09</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Znevýhodnění účastníci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9C073F">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457252" w:rsidRDefault="00457252">
      <w:pPr>
        <w:keepNext/>
        <w:ind w:left="115" w:right="106"/>
        <w:jc w:val="both"/>
        <w:rPr>
          <w:rFonts w:ascii="Arial" w:eastAsia="Arial" w:hAnsi="Arial" w:cs="Arial"/>
          <w:color w:val="000000"/>
          <w:sz w:val="20"/>
        </w:rPr>
      </w:pPr>
    </w:p>
    <w:p w:rsidR="00457252" w:rsidRDefault="00697A5C" w:rsidP="005764B8">
      <w:pPr>
        <w:keepNext/>
        <w:ind w:left="115" w:right="667"/>
        <w:jc w:val="both"/>
        <w:rPr>
          <w:rFonts w:ascii="Arial" w:eastAsia="Arial" w:hAnsi="Arial" w:cs="Arial"/>
          <w:color w:val="000000"/>
          <w:sz w:val="20"/>
        </w:rPr>
      </w:pPr>
      <w:r>
        <w:rPr>
          <w:rFonts w:ascii="Arial" w:eastAsia="Arial" w:hAnsi="Arial" w:cs="Arial"/>
          <w:color w:val="000000"/>
          <w:sz w:val="20"/>
        </w:rPr>
        <w:t>Investiční priorita: 07.4.51 Rovnost žen a mužů ve všech oblastech, a to i pokud jde o přístup k zaměstnání a kariérní postup, sladění pracovního a soukromého života a podpora stejné odměny za stejnou práci</w:t>
      </w:r>
    </w:p>
    <w:tbl>
      <w:tblPr>
        <w:tblW w:w="15956" w:type="dxa"/>
        <w:tblInd w:w="58" w:type="dxa"/>
        <w:tblLayout w:type="fixed"/>
        <w:tblCellMar>
          <w:left w:w="0" w:type="dxa"/>
          <w:right w:w="0" w:type="dxa"/>
        </w:tblCellMar>
        <w:tblLook w:val="04A0" w:firstRow="1" w:lastRow="0" w:firstColumn="1" w:lastColumn="0" w:noHBand="0" w:noVBand="1"/>
      </w:tblPr>
      <w:tblGrid>
        <w:gridCol w:w="646"/>
        <w:gridCol w:w="2552"/>
        <w:gridCol w:w="838"/>
        <w:gridCol w:w="2705"/>
        <w:gridCol w:w="705"/>
        <w:gridCol w:w="996"/>
        <w:gridCol w:w="567"/>
        <w:gridCol w:w="567"/>
        <w:gridCol w:w="567"/>
        <w:gridCol w:w="567"/>
        <w:gridCol w:w="567"/>
        <w:gridCol w:w="567"/>
        <w:gridCol w:w="567"/>
        <w:gridCol w:w="567"/>
        <w:gridCol w:w="567"/>
        <w:gridCol w:w="567"/>
        <w:gridCol w:w="993"/>
        <w:gridCol w:w="851"/>
      </w:tblGrid>
      <w:tr w:rsidR="00457252" w:rsidTr="00561741">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Společný indikátor výstupů použitý jako základ pro stanovení cíle</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 pro výchozí hodnotu a cíl</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381BAA">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pPr>
              <w:keepNext/>
              <w:keepLines/>
              <w:ind w:left="57" w:right="57"/>
              <w:jc w:val="center"/>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62400/CR01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 kteří znovu začali hledat zaměstnání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60300</w:t>
            </w:r>
            <w:r>
              <w:br/>
            </w:r>
            <w:r>
              <w:rPr>
                <w:rFonts w:ascii="Arial" w:eastAsia="Arial" w:hAnsi="Arial" w:cs="Arial"/>
                <w:color w:val="000000"/>
                <w:sz w:val="14"/>
              </w:rPr>
              <w:t>Neaktivní účastníci</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62500/CR02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 procesu vzdělávání / odborné přípravy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62600/CR03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kteří získali kvalifikaci po ukončení své účasti</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60100, 60500</w:t>
            </w:r>
            <w:r>
              <w:br/>
            </w:r>
            <w:r>
              <w:rPr>
                <w:rFonts w:ascii="Arial" w:eastAsia="Arial" w:hAnsi="Arial" w:cs="Arial"/>
                <w:color w:val="000000"/>
                <w:sz w:val="14"/>
              </w:rPr>
              <w:t>Nezaměstnaní účastníci, včetně dlouhodobě nezaměstnaných, Zaměstnaní, včetně OSVČ</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62700/CR04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381BAA">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62800/CR05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Znevýhodnění účastníci, kteří po ukončení své účasti hledají zaměstnání, jsou v procesu vzdělávání/ odborné přípravy, rozšiřují si kvalifikaci nebo jsou zaměstnaní, a to i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C03FA"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C03FA">
            <w:pPr>
              <w:tabs>
                <w:tab w:val="left" w:pos="828"/>
              </w:tabs>
              <w:ind w:left="57" w:right="57"/>
              <w:jc w:val="right"/>
              <w:rPr>
                <w:rFonts w:ascii="Arial" w:eastAsia="Arial" w:hAnsi="Arial" w:cs="Arial"/>
                <w:color w:val="000000"/>
                <w:sz w:val="14"/>
              </w:rPr>
            </w:pPr>
            <w:r>
              <w:rPr>
                <w:rFonts w:ascii="Arial" w:eastAsia="Arial" w:hAnsi="Arial" w:cs="Arial"/>
                <w:color w:val="000000"/>
                <w:sz w:val="14"/>
              </w:rPr>
              <w:t>0</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C03FA">
            <w:pPr>
              <w:tabs>
                <w:tab w:val="left" w:pos="828"/>
              </w:tabs>
              <w:ind w:left="57" w:right="57"/>
              <w:jc w:val="right"/>
              <w:rPr>
                <w:rFonts w:ascii="Arial" w:eastAsia="Arial" w:hAnsi="Arial" w:cs="Arial"/>
                <w:color w:val="000000"/>
                <w:sz w:val="14"/>
              </w:rPr>
            </w:pPr>
            <w:r>
              <w:rPr>
                <w:rFonts w:ascii="Arial" w:eastAsia="Arial" w:hAnsi="Arial" w:cs="Arial"/>
                <w:color w:val="000000"/>
                <w:sz w:val="14"/>
              </w:rPr>
              <w:t>0</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C03FA">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C03FA">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561741" w:rsidRDefault="00561741"/>
    <w:tbl>
      <w:tblPr>
        <w:tblW w:w="15956" w:type="dxa"/>
        <w:tblInd w:w="58" w:type="dxa"/>
        <w:tblLayout w:type="fixed"/>
        <w:tblCellMar>
          <w:left w:w="0" w:type="dxa"/>
          <w:right w:w="0" w:type="dxa"/>
        </w:tblCellMar>
        <w:tblLook w:val="04A0" w:firstRow="1" w:lastRow="0" w:firstColumn="1" w:lastColumn="0" w:noHBand="0" w:noVBand="1"/>
      </w:tblPr>
      <w:tblGrid>
        <w:gridCol w:w="646"/>
        <w:gridCol w:w="2552"/>
        <w:gridCol w:w="838"/>
        <w:gridCol w:w="2705"/>
        <w:gridCol w:w="705"/>
        <w:gridCol w:w="996"/>
        <w:gridCol w:w="567"/>
        <w:gridCol w:w="567"/>
        <w:gridCol w:w="567"/>
        <w:gridCol w:w="567"/>
        <w:gridCol w:w="567"/>
        <w:gridCol w:w="567"/>
        <w:gridCol w:w="567"/>
        <w:gridCol w:w="567"/>
        <w:gridCol w:w="567"/>
        <w:gridCol w:w="567"/>
        <w:gridCol w:w="993"/>
        <w:gridCol w:w="851"/>
      </w:tblGrid>
      <w:tr w:rsidR="00561741" w:rsidTr="00561741">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lastRenderedPageBreak/>
              <w:t>ID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Společný indikátor výstupů použitý jako základ pro stanovení cíle</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 pro výchozí hodnotu a cíl</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561741" w:rsidRDefault="00561741" w:rsidP="00BB4746">
            <w:pPr>
              <w:keepNext/>
              <w:keepLines/>
              <w:ind w:left="57" w:right="57"/>
              <w:jc w:val="center"/>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561741" w:rsidRDefault="00561741"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561741"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561741" w:rsidRDefault="00561741" w:rsidP="00BB4746">
            <w:pPr>
              <w:keepNext/>
              <w:keepLines/>
              <w:ind w:left="57" w:right="57"/>
              <w:jc w:val="center"/>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561741" w:rsidRDefault="00561741" w:rsidP="00BB4746">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561741"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561741"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3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62900/CR06</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63000/CR07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jejichž situace na trhu práce se 6 měsíců po ukončení jejich účasti zlepšila</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60500</w:t>
            </w:r>
            <w:r>
              <w:br/>
            </w:r>
            <w:r>
              <w:rPr>
                <w:rFonts w:ascii="Arial" w:eastAsia="Arial" w:hAnsi="Arial" w:cs="Arial"/>
                <w:color w:val="000000"/>
                <w:sz w:val="14"/>
              </w:rPr>
              <w:t>Zaměstnaní, včetně OSVČ</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63100/CR08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60700, 60100, 60400</w:t>
            </w:r>
            <w:r>
              <w:br/>
            </w:r>
            <w:r>
              <w:rPr>
                <w:rFonts w:ascii="Arial" w:eastAsia="Arial" w:hAnsi="Arial" w:cs="Arial"/>
                <w:color w:val="000000"/>
                <w:sz w:val="14"/>
              </w:rPr>
              <w:t>Účastníci ve věku nad 54 let, Nezaměstnaní účastníci, včetně dlouhodobě nezaměstnaných, Neaktivní osoby, které nejsou v procesu vzdělávání nebo odborné přípravy</w:t>
            </w: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63200/CR09</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Znevýhodnění účastníci zaměstnaní 6 měsíců po ukončení své účasti včetně OSVČ**</w:t>
            </w:r>
          </w:p>
        </w:tc>
        <w:tc>
          <w:tcPr>
            <w:tcW w:w="83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0"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764B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3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457252" w:rsidRDefault="00457252">
      <w:pPr>
        <w:keepNext/>
        <w:ind w:left="115" w:right="106"/>
        <w:jc w:val="both"/>
        <w:rPr>
          <w:rFonts w:ascii="Arial" w:eastAsia="Arial" w:hAnsi="Arial" w:cs="Arial"/>
          <w:color w:val="000000"/>
          <w:sz w:val="20"/>
        </w:rPr>
      </w:pPr>
    </w:p>
    <w:p w:rsidR="00457252" w:rsidRDefault="00697A5C" w:rsidP="00F76B18">
      <w:pPr>
        <w:keepNext/>
        <w:ind w:left="115" w:right="809"/>
        <w:jc w:val="both"/>
        <w:rPr>
          <w:rFonts w:ascii="Arial" w:eastAsia="Arial" w:hAnsi="Arial" w:cs="Arial"/>
          <w:color w:val="000000"/>
          <w:sz w:val="20"/>
        </w:rPr>
      </w:pPr>
      <w:r>
        <w:rPr>
          <w:rFonts w:ascii="Arial" w:eastAsia="Arial" w:hAnsi="Arial" w:cs="Arial"/>
          <w:color w:val="000000"/>
          <w:sz w:val="20"/>
        </w:rPr>
        <w:t xml:space="preserve">Investiční priorita: 07.4.68 Omezování a prevence předčasného ukončování školní docházky a podpora rovného přístupu ke kvalitním programům předškolního rozvoje, </w:t>
      </w:r>
      <w:r w:rsidR="00F76B18">
        <w:rPr>
          <w:rFonts w:ascii="Arial" w:eastAsia="Arial" w:hAnsi="Arial" w:cs="Arial"/>
          <w:color w:val="000000"/>
          <w:sz w:val="20"/>
        </w:rPr>
        <w:br/>
      </w:r>
      <w:r>
        <w:rPr>
          <w:rFonts w:ascii="Arial" w:eastAsia="Arial" w:hAnsi="Arial" w:cs="Arial"/>
          <w:color w:val="000000"/>
          <w:sz w:val="20"/>
        </w:rPr>
        <w:t>k primárnímu a sekundárnímu vzdělávání, možnostem formálního a neformálního vzdělávání, které umožňuje zpětné začlenění do procesu vzdělávání a odborné přípravy</w:t>
      </w:r>
    </w:p>
    <w:tbl>
      <w:tblPr>
        <w:tblW w:w="0" w:type="auto"/>
        <w:tblInd w:w="58" w:type="dxa"/>
        <w:tblLayout w:type="fixed"/>
        <w:tblCellMar>
          <w:left w:w="0" w:type="dxa"/>
          <w:right w:w="0" w:type="dxa"/>
        </w:tblCellMar>
        <w:tblLook w:val="04A0" w:firstRow="1" w:lastRow="0" w:firstColumn="1" w:lastColumn="0" w:noHBand="0" w:noVBand="1"/>
      </w:tblPr>
      <w:tblGrid>
        <w:gridCol w:w="646"/>
        <w:gridCol w:w="2552"/>
        <w:gridCol w:w="850"/>
        <w:gridCol w:w="2693"/>
        <w:gridCol w:w="709"/>
        <w:gridCol w:w="992"/>
        <w:gridCol w:w="580"/>
        <w:gridCol w:w="567"/>
        <w:gridCol w:w="567"/>
        <w:gridCol w:w="567"/>
        <w:gridCol w:w="567"/>
        <w:gridCol w:w="567"/>
        <w:gridCol w:w="567"/>
        <w:gridCol w:w="567"/>
        <w:gridCol w:w="567"/>
        <w:gridCol w:w="567"/>
        <w:gridCol w:w="992"/>
        <w:gridCol w:w="851"/>
      </w:tblGrid>
      <w:tr w:rsidR="00F76B18" w:rsidTr="00561741">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Společný indikátor výstupů použitý jako základ pro stanovení cíle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 pro výchozí hodnotu a cíl</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F76B18"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F76B18" w:rsidTr="00561741">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62400/CR01</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 kteří znovu začali hledat zaměstnání po ukončení své účasti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60300</w:t>
            </w:r>
            <w:r>
              <w:br/>
            </w:r>
            <w:r>
              <w:rPr>
                <w:rFonts w:ascii="Arial" w:eastAsia="Arial" w:hAnsi="Arial" w:cs="Arial"/>
                <w:color w:val="000000"/>
                <w:sz w:val="14"/>
              </w:rPr>
              <w:t>Neaktivní účastníci</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62500/CR02</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 procesu vzdělávání / odborné přípravy po ukončení své účasti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561741" w:rsidRDefault="00561741"/>
    <w:p w:rsidR="00561741" w:rsidRDefault="00561741"/>
    <w:tbl>
      <w:tblPr>
        <w:tblW w:w="0" w:type="auto"/>
        <w:tblInd w:w="58" w:type="dxa"/>
        <w:tblLayout w:type="fixed"/>
        <w:tblCellMar>
          <w:left w:w="0" w:type="dxa"/>
          <w:right w:w="0" w:type="dxa"/>
        </w:tblCellMar>
        <w:tblLook w:val="04A0" w:firstRow="1" w:lastRow="0" w:firstColumn="1" w:lastColumn="0" w:noHBand="0" w:noVBand="1"/>
      </w:tblPr>
      <w:tblGrid>
        <w:gridCol w:w="646"/>
        <w:gridCol w:w="2552"/>
        <w:gridCol w:w="850"/>
        <w:gridCol w:w="2693"/>
        <w:gridCol w:w="709"/>
        <w:gridCol w:w="992"/>
        <w:gridCol w:w="580"/>
        <w:gridCol w:w="567"/>
        <w:gridCol w:w="567"/>
        <w:gridCol w:w="567"/>
        <w:gridCol w:w="567"/>
        <w:gridCol w:w="567"/>
        <w:gridCol w:w="567"/>
        <w:gridCol w:w="567"/>
        <w:gridCol w:w="567"/>
        <w:gridCol w:w="567"/>
        <w:gridCol w:w="992"/>
        <w:gridCol w:w="851"/>
      </w:tblGrid>
      <w:tr w:rsidR="00561741" w:rsidTr="00BB4746">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lastRenderedPageBreak/>
              <w:t>ID</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Společný indikátor výstupů použitý jako základ pro stanovení cíle</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 pro výchozí hodnotu a cíl</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561741" w:rsidRDefault="00561741"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561741" w:rsidRDefault="00561741" w:rsidP="00BB4746">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561741" w:rsidRDefault="00561741"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561741" w:rsidTr="00BB4746">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561741" w:rsidRDefault="00561741" w:rsidP="00BB4746">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color w:val="000000"/>
                <w:sz w:val="14"/>
              </w:rPr>
            </w:pPr>
          </w:p>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561741" w:rsidRDefault="00561741" w:rsidP="00BB4746">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561741" w:rsidTr="00BB4746">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561741" w:rsidTr="00BB4746">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5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269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c>
          <w:tcPr>
            <w:tcW w:w="58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Default="00561741" w:rsidP="00BB4746"/>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62600/CR03</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kteří získali kvalifikaci po ukončení své účasti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60100, 60500</w:t>
            </w:r>
            <w:r>
              <w:br/>
            </w:r>
            <w:r>
              <w:rPr>
                <w:rFonts w:ascii="Arial" w:eastAsia="Arial" w:hAnsi="Arial" w:cs="Arial"/>
                <w:color w:val="000000"/>
                <w:sz w:val="14"/>
              </w:rPr>
              <w:t>Nezaměstnaní účastníci, včetně dlouhodobě nezaměstnaných, Zaměstnaní, včetně OSVČ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62700/CR04</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po ukončení své účasti, včetně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62800/CR05</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Znevýhodnění účastníci, kteří po ukončení své účasti hledají zaměstnání, jsou v procesu vzdělávání/ odborné přípravy, rozšiřují si kvalifikaci nebo jsou zaměstnaní, a to i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62900/CR06</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zaměstnaní 6 měsíců po ukončení své účasti, včetně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br/>
            </w:r>
            <w:r>
              <w:rPr>
                <w:rFonts w:ascii="Arial" w:eastAsia="Arial" w:hAnsi="Arial" w:cs="Arial"/>
                <w:color w:val="000000"/>
                <w:sz w:val="14"/>
              </w:rPr>
              <w:t>Nezaměstnaní účastníci, včetně dlouhodobě nezaměstnaných</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63000/CR07</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jejichž situace na trhu práce se 6 měsíců po ukončení jejich účasti zlepšila</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60500</w:t>
            </w:r>
            <w:r>
              <w:br/>
            </w:r>
            <w:r>
              <w:rPr>
                <w:rFonts w:ascii="Arial" w:eastAsia="Arial" w:hAnsi="Arial" w:cs="Arial"/>
                <w:color w:val="000000"/>
                <w:sz w:val="14"/>
              </w:rPr>
              <w:t>Zaměstnaní, včetně OSVČ</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63100/CR08</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zaměstnaní 6 měsíců po ukončení své účasti, včetně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60700, 60100, 60400</w:t>
            </w:r>
            <w:r>
              <w:br/>
            </w:r>
            <w:r>
              <w:rPr>
                <w:rFonts w:ascii="Arial" w:eastAsia="Arial" w:hAnsi="Arial" w:cs="Arial"/>
                <w:color w:val="000000"/>
                <w:sz w:val="14"/>
              </w:rPr>
              <w:t>Účastníci ve věku nad 54 let, Nezaměstnaní účastníci, včetně dlouhodobě nezaměstnaných, Neaktivní osoby, které nejsou v procesu vzdělávání nebo odborné přípravy</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63200/CR09</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Znevýhodnění účastníci zaměstnaní 6 měsíců po ukončení své účasti včetně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rPr>
                <w:rFonts w:ascii="Arial" w:eastAsia="Arial" w:hAnsi="Arial" w:cs="Arial"/>
                <w:color w:val="000000"/>
                <w:sz w:val="14"/>
              </w:rPr>
            </w:pP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83"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76B1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61741">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5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6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457252" w:rsidRDefault="00697A5C">
      <w:pPr>
        <w:tabs>
          <w:tab w:val="left" w:pos="392"/>
        </w:tabs>
        <w:ind w:left="115" w:right="815"/>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 xml:space="preserve">Odhad založený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reprezentativním vzorku. Členské státy mají dvě možnosti vykázání údajů. Možnost č. 1: Minimálním požadavkem je poskytnutí údajů dvakrát, a to ve výroční zprávě o implementaci </w:t>
      </w:r>
      <w:r w:rsidR="00F76B18">
        <w:rPr>
          <w:rFonts w:ascii="Arial" w:eastAsia="Arial" w:hAnsi="Arial" w:cs="Arial"/>
          <w:color w:val="000000"/>
          <w:sz w:val="16"/>
        </w:rPr>
        <w:br/>
      </w:r>
      <w:r>
        <w:rPr>
          <w:rFonts w:ascii="Arial" w:eastAsia="Arial" w:hAnsi="Arial" w:cs="Arial"/>
          <w:color w:val="000000"/>
          <w:sz w:val="16"/>
        </w:rPr>
        <w:t>v roce 2019 a v závěrečné zprávě o implementaci. V případě této možnosti jsou kumulativní hodnoty vykázány ve sloupci „Kumulativní hodnota</w:t>
      </w:r>
      <w:proofErr w:type="gramStart"/>
      <w:r>
        <w:rPr>
          <w:rFonts w:ascii="Arial" w:eastAsia="Arial" w:hAnsi="Arial" w:cs="Arial"/>
          <w:color w:val="000000"/>
          <w:sz w:val="16"/>
        </w:rPr>
        <w:t>“ ve</w:t>
      </w:r>
      <w:proofErr w:type="gramEnd"/>
      <w:r>
        <w:rPr>
          <w:rFonts w:ascii="Arial" w:eastAsia="Arial" w:hAnsi="Arial" w:cs="Arial"/>
          <w:color w:val="000000"/>
          <w:sz w:val="16"/>
        </w:rPr>
        <w:t xml:space="preserve"> výroční zprávě o implementaci v roce 2019 a v závěrečné zprávě </w:t>
      </w:r>
      <w:r w:rsidR="00F76B18">
        <w:rPr>
          <w:rFonts w:ascii="Arial" w:eastAsia="Arial" w:hAnsi="Arial" w:cs="Arial"/>
          <w:color w:val="000000"/>
          <w:sz w:val="16"/>
        </w:rPr>
        <w:br/>
      </w:r>
      <w:r>
        <w:rPr>
          <w:rFonts w:ascii="Arial" w:eastAsia="Arial" w:hAnsi="Arial" w:cs="Arial"/>
          <w:color w:val="000000"/>
          <w:sz w:val="16"/>
        </w:rPr>
        <w:t>o implementaci. Možnost č. 2: Roční hodnoty jsou poskytnuty pro každý rok.</w:t>
      </w:r>
    </w:p>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keepNext/>
        <w:tabs>
          <w:tab w:val="left" w:pos="1675"/>
        </w:tabs>
        <w:ind w:left="115" w:right="529"/>
        <w:rPr>
          <w:rFonts w:ascii="Arial" w:eastAsia="Arial" w:hAnsi="Arial" w:cs="Arial"/>
          <w:color w:val="000000"/>
          <w:sz w:val="16"/>
        </w:rPr>
      </w:pPr>
      <w:r>
        <w:rPr>
          <w:rFonts w:ascii="Arial" w:eastAsia="Arial" w:hAnsi="Arial" w:cs="Arial"/>
          <w:color w:val="000000"/>
          <w:sz w:val="16"/>
        </w:rPr>
        <w:t xml:space="preserve"> Pokud investiční priorita obsahuje cíl pro společný ukazatel výsledků ESF, je nutno pro příslušný ukazatel výsledků poskytnout údaje o vybrané cílově skupině (tj. společný ukazatel výstupů použitý jako referenční hodnota) a rovněž údaje pro celkový počet účastníků, kteří v období provádění dosáhli příslušného výsledku.</w:t>
      </w:r>
    </w:p>
    <w:p w:rsidR="00457252" w:rsidRDefault="00457252">
      <w:pPr>
        <w:spacing w:line="312" w:lineRule="auto"/>
        <w:ind w:left="115" w:right="670"/>
        <w:jc w:val="both"/>
        <w:rPr>
          <w:rFonts w:ascii="Arial" w:eastAsia="Arial" w:hAnsi="Arial" w:cs="Arial"/>
          <w:color w:val="000000"/>
          <w:sz w:val="16"/>
        </w:rPr>
      </w:pPr>
    </w:p>
    <w:p w:rsidR="00457252" w:rsidRDefault="00697A5C">
      <w:pPr>
        <w:tabs>
          <w:tab w:val="left" w:pos="1675"/>
        </w:tabs>
        <w:ind w:left="115" w:right="670"/>
        <w:rPr>
          <w:rFonts w:ascii="Arial" w:eastAsia="Arial" w:hAnsi="Arial" w:cs="Arial"/>
          <w:b/>
          <w:bCs/>
          <w:i/>
          <w:iCs/>
          <w:color w:val="000000"/>
          <w:sz w:val="20"/>
        </w:rPr>
      </w:pPr>
      <w:r>
        <w:rPr>
          <w:rFonts w:ascii="Arial" w:eastAsia="Arial" w:hAnsi="Arial" w:cs="Arial"/>
          <w:b/>
          <w:bCs/>
          <w:i/>
          <w:iCs/>
          <w:color w:val="000000"/>
          <w:sz w:val="20"/>
        </w:rPr>
        <w:lastRenderedPageBreak/>
        <w:t xml:space="preserve">Tabulka 2C: Indikátory výsledků specifické pro jednotlivé programy pro ESF (podle prioritních os, investičních priorit a případně kategorií regionů); platí rovněž pro prioritní </w:t>
      </w:r>
      <w:proofErr w:type="gramStart"/>
      <w:r>
        <w:rPr>
          <w:rFonts w:ascii="Arial" w:eastAsia="Arial" w:hAnsi="Arial" w:cs="Arial"/>
          <w:b/>
          <w:bCs/>
          <w:i/>
          <w:iCs/>
          <w:color w:val="000000"/>
          <w:sz w:val="20"/>
        </w:rPr>
        <w:t>osu</w:t>
      </w:r>
      <w:proofErr w:type="gramEnd"/>
      <w:r>
        <w:rPr>
          <w:rFonts w:ascii="Arial" w:eastAsia="Arial" w:hAnsi="Arial" w:cs="Arial"/>
          <w:b/>
          <w:bCs/>
          <w:i/>
          <w:iCs/>
          <w:color w:val="000000"/>
          <w:sz w:val="20"/>
        </w:rPr>
        <w:t xml:space="preserve"> „technická pomoc“</w:t>
      </w:r>
    </w:p>
    <w:p w:rsidR="00457252" w:rsidRDefault="00457252">
      <w:pPr>
        <w:keepNext/>
        <w:ind w:left="115" w:right="106"/>
        <w:jc w:val="both"/>
        <w:rPr>
          <w:rFonts w:ascii="Arial" w:eastAsia="Arial" w:hAnsi="Arial" w:cs="Arial"/>
          <w:color w:val="000000"/>
          <w:sz w:val="20"/>
        </w:rPr>
      </w:pPr>
    </w:p>
    <w:p w:rsidR="00457252" w:rsidRDefault="00697A5C">
      <w:pPr>
        <w:keepNext/>
        <w:ind w:left="115" w:right="106"/>
        <w:jc w:val="both"/>
        <w:rPr>
          <w:rFonts w:ascii="Arial" w:eastAsia="Arial" w:hAnsi="Arial" w:cs="Arial"/>
          <w:color w:val="000000"/>
          <w:sz w:val="20"/>
        </w:rPr>
      </w:pPr>
      <w:r>
        <w:rPr>
          <w:rFonts w:ascii="Arial" w:eastAsia="Arial" w:hAnsi="Arial" w:cs="Arial"/>
          <w:color w:val="000000"/>
          <w:sz w:val="20"/>
        </w:rPr>
        <w:t>Investiční priorita: 07.3.63 Zlepšování přístupu k dostupným, udržitelným a vysoce kvalitním službám, včetně zdravotnictví a sociálních služeb obecného zájmu</w:t>
      </w:r>
    </w:p>
    <w:tbl>
      <w:tblPr>
        <w:tblW w:w="0" w:type="auto"/>
        <w:tblInd w:w="58" w:type="dxa"/>
        <w:tblLayout w:type="fixed"/>
        <w:tblCellMar>
          <w:left w:w="0" w:type="dxa"/>
          <w:right w:w="0" w:type="dxa"/>
        </w:tblCellMar>
        <w:tblLook w:val="04A0" w:firstRow="1" w:lastRow="0" w:firstColumn="1" w:lastColumn="0" w:noHBand="0" w:noVBand="1"/>
      </w:tblPr>
      <w:tblGrid>
        <w:gridCol w:w="636"/>
        <w:gridCol w:w="3260"/>
        <w:gridCol w:w="423"/>
        <w:gridCol w:w="848"/>
        <w:gridCol w:w="719"/>
        <w:gridCol w:w="802"/>
        <w:gridCol w:w="848"/>
        <w:gridCol w:w="743"/>
        <w:gridCol w:w="709"/>
        <w:gridCol w:w="709"/>
        <w:gridCol w:w="709"/>
        <w:gridCol w:w="708"/>
        <w:gridCol w:w="709"/>
        <w:gridCol w:w="709"/>
        <w:gridCol w:w="709"/>
        <w:gridCol w:w="708"/>
        <w:gridCol w:w="709"/>
        <w:gridCol w:w="709"/>
      </w:tblGrid>
      <w:tr w:rsidR="00457252" w:rsidTr="00F76B18">
        <w:trPr>
          <w:cantSplit/>
          <w:tblHeader/>
        </w:trPr>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260"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ESF / YEI</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719"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 xml:space="preserve">Jednotka měření pro výchozí hodnotu </w:t>
            </w:r>
            <w:r w:rsidR="00F76B18">
              <w:rPr>
                <w:rFonts w:ascii="Arial" w:eastAsia="Arial" w:hAnsi="Arial" w:cs="Arial"/>
                <w:b/>
                <w:bCs/>
                <w:color w:val="000000"/>
                <w:sz w:val="14"/>
              </w:rPr>
              <w:br/>
            </w:r>
            <w:r>
              <w:rPr>
                <w:rFonts w:ascii="Arial" w:eastAsia="Arial" w:hAnsi="Arial" w:cs="Arial"/>
                <w:b/>
                <w:bCs/>
                <w:color w:val="000000"/>
                <w:sz w:val="14"/>
              </w:rPr>
              <w:t>a cíl</w:t>
            </w:r>
          </w:p>
        </w:tc>
        <w:tc>
          <w:tcPr>
            <w:tcW w:w="848" w:type="dxa"/>
            <w:vMerge w:val="restart"/>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43"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709" w:type="dxa"/>
            <w:vMerge w:val="restart"/>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12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12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43"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12"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43"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55110</w:t>
            </w:r>
          </w:p>
        </w:tc>
        <w:tc>
          <w:tcPr>
            <w:tcW w:w="326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Míra podpořených projektů, které úspěšně zahájily komunitní aktivity</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848"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43"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74,000</w:t>
            </w:r>
          </w:p>
        </w:tc>
        <w:tc>
          <w:tcPr>
            <w:tcW w:w="74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left w:val="single" w:sz="4" w:space="0" w:color="000000"/>
              <w:bottom w:val="single" w:sz="4" w:space="0" w:color="000000"/>
              <w:right w:val="single" w:sz="12" w:space="0" w:color="000000"/>
            </w:tcBorders>
            <w:shd w:val="clear" w:color="auto" w:fill="E7E6E6"/>
          </w:tcPr>
          <w:p w:rsidR="00457252" w:rsidRDefault="00697A5C" w:rsidP="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43"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67010</w:t>
            </w:r>
          </w:p>
        </w:tc>
        <w:tc>
          <w:tcPr>
            <w:tcW w:w="326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Využívání podpořených služeb</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848"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43"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726</w:t>
            </w:r>
            <w:r w:rsidR="00697A5C">
              <w:rPr>
                <w:rFonts w:ascii="Arial" w:eastAsia="Arial" w:hAnsi="Arial" w:cs="Arial"/>
                <w:color w:val="000000"/>
                <w:sz w:val="14"/>
              </w:rPr>
              <w:t>,000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19 875,000</w:t>
            </w:r>
          </w:p>
        </w:tc>
        <w:tc>
          <w:tcPr>
            <w:tcW w:w="743"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B45D41">
            <w:pPr>
              <w:tabs>
                <w:tab w:val="left" w:pos="828"/>
              </w:tabs>
              <w:ind w:left="57" w:right="57"/>
              <w:jc w:val="right"/>
              <w:rPr>
                <w:rFonts w:ascii="Arial" w:eastAsia="Arial" w:hAnsi="Arial" w:cs="Arial"/>
                <w:color w:val="000000"/>
                <w:sz w:val="14"/>
              </w:rPr>
            </w:pPr>
            <w:r>
              <w:rPr>
                <w:rFonts w:ascii="Arial" w:eastAsia="Arial" w:hAnsi="Arial" w:cs="Arial"/>
                <w:color w:val="000000"/>
                <w:sz w:val="14"/>
              </w:rPr>
              <w:t>726</w:t>
            </w:r>
            <w:r w:rsidR="00697A5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0,04</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26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43"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bl>
    <w:p w:rsidR="00F76B18" w:rsidRDefault="00F76B18" w:rsidP="00F76B18">
      <w:pPr>
        <w:keepNext/>
        <w:ind w:left="115" w:right="667"/>
        <w:jc w:val="both"/>
        <w:rPr>
          <w:rFonts w:ascii="Arial" w:eastAsia="Arial" w:hAnsi="Arial" w:cs="Arial"/>
          <w:color w:val="000000"/>
          <w:sz w:val="20"/>
        </w:rPr>
      </w:pPr>
    </w:p>
    <w:p w:rsidR="00F76B18" w:rsidRDefault="00F76B18">
      <w:pPr>
        <w:rPr>
          <w:rFonts w:ascii="Arial" w:eastAsia="Arial" w:hAnsi="Arial" w:cs="Arial"/>
          <w:color w:val="000000"/>
          <w:sz w:val="20"/>
        </w:rPr>
      </w:pPr>
      <w:r>
        <w:rPr>
          <w:rFonts w:ascii="Arial" w:eastAsia="Arial" w:hAnsi="Arial" w:cs="Arial"/>
          <w:color w:val="000000"/>
          <w:sz w:val="20"/>
        </w:rPr>
        <w:br w:type="page"/>
      </w:r>
    </w:p>
    <w:p w:rsidR="00457252" w:rsidRDefault="00697A5C" w:rsidP="00F76B18">
      <w:pPr>
        <w:keepNext/>
        <w:ind w:left="115" w:right="667"/>
        <w:jc w:val="both"/>
        <w:rPr>
          <w:rFonts w:ascii="Arial" w:eastAsia="Arial" w:hAnsi="Arial" w:cs="Arial"/>
          <w:color w:val="000000"/>
          <w:sz w:val="20"/>
        </w:rPr>
      </w:pPr>
      <w:r>
        <w:rPr>
          <w:rFonts w:ascii="Arial" w:eastAsia="Arial" w:hAnsi="Arial" w:cs="Arial"/>
          <w:color w:val="000000"/>
          <w:sz w:val="20"/>
        </w:rPr>
        <w:lastRenderedPageBreak/>
        <w:t>Investiční priorita: 07.4.51 Rovnost žen a mužů ve všech oblastech, a to i pokud jde o přístup k zaměstnání a kariérní postup, sladění pracovního a soukromého života a podpora stejné odměny za stejnou práci</w:t>
      </w:r>
    </w:p>
    <w:tbl>
      <w:tblPr>
        <w:tblW w:w="0" w:type="auto"/>
        <w:tblInd w:w="58" w:type="dxa"/>
        <w:tblLayout w:type="fixed"/>
        <w:tblCellMar>
          <w:left w:w="0" w:type="dxa"/>
          <w:right w:w="0" w:type="dxa"/>
        </w:tblCellMar>
        <w:tblLook w:val="04A0" w:firstRow="1" w:lastRow="0" w:firstColumn="1" w:lastColumn="0" w:noHBand="0" w:noVBand="1"/>
      </w:tblPr>
      <w:tblGrid>
        <w:gridCol w:w="636"/>
        <w:gridCol w:w="3544"/>
        <w:gridCol w:w="423"/>
        <w:gridCol w:w="848"/>
        <w:gridCol w:w="719"/>
        <w:gridCol w:w="802"/>
        <w:gridCol w:w="741"/>
        <w:gridCol w:w="709"/>
        <w:gridCol w:w="708"/>
        <w:gridCol w:w="709"/>
        <w:gridCol w:w="709"/>
        <w:gridCol w:w="709"/>
        <w:gridCol w:w="708"/>
        <w:gridCol w:w="709"/>
        <w:gridCol w:w="709"/>
        <w:gridCol w:w="709"/>
        <w:gridCol w:w="708"/>
        <w:gridCol w:w="709"/>
      </w:tblGrid>
      <w:tr w:rsidR="00457252" w:rsidTr="00F76B18">
        <w:trPr>
          <w:cantSplit/>
          <w:tblHeader/>
        </w:trPr>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544"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ESF / YEI</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719"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 xml:space="preserve">Jednotka měření pro výchozí hodnotu </w:t>
            </w:r>
            <w:r w:rsidR="00F76B18">
              <w:rPr>
                <w:rFonts w:ascii="Arial" w:eastAsia="Arial" w:hAnsi="Arial" w:cs="Arial"/>
                <w:b/>
                <w:bCs/>
                <w:color w:val="000000"/>
                <w:sz w:val="14"/>
              </w:rPr>
              <w:br/>
            </w:r>
            <w:r>
              <w:rPr>
                <w:rFonts w:ascii="Arial" w:eastAsia="Arial" w:hAnsi="Arial" w:cs="Arial"/>
                <w:b/>
                <w:bCs/>
                <w:color w:val="000000"/>
                <w:sz w:val="14"/>
              </w:rPr>
              <w:t>a cíl</w:t>
            </w:r>
          </w:p>
        </w:tc>
        <w:tc>
          <w:tcPr>
            <w:tcW w:w="741" w:type="dxa"/>
            <w:vMerge w:val="restart"/>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709" w:type="dxa"/>
            <w:vMerge w:val="restart"/>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41" w:type="dxa"/>
            <w:vMerge/>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12"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50110</w:t>
            </w:r>
          </w:p>
        </w:tc>
        <w:tc>
          <w:tcPr>
            <w:tcW w:w="3544"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využívajících zařízení péče o děti předškolního věku</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741"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351,000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451,000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180</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531</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1,18</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41"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bl>
    <w:p w:rsidR="00457252" w:rsidRDefault="00457252">
      <w:pPr>
        <w:keepNext/>
        <w:ind w:left="115" w:right="106"/>
        <w:jc w:val="both"/>
        <w:rPr>
          <w:rFonts w:ascii="Arial" w:eastAsia="Arial" w:hAnsi="Arial" w:cs="Arial"/>
          <w:color w:val="000000"/>
          <w:sz w:val="20"/>
        </w:rPr>
      </w:pPr>
    </w:p>
    <w:p w:rsidR="00457252" w:rsidRDefault="00697A5C" w:rsidP="00F76B18">
      <w:pPr>
        <w:keepNext/>
        <w:ind w:left="115" w:right="667"/>
        <w:jc w:val="both"/>
        <w:rPr>
          <w:rFonts w:ascii="Arial" w:eastAsia="Arial" w:hAnsi="Arial" w:cs="Arial"/>
          <w:color w:val="000000"/>
          <w:sz w:val="20"/>
        </w:rPr>
      </w:pPr>
      <w:r>
        <w:rPr>
          <w:rFonts w:ascii="Arial" w:eastAsia="Arial" w:hAnsi="Arial" w:cs="Arial"/>
          <w:color w:val="000000"/>
          <w:sz w:val="20"/>
        </w:rPr>
        <w:t xml:space="preserve">Investiční priorita: 07.4.68 Omezování a prevence předčasného ukončování školní docházky a podpora rovného přístupu ke kvalitním programům předškolního rozvoje, </w:t>
      </w:r>
      <w:r w:rsidR="00F76B18">
        <w:rPr>
          <w:rFonts w:ascii="Arial" w:eastAsia="Arial" w:hAnsi="Arial" w:cs="Arial"/>
          <w:color w:val="000000"/>
          <w:sz w:val="20"/>
        </w:rPr>
        <w:br/>
      </w:r>
      <w:r>
        <w:rPr>
          <w:rFonts w:ascii="Arial" w:eastAsia="Arial" w:hAnsi="Arial" w:cs="Arial"/>
          <w:color w:val="000000"/>
          <w:sz w:val="20"/>
        </w:rPr>
        <w:t>k primárnímu a sekundárnímu vzdělávání, možnostem formálního a neformálního vzdělávání, které umožňuje zpětné začlenění do procesu vzdělávání a odborné přípravy</w:t>
      </w:r>
    </w:p>
    <w:tbl>
      <w:tblPr>
        <w:tblW w:w="0" w:type="auto"/>
        <w:tblInd w:w="58" w:type="dxa"/>
        <w:tblLayout w:type="fixed"/>
        <w:tblCellMar>
          <w:left w:w="0" w:type="dxa"/>
          <w:right w:w="0" w:type="dxa"/>
        </w:tblCellMar>
        <w:tblLook w:val="04A0" w:firstRow="1" w:lastRow="0" w:firstColumn="1" w:lastColumn="0" w:noHBand="0" w:noVBand="1"/>
      </w:tblPr>
      <w:tblGrid>
        <w:gridCol w:w="636"/>
        <w:gridCol w:w="3119"/>
        <w:gridCol w:w="423"/>
        <w:gridCol w:w="848"/>
        <w:gridCol w:w="844"/>
        <w:gridCol w:w="802"/>
        <w:gridCol w:w="848"/>
        <w:gridCol w:w="760"/>
        <w:gridCol w:w="709"/>
        <w:gridCol w:w="709"/>
        <w:gridCol w:w="850"/>
        <w:gridCol w:w="709"/>
        <w:gridCol w:w="709"/>
        <w:gridCol w:w="708"/>
        <w:gridCol w:w="709"/>
        <w:gridCol w:w="709"/>
        <w:gridCol w:w="709"/>
        <w:gridCol w:w="708"/>
      </w:tblGrid>
      <w:tr w:rsidR="00457252" w:rsidTr="00F76B18">
        <w:trPr>
          <w:cantSplit/>
          <w:tblHeader/>
        </w:trPr>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119"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ESF / YEI</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844"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 xml:space="preserve">Jednotka měření pro výchozí hodnotu </w:t>
            </w:r>
            <w:r w:rsidR="00F76B18">
              <w:rPr>
                <w:rFonts w:ascii="Arial" w:eastAsia="Arial" w:hAnsi="Arial" w:cs="Arial"/>
                <w:b/>
                <w:bCs/>
                <w:color w:val="000000"/>
                <w:sz w:val="14"/>
              </w:rPr>
              <w:br/>
            </w:r>
            <w:r>
              <w:rPr>
                <w:rFonts w:ascii="Arial" w:eastAsia="Arial" w:hAnsi="Arial" w:cs="Arial"/>
                <w:b/>
                <w:bCs/>
                <w:color w:val="000000"/>
                <w:sz w:val="14"/>
              </w:rPr>
              <w:t>a cíl</w:t>
            </w:r>
          </w:p>
        </w:tc>
        <w:tc>
          <w:tcPr>
            <w:tcW w:w="848" w:type="dxa"/>
            <w:vMerge w:val="restart"/>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60"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0"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708" w:type="dxa"/>
            <w:vMerge w:val="restart"/>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281"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708" w:type="dxa"/>
            <w:vMerge/>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281"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708"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6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12"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6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60"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51015</w:t>
            </w:r>
          </w:p>
        </w:tc>
        <w:tc>
          <w:tcPr>
            <w:tcW w:w="311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organizací, ve kterých se zvýšila proinkluzivnost</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4"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Organizace</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848"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60"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134</w:t>
            </w:r>
            <w:r w:rsidR="00697A5C">
              <w:rPr>
                <w:rFonts w:ascii="Arial" w:eastAsia="Arial" w:hAnsi="Arial" w:cs="Arial"/>
                <w:color w:val="000000"/>
                <w:sz w:val="14"/>
              </w:rPr>
              <w:t>,000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150,000</w:t>
            </w:r>
          </w:p>
        </w:tc>
        <w:tc>
          <w:tcPr>
            <w:tcW w:w="76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134</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0,89</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52510</w:t>
            </w:r>
          </w:p>
        </w:tc>
        <w:tc>
          <w:tcPr>
            <w:tcW w:w="311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pracovníků ve vzdělávání, kteří v praxi uplatňují nově získané poznatky a dovednosti</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8"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4"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pracovníci ve vzdělávání</w:t>
            </w:r>
          </w:p>
        </w:tc>
        <w:tc>
          <w:tcPr>
            <w:tcW w:w="80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848"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60"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850"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1 195</w:t>
            </w:r>
            <w:r w:rsidR="00697A5C">
              <w:rPr>
                <w:rFonts w:ascii="Arial" w:eastAsia="Arial" w:hAnsi="Arial" w:cs="Arial"/>
                <w:color w:val="000000"/>
                <w:sz w:val="14"/>
              </w:rPr>
              <w:t>,000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4 763,000</w:t>
            </w:r>
          </w:p>
        </w:tc>
        <w:tc>
          <w:tcPr>
            <w:tcW w:w="76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25</w:t>
            </w:r>
            <w:r w:rsidR="00697A5C">
              <w:rPr>
                <w:rFonts w:ascii="Arial" w:eastAsia="Arial" w:hAnsi="Arial" w:cs="Arial"/>
                <w:color w:val="000000"/>
                <w:sz w:val="1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1 220</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0,26</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6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11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0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6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bl>
    <w:p w:rsidR="00457252" w:rsidRDefault="00457252">
      <w:pPr>
        <w:keepNext/>
        <w:ind w:left="115" w:right="106"/>
        <w:jc w:val="both"/>
        <w:rPr>
          <w:rFonts w:ascii="Arial" w:eastAsia="Arial" w:hAnsi="Arial" w:cs="Arial"/>
          <w:color w:val="000000"/>
          <w:sz w:val="20"/>
        </w:rPr>
      </w:pPr>
    </w:p>
    <w:p w:rsidR="00457252" w:rsidRDefault="00697A5C">
      <w:pPr>
        <w:keepNext/>
        <w:ind w:left="115" w:right="106"/>
        <w:jc w:val="both"/>
        <w:rPr>
          <w:rFonts w:ascii="Arial" w:eastAsia="Arial" w:hAnsi="Arial" w:cs="Arial"/>
          <w:color w:val="000000"/>
          <w:sz w:val="20"/>
        </w:rPr>
      </w:pPr>
      <w:r>
        <w:rPr>
          <w:rFonts w:ascii="Arial" w:eastAsia="Arial" w:hAnsi="Arial" w:cs="Arial"/>
          <w:color w:val="000000"/>
          <w:sz w:val="20"/>
        </w:rPr>
        <w:t>Investiční priorita: 07.5.125 Technická pomoc</w:t>
      </w:r>
    </w:p>
    <w:tbl>
      <w:tblPr>
        <w:tblW w:w="0" w:type="auto"/>
        <w:tblInd w:w="58" w:type="dxa"/>
        <w:tblLayout w:type="fixed"/>
        <w:tblCellMar>
          <w:left w:w="0" w:type="dxa"/>
          <w:right w:w="0" w:type="dxa"/>
        </w:tblCellMar>
        <w:tblLook w:val="04A0" w:firstRow="1" w:lastRow="0" w:firstColumn="1" w:lastColumn="0" w:noHBand="0" w:noVBand="1"/>
      </w:tblPr>
      <w:tblGrid>
        <w:gridCol w:w="636"/>
        <w:gridCol w:w="3544"/>
        <w:gridCol w:w="423"/>
        <w:gridCol w:w="842"/>
        <w:gridCol w:w="709"/>
        <w:gridCol w:w="850"/>
        <w:gridCol w:w="709"/>
        <w:gridCol w:w="709"/>
        <w:gridCol w:w="708"/>
        <w:gridCol w:w="709"/>
        <w:gridCol w:w="709"/>
        <w:gridCol w:w="709"/>
        <w:gridCol w:w="708"/>
        <w:gridCol w:w="709"/>
        <w:gridCol w:w="709"/>
        <w:gridCol w:w="709"/>
        <w:gridCol w:w="708"/>
        <w:gridCol w:w="709"/>
      </w:tblGrid>
      <w:tr w:rsidR="002474E9" w:rsidTr="00F76B18">
        <w:trPr>
          <w:cantSplit/>
          <w:tblHeader/>
        </w:trPr>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544"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ESF / YEI</w:t>
            </w:r>
          </w:p>
        </w:tc>
        <w:tc>
          <w:tcPr>
            <w:tcW w:w="842"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 xml:space="preserve">Jednotka měření pro výchozí hodnotu </w:t>
            </w:r>
            <w:r w:rsidR="002474E9">
              <w:rPr>
                <w:rFonts w:ascii="Arial" w:eastAsia="Arial" w:hAnsi="Arial" w:cs="Arial"/>
                <w:b/>
                <w:bCs/>
                <w:color w:val="000000"/>
                <w:sz w:val="14"/>
              </w:rPr>
              <w:br/>
            </w:r>
            <w:r>
              <w:rPr>
                <w:rFonts w:ascii="Arial" w:eastAsia="Arial" w:hAnsi="Arial" w:cs="Arial"/>
                <w:b/>
                <w:bCs/>
                <w:color w:val="000000"/>
                <w:sz w:val="14"/>
              </w:rPr>
              <w:t>a cíl</w:t>
            </w:r>
          </w:p>
        </w:tc>
        <w:tc>
          <w:tcPr>
            <w:tcW w:w="709" w:type="dxa"/>
            <w:vMerge w:val="restart"/>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09"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08" w:type="dxa"/>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709" w:type="dxa"/>
            <w:vMerge w:val="restart"/>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12"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87"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709" w:type="dxa"/>
            <w:vMerge/>
            <w:tcBorders>
              <w:top w:val="single" w:sz="12" w:space="0" w:color="000000"/>
              <w:left w:val="single" w:sz="4" w:space="0" w:color="000000"/>
              <w:bottom w:val="single" w:sz="4" w:space="0" w:color="000000"/>
              <w:right w:val="single" w:sz="12" w:space="0" w:color="000000"/>
            </w:tcBorders>
            <w:shd w:val="clear" w:color="auto" w:fill="FFFFFF"/>
            <w:vAlign w:val="center"/>
          </w:tcPr>
          <w:p w:rsidR="00457252" w:rsidRDefault="00457252"/>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12"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457252" w:rsidTr="00F76B18">
        <w:trPr>
          <w:cantSplit/>
          <w:tblHeader/>
        </w:trPr>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80210</w:t>
            </w:r>
          </w:p>
        </w:tc>
        <w:tc>
          <w:tcPr>
            <w:tcW w:w="3544"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Míra úspěšnosti projektových žádostí</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73,000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78,000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73</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84</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1,08</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r w:rsidR="00457252" w:rsidTr="00F76B18">
        <w:tc>
          <w:tcPr>
            <w:tcW w:w="63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82510</w:t>
            </w:r>
          </w:p>
        </w:tc>
        <w:tc>
          <w:tcPr>
            <w:tcW w:w="3544"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Míra stabilizace zaměstnanců implementační struktury</w:t>
            </w:r>
          </w:p>
        </w:tc>
        <w:tc>
          <w:tcPr>
            <w:tcW w:w="423"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ESF</w:t>
            </w:r>
          </w:p>
        </w:tc>
        <w:tc>
          <w:tcPr>
            <w:tcW w:w="842"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číslo</w:t>
            </w:r>
          </w:p>
        </w:tc>
        <w:tc>
          <w:tcPr>
            <w:tcW w:w="709"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46,000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54,17</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tabs>
                <w:tab w:val="left" w:pos="828"/>
              </w:tabs>
              <w:ind w:left="57" w:right="57"/>
              <w:jc w:val="right"/>
              <w:rPr>
                <w:rFonts w:ascii="Arial" w:eastAsia="Arial" w:hAnsi="Arial" w:cs="Arial"/>
                <w:color w:val="000000"/>
                <w:sz w:val="14"/>
              </w:rPr>
            </w:pPr>
          </w:p>
        </w:tc>
        <w:tc>
          <w:tcPr>
            <w:tcW w:w="709" w:type="dxa"/>
            <w:vMerge w:val="restart"/>
            <w:tcBorders>
              <w:top w:val="single" w:sz="12" w:space="0" w:color="000000"/>
              <w:left w:val="single" w:sz="4" w:space="0" w:color="000000"/>
              <w:right w:val="single" w:sz="12" w:space="0" w:color="000000"/>
            </w:tcBorders>
            <w:shd w:val="clear" w:color="auto" w:fill="E7E6E6"/>
          </w:tcPr>
          <w:p w:rsidR="00457252" w:rsidRDefault="00457252">
            <w:pPr>
              <w:ind w:left="57" w:right="57"/>
              <w:jc w:val="both"/>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vMerge/>
            <w:tcBorders>
              <w:top w:val="single" w:sz="12" w:space="0" w:color="000000"/>
              <w:left w:val="single" w:sz="4" w:space="0" w:color="000000"/>
              <w:right w:val="single" w:sz="12" w:space="0" w:color="000000"/>
            </w:tcBorders>
            <w:shd w:val="clear" w:color="auto" w:fill="E7E6E6"/>
          </w:tcPr>
          <w:p w:rsidR="00457252" w:rsidRDefault="00457252"/>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55,000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9C073F">
            <w:pPr>
              <w:tabs>
                <w:tab w:val="left" w:pos="828"/>
              </w:tabs>
              <w:ind w:left="57" w:right="57"/>
              <w:jc w:val="right"/>
              <w:rPr>
                <w:rFonts w:ascii="Arial" w:eastAsia="Arial" w:hAnsi="Arial" w:cs="Arial"/>
                <w:color w:val="000000"/>
                <w:sz w:val="14"/>
              </w:rPr>
            </w:pPr>
            <w:r>
              <w:rPr>
                <w:rFonts w:ascii="Arial" w:eastAsia="Arial" w:hAnsi="Arial" w:cs="Arial"/>
                <w:color w:val="000000"/>
                <w:sz w:val="14"/>
              </w:rPr>
              <w:t>46</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033BD">
            <w:pPr>
              <w:tabs>
                <w:tab w:val="left" w:pos="828"/>
              </w:tabs>
              <w:ind w:left="57" w:right="57"/>
              <w:jc w:val="right"/>
              <w:rPr>
                <w:rFonts w:ascii="Arial" w:eastAsia="Arial" w:hAnsi="Arial" w:cs="Arial"/>
                <w:color w:val="000000"/>
                <w:sz w:val="14"/>
              </w:rPr>
            </w:pPr>
            <w:r>
              <w:rPr>
                <w:rFonts w:ascii="Arial" w:eastAsia="Arial" w:hAnsi="Arial" w:cs="Arial"/>
                <w:color w:val="000000"/>
                <w:sz w:val="14"/>
              </w:rPr>
              <w:t>100,17</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left w:val="single" w:sz="4" w:space="0" w:color="000000"/>
              <w:bottom w:val="single" w:sz="4" w:space="0" w:color="000000"/>
              <w:right w:val="single" w:sz="12" w:space="0" w:color="000000"/>
            </w:tcBorders>
            <w:shd w:val="clear" w:color="auto" w:fill="E7E6E6"/>
          </w:tcPr>
          <w:p w:rsidR="00457252" w:rsidRDefault="006033BD">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1,82</w:t>
            </w: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12"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457252" w:rsidTr="00F76B18">
        <w:tc>
          <w:tcPr>
            <w:tcW w:w="63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354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423"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42"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pPr>
              <w:keepLines/>
              <w:tabs>
                <w:tab w:val="left" w:pos="828"/>
              </w:tabs>
              <w:ind w:left="57" w:right="57"/>
              <w:jc w:val="right"/>
              <w:rPr>
                <w:rFonts w:ascii="Arial" w:eastAsia="Arial" w:hAnsi="Arial" w:cs="Arial"/>
                <w:color w:val="000000"/>
                <w:sz w:val="14"/>
              </w:rPr>
            </w:pPr>
          </w:p>
        </w:tc>
      </w:tr>
    </w:tbl>
    <w:p w:rsidR="00457252" w:rsidRPr="002474E9" w:rsidRDefault="00697A5C">
      <w:pPr>
        <w:tabs>
          <w:tab w:val="left" w:pos="1675"/>
        </w:tabs>
        <w:ind w:left="115" w:right="529"/>
        <w:rPr>
          <w:rFonts w:ascii="Arial" w:eastAsia="Arial" w:hAnsi="Arial" w:cs="Arial"/>
          <w:i/>
          <w:iCs/>
          <w:color w:val="000000"/>
          <w:sz w:val="18"/>
        </w:rPr>
      </w:pPr>
      <w:r w:rsidRPr="002474E9">
        <w:rPr>
          <w:rFonts w:ascii="Arial" w:eastAsia="Arial" w:hAnsi="Arial" w:cs="Arial"/>
          <w:i/>
          <w:iCs/>
          <w:color w:val="000000"/>
          <w:sz w:val="18"/>
        </w:rPr>
        <w:t>Povinné jsou roční i kumulované údaje. Pokud nelze roční hodnotu poskytnout (např. kvůli skutečnosti, že jsou uvedeny procentní podíly a jmenovatel by byl nulový), není roční hodnota použitelná. Kumulativní hodnoty ukazatelů v absolutních hodnotách a procentech v poměru k referenčním ukazatelům výstupů se počítají automaticky.</w:t>
      </w:r>
    </w:p>
    <w:p w:rsidR="00457252" w:rsidRDefault="00457252">
      <w:pPr>
        <w:spacing w:line="312" w:lineRule="auto"/>
        <w:ind w:left="115" w:right="670"/>
        <w:rPr>
          <w:rFonts w:ascii="Arial" w:eastAsia="Arial" w:hAnsi="Arial" w:cs="Arial"/>
          <w:color w:val="000000"/>
          <w:sz w:val="16"/>
        </w:rPr>
      </w:pPr>
    </w:p>
    <w:p w:rsidR="00457252" w:rsidRDefault="00697A5C">
      <w:r>
        <w:br w:type="page"/>
      </w:r>
    </w:p>
    <w:p w:rsidR="00457252" w:rsidRDefault="00697A5C">
      <w:pPr>
        <w:spacing w:line="312" w:lineRule="auto"/>
        <w:ind w:left="115" w:right="670"/>
        <w:rPr>
          <w:rFonts w:ascii="Arial" w:eastAsia="Arial" w:hAnsi="Arial" w:cs="Arial"/>
          <w:b/>
          <w:bCs/>
          <w:i/>
          <w:iCs/>
          <w:color w:val="000000"/>
          <w:sz w:val="16"/>
        </w:rPr>
      </w:pPr>
      <w:r>
        <w:rPr>
          <w:rFonts w:ascii="Arial" w:eastAsia="Arial" w:hAnsi="Arial" w:cs="Arial"/>
          <w:b/>
          <w:bCs/>
          <w:i/>
          <w:iCs/>
          <w:color w:val="000000"/>
          <w:sz w:val="20"/>
        </w:rPr>
        <w:lastRenderedPageBreak/>
        <w:t>Tabulka 3A: Společné indikátory výstupů a indikátory výstupů specifické pro jednotlivé programy pro EFRR a Fond soudržnosti (podle prioritních os, investičních priorit, v rozdělení podle kategorií regionů pro EFRR; to platí rovněž pro prioritní osy „technická pomoc“)</w:t>
      </w:r>
      <w:r>
        <w:rPr>
          <w:rFonts w:ascii="Arial" w:eastAsia="Arial" w:hAnsi="Arial" w:cs="Arial"/>
          <w:b/>
          <w:bCs/>
          <w:i/>
          <w:iCs/>
          <w:color w:val="000000"/>
          <w:sz w:val="13"/>
          <w:vertAlign w:val="superscript"/>
        </w:rPr>
        <w:t xml:space="preserve"> </w:t>
      </w:r>
      <w:r>
        <w:rPr>
          <w:rFonts w:ascii="Arial" w:eastAsia="Arial" w:hAnsi="Arial" w:cs="Arial"/>
          <w:b/>
          <w:bCs/>
          <w:i/>
          <w:iCs/>
          <w:color w:val="000000"/>
          <w:sz w:val="16"/>
        </w:rPr>
        <w:t>(7)</w:t>
      </w:r>
    </w:p>
    <w:p w:rsidR="00457252" w:rsidRDefault="00697A5C" w:rsidP="002474E9">
      <w:pPr>
        <w:keepNext/>
        <w:spacing w:before="240"/>
        <w:ind w:left="115" w:right="525"/>
        <w:jc w:val="both"/>
        <w:rPr>
          <w:rFonts w:ascii="Arial" w:eastAsia="Arial" w:hAnsi="Arial" w:cs="Arial"/>
          <w:color w:val="000000"/>
          <w:sz w:val="20"/>
        </w:rPr>
      </w:pPr>
      <w:r>
        <w:rPr>
          <w:rFonts w:ascii="Arial" w:eastAsia="Arial" w:hAnsi="Arial" w:cs="Arial"/>
          <w:color w:val="000000"/>
          <w:sz w:val="20"/>
        </w:rPr>
        <w:t>Investiční priorita: 07.1.02 Podpora podnikových investic do výzkumu a inovací a vytváření vazeb a součinnosti mezi podniky, středisky výzkumu a vývoje a odvětvím vysokoškolského vzdělávání, zejména podporou investic v oblasti vývoje produktů a služeb, přenosu technologií, sociálních inovací, ekologických inovací, aplikací veřejných služeb, stimulace poptávky, vytváření sítí, klastrů a otevřených inovací prostřednictvím inteligentní specializace a podporou technického a aplikovaného výzkumu, pilotních linek, opatření k včasnému ověřování produktů, schopností vyspělé výroby a prvovýroby, zejména v oblasti klíčových technologií a šíření technologií pro všeobecné použití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148"/>
        <w:gridCol w:w="992"/>
        <w:gridCol w:w="567"/>
        <w:gridCol w:w="850"/>
        <w:gridCol w:w="710"/>
        <w:gridCol w:w="567"/>
        <w:gridCol w:w="567"/>
        <w:gridCol w:w="567"/>
        <w:gridCol w:w="708"/>
        <w:gridCol w:w="567"/>
        <w:gridCol w:w="567"/>
        <w:gridCol w:w="567"/>
        <w:gridCol w:w="567"/>
        <w:gridCol w:w="567"/>
        <w:gridCol w:w="567"/>
        <w:gridCol w:w="2693"/>
      </w:tblGrid>
      <w:tr w:rsidR="00457252" w:rsidTr="002474E9">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1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dle nastavení v programovém dokumentu bude plněn primárně za pomocí voucherové podpory. Dva projekty podporující inovační spolupráci výzkumné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aplikační sféry a podporující poskytování služeb začínajícím podniků zahájili realizaci v říjnu 2017, první podpora podnikům a tedy první naplňování indikátorů bude v roce 2018.</w:t>
            </w: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20000/CO26</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spolupracujících s výzkumnými institucemi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252,000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20000/CO26</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spolupracujících s výzkumnými institucemi</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dle nastavení v programovém dokumentu bude plněn primárně za pomocí voucherové podpory. Dva projekty podporující inovační spolupráci výzkumné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aplikační sféry a podporující poskytování služeb začínajícím podniků zahájili realizaci v říjnu 2017, první podpora podnikům a tedy první naplňování indikátorů bude v roce 2018.</w:t>
            </w: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21200/CO28</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které dostávají podporu pro účely uvádění nových výrobků na trh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21200/CO28</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které dostávají podporu pro účely uvádění nových výrobků na trh</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dle nastavení v programovém dokumentu bude plněn primárně za pomocí voucherové podpory. Dva projekty podporující inovační spolupráci výzkumné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aplikační sféry a podporující poskytování služeb začínajícím podniků zahájili realizaci v říjnu 2017, první podpora podnikům a tedy první naplňování indikátorů bude v roce 2018.</w:t>
            </w: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21301/CO29</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které dostávají podporu pro účely zavádění výrobků nových pro podnik</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21301/CO29</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podniků, které dostávají podporu pro účely zavádění výrobků nových pro podnik</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Podniky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dle nastavení v programovém dokumentu bude plněn primárně za pomocí voucherové podpory. Dva projekty podporující inovační spolupráci výzkumné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aplikační sféry a podporující poskytování služeb začínajícím podniků zahájili realizaci v říjnu 2017, první podpora podnikům a tedy první naplňování indikátorů bude v roce 2018.</w:t>
            </w: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22201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Počet ověřených aktivit/konceptů Proof of concept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Aktivity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119,000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22201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Počet ověřených aktivit/konceptů Proof of concept</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Aktivity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22302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Počet řešení vzniklých v rámci inovační poptávky veřejného sektoru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Řešení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22302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Počet řešení vzniklých v rámci inovační poptávky veřejného sektoru</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Řešení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23000/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Počet nově vzniklých </w:t>
            </w:r>
            <w:r>
              <w:rPr>
                <w:rFonts w:ascii="Arial" w:eastAsia="Arial" w:hAnsi="Arial" w:cs="Arial"/>
                <w:color w:val="000000"/>
                <w:sz w:val="14"/>
              </w:rPr>
              <w:br/>
              <w:t>a modernizovaných inovačních infrastruktur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Infrastruktury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p>
        </w:tc>
      </w:tr>
      <w:tr w:rsidR="001C658B"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23000/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Počet nově vzniklých </w:t>
            </w:r>
            <w:r>
              <w:rPr>
                <w:rFonts w:ascii="Arial" w:eastAsia="Arial" w:hAnsi="Arial" w:cs="Arial"/>
                <w:color w:val="000000"/>
                <w:sz w:val="14"/>
              </w:rPr>
              <w:br/>
              <w:t>a modernizovaných inovačních infrastruktur</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Infrastruktury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1C658B">
            <w:pPr>
              <w:ind w:left="57" w:right="57"/>
              <w:rPr>
                <w:rFonts w:ascii="Arial" w:eastAsia="Arial" w:hAnsi="Arial" w:cs="Arial"/>
                <w:color w:val="000000"/>
                <w:sz w:val="14"/>
              </w:rPr>
            </w:pPr>
            <w:r>
              <w:rPr>
                <w:rFonts w:ascii="Arial" w:eastAsia="Arial" w:hAnsi="Arial" w:cs="Arial"/>
                <w:color w:val="000000"/>
                <w:sz w:val="14"/>
              </w:rPr>
              <w:t>První projekt v realizaci, další se zasmluvňují.</w:t>
            </w:r>
          </w:p>
        </w:tc>
      </w:tr>
    </w:tbl>
    <w:p w:rsidR="00457252" w:rsidRDefault="00697A5C" w:rsidP="002474E9">
      <w:pPr>
        <w:keepNext/>
        <w:spacing w:before="240"/>
        <w:ind w:left="115" w:right="667"/>
        <w:jc w:val="both"/>
        <w:rPr>
          <w:rFonts w:ascii="Arial" w:eastAsia="Arial" w:hAnsi="Arial" w:cs="Arial"/>
          <w:color w:val="000000"/>
          <w:sz w:val="20"/>
        </w:rPr>
      </w:pPr>
      <w:r>
        <w:rPr>
          <w:rFonts w:ascii="Arial" w:eastAsia="Arial" w:hAnsi="Arial" w:cs="Arial"/>
          <w:color w:val="000000"/>
          <w:sz w:val="20"/>
        </w:rPr>
        <w:t>Investiční priorita: 07.2.11 Podpora energetické účinnosti, inteligentních systémů hospodaření s energií a využívání energie z obnovitelných zdrojů ve veřejných infrastrukturách, mimo jiné ve veřejných budovách a v oblasti bydlení</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148"/>
        <w:gridCol w:w="851"/>
        <w:gridCol w:w="567"/>
        <w:gridCol w:w="850"/>
        <w:gridCol w:w="1134"/>
        <w:gridCol w:w="567"/>
        <w:gridCol w:w="567"/>
        <w:gridCol w:w="567"/>
        <w:gridCol w:w="850"/>
        <w:gridCol w:w="567"/>
        <w:gridCol w:w="567"/>
        <w:gridCol w:w="567"/>
        <w:gridCol w:w="567"/>
        <w:gridCol w:w="567"/>
        <w:gridCol w:w="567"/>
        <w:gridCol w:w="2269"/>
      </w:tblGrid>
      <w:tr w:rsidR="00457252" w:rsidTr="009C073F">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1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2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32500/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Energeticky vztažná plocha zrenovovaných budov</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m2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49 800,000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 xml:space="preserve">Kumulativní hodnota – výstupy dosažené </w:t>
            </w:r>
            <w:r>
              <w:rPr>
                <w:rFonts w:ascii="Arial" w:eastAsia="Arial" w:hAnsi="Arial" w:cs="Arial"/>
                <w:color w:val="000000"/>
                <w:sz w:val="14"/>
              </w:rPr>
              <w:lastRenderedPageBreak/>
              <w:t>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32500/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Energeticky vztažná plocha zrenovovaných budov</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m2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49 800,000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Vzhledem k vysokým požadavkům na dosažení požadovaného standardu </w:t>
            </w:r>
            <w:r w:rsidR="009C073F">
              <w:rPr>
                <w:rFonts w:ascii="Arial" w:eastAsia="Arial" w:hAnsi="Arial" w:cs="Arial"/>
                <w:color w:val="000000"/>
                <w:sz w:val="14"/>
              </w:rPr>
              <w:br/>
            </w:r>
            <w:r>
              <w:rPr>
                <w:rFonts w:ascii="Arial" w:eastAsia="Arial" w:hAnsi="Arial" w:cs="Arial"/>
                <w:color w:val="000000"/>
                <w:sz w:val="14"/>
              </w:rPr>
              <w:t xml:space="preserve">u přeměny budov na budovy </w:t>
            </w:r>
            <w:r w:rsidR="009C073F">
              <w:rPr>
                <w:rFonts w:ascii="Arial" w:eastAsia="Arial" w:hAnsi="Arial" w:cs="Arial"/>
                <w:color w:val="000000"/>
                <w:sz w:val="14"/>
              </w:rPr>
              <w:br/>
            </w:r>
            <w:r>
              <w:rPr>
                <w:rFonts w:ascii="Arial" w:eastAsia="Arial" w:hAnsi="Arial" w:cs="Arial"/>
                <w:color w:val="000000"/>
                <w:sz w:val="14"/>
              </w:rPr>
              <w:lastRenderedPageBreak/>
              <w:t xml:space="preserve">s téměř nulovou spotřebou energie dochází ke zpoždění </w:t>
            </w:r>
            <w:r>
              <w:rPr>
                <w:rFonts w:ascii="Arial" w:eastAsia="Arial" w:hAnsi="Arial" w:cs="Arial"/>
                <w:color w:val="000000"/>
                <w:sz w:val="14"/>
              </w:rPr>
              <w:br/>
              <w:t xml:space="preserve">s přípravou projektů (projektům vzhledem k náročnosti investic často nevychází kladně ekonomická analýza v modulu CBA), dale vzhledem </w:t>
            </w:r>
            <w:r w:rsidR="009C073F">
              <w:rPr>
                <w:rFonts w:ascii="Arial" w:eastAsia="Arial" w:hAnsi="Arial" w:cs="Arial"/>
                <w:color w:val="000000"/>
                <w:sz w:val="14"/>
              </w:rPr>
              <w:br/>
            </w:r>
            <w:r>
              <w:rPr>
                <w:rFonts w:ascii="Arial" w:eastAsia="Arial" w:hAnsi="Arial" w:cs="Arial"/>
                <w:color w:val="000000"/>
                <w:sz w:val="14"/>
              </w:rPr>
              <w:t>k připravovaným projektům školských budov je třeba hledat pro žáky náhradní prostory.</w:t>
            </w: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32700/CO32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Snížení roční spotřeby primární energie ve veřejných budovách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kWh/rok</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6 489 323,000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32700/CO32</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Snížení roční spotřeby primární energie ve veřejných budovách</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kWh/rok</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6 489 323,000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Vzhledem k vysokým požadavkům na dosažení požadovaného standardu </w:t>
            </w:r>
            <w:r w:rsidR="009C073F">
              <w:rPr>
                <w:rFonts w:ascii="Arial" w:eastAsia="Arial" w:hAnsi="Arial" w:cs="Arial"/>
                <w:color w:val="000000"/>
                <w:sz w:val="14"/>
              </w:rPr>
              <w:br/>
            </w:r>
            <w:r>
              <w:rPr>
                <w:rFonts w:ascii="Arial" w:eastAsia="Arial" w:hAnsi="Arial" w:cs="Arial"/>
                <w:color w:val="000000"/>
                <w:sz w:val="14"/>
              </w:rPr>
              <w:t xml:space="preserve">u přeměny budov na budovy </w:t>
            </w:r>
            <w:r w:rsidR="009C073F">
              <w:rPr>
                <w:rFonts w:ascii="Arial" w:eastAsia="Arial" w:hAnsi="Arial" w:cs="Arial"/>
                <w:color w:val="000000"/>
                <w:sz w:val="14"/>
              </w:rPr>
              <w:br/>
            </w:r>
            <w:r>
              <w:rPr>
                <w:rFonts w:ascii="Arial" w:eastAsia="Arial" w:hAnsi="Arial" w:cs="Arial"/>
                <w:color w:val="000000"/>
                <w:sz w:val="14"/>
              </w:rPr>
              <w:t xml:space="preserve">s téměř nulovou spotřebou energie dochází ke zpoždění </w:t>
            </w:r>
            <w:r>
              <w:rPr>
                <w:rFonts w:ascii="Arial" w:eastAsia="Arial" w:hAnsi="Arial" w:cs="Arial"/>
                <w:color w:val="000000"/>
                <w:sz w:val="14"/>
              </w:rPr>
              <w:br/>
              <w:t xml:space="preserve">s přípravou projektů (projektům vzhledem k náročnosti investic často nevychází kladně ekonomická analýza v modulu CBA), dale vzhledem </w:t>
            </w:r>
            <w:r w:rsidR="009C073F">
              <w:rPr>
                <w:rFonts w:ascii="Arial" w:eastAsia="Arial" w:hAnsi="Arial" w:cs="Arial"/>
                <w:color w:val="000000"/>
                <w:sz w:val="14"/>
              </w:rPr>
              <w:br/>
            </w:r>
            <w:r>
              <w:rPr>
                <w:rFonts w:ascii="Arial" w:eastAsia="Arial" w:hAnsi="Arial" w:cs="Arial"/>
                <w:color w:val="000000"/>
                <w:sz w:val="14"/>
              </w:rPr>
              <w:t>k připravovaným projektům školských budov je třeba hledat pro žáky náhradní prostory.</w:t>
            </w: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34900/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objektů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Objekty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61,000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34900/</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objektů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Objekty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je vykazován k datu ukončení realizace projektů. Dosud nebyl žádný projekt ukončen, ukončení prvních projektů ze 13.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je plánováno na první pololetí roku 2018.</w:t>
            </w: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34901/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objektů nově využívající OZE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Objekty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34901/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Počet objektů nově využívající OZE</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Objekty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9C073F"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CD7CBD"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Tento indikátor má být naplněn zejména skrze aktivitu 2.1.3 (přeměna budov na budovy s téměř nulovou spotřebou energie) čili platí obdobné výsvětlení jako </w:t>
            </w:r>
            <w:r w:rsidR="007121CC">
              <w:rPr>
                <w:rFonts w:ascii="Arial" w:eastAsia="Arial" w:hAnsi="Arial" w:cs="Arial"/>
                <w:color w:val="000000"/>
                <w:sz w:val="14"/>
              </w:rPr>
              <w:br/>
            </w:r>
            <w:r>
              <w:rPr>
                <w:rFonts w:ascii="Arial" w:eastAsia="Arial" w:hAnsi="Arial" w:cs="Arial"/>
                <w:color w:val="000000"/>
                <w:sz w:val="14"/>
              </w:rPr>
              <w:t xml:space="preserve">u indikátoru 32500. Jediný zasmluvněný projekt, který byl dosud schválen a vykazuje OZE, je Vytápění a vzduchotechnika ve stanici metra Háje (dokončení je plánováno dle smlouvy na </w:t>
            </w:r>
            <w:r>
              <w:rPr>
                <w:rFonts w:ascii="Arial" w:eastAsia="Arial" w:hAnsi="Arial" w:cs="Arial"/>
                <w:color w:val="000000"/>
                <w:sz w:val="14"/>
              </w:rPr>
              <w:br/>
              <w:t>31. 5. 2018).</w:t>
            </w: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2 613,576</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p>
        </w:tc>
      </w:tr>
      <w:tr w:rsidR="002474E9" w:rsidTr="009C073F">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4 500,000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7121CC"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7121CC"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7121CC"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2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474E9" w:rsidRDefault="002474E9" w:rsidP="002474E9">
            <w:pPr>
              <w:ind w:left="57" w:right="57"/>
              <w:rPr>
                <w:rFonts w:ascii="Arial" w:eastAsia="Arial" w:hAnsi="Arial" w:cs="Arial"/>
                <w:color w:val="000000"/>
                <w:sz w:val="14"/>
              </w:rPr>
            </w:pPr>
            <w:r>
              <w:rPr>
                <w:rFonts w:ascii="Arial" w:eastAsia="Arial" w:hAnsi="Arial" w:cs="Arial"/>
                <w:color w:val="000000"/>
                <w:sz w:val="14"/>
              </w:rPr>
              <w:t xml:space="preserve">Indikátor je vykazován v období udržitelnosti, tj. První údaje budou </w:t>
            </w:r>
            <w:r>
              <w:rPr>
                <w:rFonts w:ascii="Arial" w:eastAsia="Arial" w:hAnsi="Arial" w:cs="Arial"/>
                <w:color w:val="000000"/>
                <w:sz w:val="14"/>
              </w:rPr>
              <w:br/>
              <w:t xml:space="preserve">k dispozici až první rok po ukončení reliazace. Dosud nebyl žádný projekt ukončen, ukončení prvních projektů ze 13. </w:t>
            </w:r>
            <w:proofErr w:type="gramStart"/>
            <w:r>
              <w:rPr>
                <w:rFonts w:ascii="Arial" w:eastAsia="Arial" w:hAnsi="Arial" w:cs="Arial"/>
                <w:color w:val="000000"/>
                <w:sz w:val="14"/>
              </w:rPr>
              <w:t>výzvy</w:t>
            </w:r>
            <w:proofErr w:type="gramEnd"/>
            <w:r>
              <w:rPr>
                <w:rFonts w:ascii="Arial" w:eastAsia="Arial" w:hAnsi="Arial" w:cs="Arial"/>
                <w:color w:val="000000"/>
                <w:sz w:val="14"/>
              </w:rPr>
              <w:t xml:space="preserve"> je plánováno na první pololetí roku 2018.</w:t>
            </w:r>
          </w:p>
        </w:tc>
      </w:tr>
    </w:tbl>
    <w:p w:rsidR="00457252" w:rsidRDefault="00697A5C" w:rsidP="006B44C2">
      <w:pPr>
        <w:keepNext/>
        <w:spacing w:before="240"/>
        <w:ind w:left="115" w:right="667"/>
        <w:jc w:val="both"/>
        <w:rPr>
          <w:rFonts w:ascii="Arial" w:eastAsia="Arial" w:hAnsi="Arial" w:cs="Arial"/>
          <w:color w:val="000000"/>
          <w:sz w:val="20"/>
        </w:rPr>
      </w:pPr>
      <w:r>
        <w:rPr>
          <w:rFonts w:ascii="Arial" w:eastAsia="Arial" w:hAnsi="Arial" w:cs="Arial"/>
          <w:color w:val="000000"/>
          <w:sz w:val="20"/>
        </w:rPr>
        <w:lastRenderedPageBreak/>
        <w:t xml:space="preserve">Investiční priorita: 07.2.13 Podpora nízkouhlíkových strategií pro všechny typy oblastí, zejména městské oblasti, včetně podpory udržitelné městské multimodální mobility </w:t>
      </w:r>
      <w:r w:rsidR="006B44C2">
        <w:rPr>
          <w:rFonts w:ascii="Arial" w:eastAsia="Arial" w:hAnsi="Arial" w:cs="Arial"/>
          <w:color w:val="000000"/>
          <w:sz w:val="20"/>
        </w:rPr>
        <w:br/>
      </w:r>
      <w:r>
        <w:rPr>
          <w:rFonts w:ascii="Arial" w:eastAsia="Arial" w:hAnsi="Arial" w:cs="Arial"/>
          <w:color w:val="000000"/>
          <w:sz w:val="20"/>
        </w:rPr>
        <w:t>a příslušných adaptačních opatření pro zmírnění změny klimatu</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148"/>
        <w:gridCol w:w="851"/>
        <w:gridCol w:w="589"/>
        <w:gridCol w:w="850"/>
        <w:gridCol w:w="851"/>
        <w:gridCol w:w="567"/>
        <w:gridCol w:w="567"/>
        <w:gridCol w:w="567"/>
        <w:gridCol w:w="567"/>
        <w:gridCol w:w="567"/>
        <w:gridCol w:w="567"/>
        <w:gridCol w:w="567"/>
        <w:gridCol w:w="567"/>
        <w:gridCol w:w="567"/>
        <w:gridCol w:w="567"/>
        <w:gridCol w:w="2693"/>
      </w:tblGrid>
      <w:tr w:rsidR="00457252" w:rsidTr="002474E9">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1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36010/CO34</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Odhadované roční snížení emisí skleníkových plynů</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Tuny ekvivalentu CO2/rok</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Dosud nebyl schválen žádný projekt.Zasmluvnění P+R Radotín závisí na získání stavebního povolení. P+R Černý Most bude dle předpokladů dokončen v roce 2020. První dosažené hodnoty lze sledovat až první rok po ukončení realizace, tedy v roce 2020 v případě P+R Radotín a 2021 v případě P+R Černý Most. Další aktivita v rámci SC 2.2 - preference - dosud nebyl předložen žádný projekt. Plánuje se vyhlášení výzvy č. 44 na tuto aktivitu.</w:t>
            </w: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ks</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70401/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a služeb pro řízení dopravy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ks</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Dosud nebyl schválen žádný projekt.Zasmluvnění P+R Radotín závisí na získání stavebního povolení. P+R Černý Most bude dle předpokladů dokončen v roce 2020. První dosažené hodnoty lze sledovat až 2019 v případě P+R Radotín a 2020 v případě P+R Černý Most. Další aktivita v rámci SC 2.2 - preference - dosud nebyl předložen žádný projekt. Plánuje se vyhlášení výzvy č. 44 na tuto aktivitu.</w:t>
            </w:r>
          </w:p>
        </w:tc>
      </w:tr>
    </w:tbl>
    <w:p w:rsidR="00561741" w:rsidRDefault="00561741"/>
    <w:p w:rsidR="00561741" w:rsidRDefault="00561741"/>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148"/>
        <w:gridCol w:w="851"/>
        <w:gridCol w:w="589"/>
        <w:gridCol w:w="850"/>
        <w:gridCol w:w="851"/>
        <w:gridCol w:w="567"/>
        <w:gridCol w:w="567"/>
        <w:gridCol w:w="567"/>
        <w:gridCol w:w="567"/>
        <w:gridCol w:w="567"/>
        <w:gridCol w:w="567"/>
        <w:gridCol w:w="567"/>
        <w:gridCol w:w="567"/>
        <w:gridCol w:w="567"/>
        <w:gridCol w:w="567"/>
        <w:gridCol w:w="2693"/>
      </w:tblGrid>
      <w:tr w:rsidR="00561741" w:rsidRPr="00561741" w:rsidTr="00561741">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rPr>
                <w:rFonts w:ascii="Arial" w:eastAsia="Arial" w:hAnsi="Arial" w:cs="Arial"/>
                <w:b/>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rPr>
                <w:rFonts w:ascii="Arial" w:eastAsia="Arial" w:hAnsi="Arial" w:cs="Arial"/>
                <w:b/>
                <w:color w:val="000000"/>
                <w:sz w:val="14"/>
              </w:rPr>
            </w:pPr>
            <w:r w:rsidRPr="00561741">
              <w:rPr>
                <w:rFonts w:ascii="Arial" w:eastAsia="Arial" w:hAnsi="Arial" w:cs="Arial"/>
                <w:b/>
                <w:color w:val="000000"/>
                <w:sz w:val="14"/>
              </w:rPr>
              <w:t>ID</w:t>
            </w:r>
          </w:p>
        </w:tc>
        <w:tc>
          <w:tcPr>
            <w:tcW w:w="214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rPr>
                <w:rFonts w:ascii="Arial" w:eastAsia="Arial" w:hAnsi="Arial" w:cs="Arial"/>
                <w:b/>
                <w:color w:val="000000"/>
                <w:sz w:val="14"/>
              </w:rPr>
            </w:pPr>
            <w:r w:rsidRPr="00561741">
              <w:rPr>
                <w:rFonts w:ascii="Arial" w:eastAsia="Arial" w:hAnsi="Arial" w:cs="Arial"/>
                <w:b/>
                <w:color w:val="000000"/>
                <w:sz w:val="14"/>
              </w:rPr>
              <w:t>Indikátor</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ind w:left="57" w:right="57"/>
              <w:rPr>
                <w:rFonts w:ascii="Arial" w:eastAsia="Arial" w:hAnsi="Arial" w:cs="Arial"/>
                <w:b/>
                <w:color w:val="000000"/>
                <w:sz w:val="14"/>
              </w:rPr>
            </w:pPr>
            <w:r w:rsidRPr="00561741">
              <w:rPr>
                <w:rFonts w:ascii="Arial" w:eastAsia="Arial" w:hAnsi="Arial" w:cs="Arial"/>
                <w:b/>
                <w:color w:val="000000"/>
                <w:sz w:val="14"/>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ind w:left="57" w:right="57"/>
              <w:rPr>
                <w:rFonts w:ascii="Arial" w:eastAsia="Arial" w:hAnsi="Arial" w:cs="Arial"/>
                <w:b/>
                <w:color w:val="000000"/>
                <w:sz w:val="14"/>
              </w:rPr>
            </w:pPr>
            <w:r w:rsidRPr="00561741">
              <w:rPr>
                <w:rFonts w:ascii="Arial" w:eastAsia="Arial" w:hAnsi="Arial" w:cs="Arial"/>
                <w:b/>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rPr>
                <w:rFonts w:ascii="Arial" w:eastAsia="Arial" w:hAnsi="Arial" w:cs="Arial"/>
                <w:b/>
                <w:color w:val="000000"/>
                <w:sz w:val="14"/>
              </w:rPr>
            </w:pPr>
            <w:r w:rsidRPr="00561741">
              <w:rPr>
                <w:rFonts w:ascii="Arial" w:eastAsia="Arial" w:hAnsi="Arial" w:cs="Arial"/>
                <w:b/>
                <w:color w:val="000000"/>
                <w:sz w:val="14"/>
              </w:rPr>
              <w:t>Kategorie regionu</w:t>
            </w:r>
          </w:p>
          <w:p w:rsidR="00561741" w:rsidRPr="00561741" w:rsidRDefault="00561741" w:rsidP="00561741">
            <w:pPr>
              <w:tabs>
                <w:tab w:val="left" w:pos="828"/>
              </w:tabs>
              <w:ind w:left="57" w:right="57"/>
              <w:rPr>
                <w:rFonts w:ascii="Arial" w:eastAsia="Arial" w:hAnsi="Arial" w:cs="Arial"/>
                <w:b/>
                <w:color w:val="000000"/>
                <w:sz w:val="14"/>
              </w:rPr>
            </w:pPr>
            <w:r w:rsidRPr="00561741">
              <w:rPr>
                <w:rFonts w:ascii="Arial" w:eastAsia="Arial" w:hAnsi="Arial" w:cs="Arial"/>
                <w:b/>
                <w:color w:val="000000"/>
                <w:sz w:val="14"/>
              </w:rPr>
              <w:t>(je-li relevantní)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tabs>
                <w:tab w:val="left" w:pos="828"/>
              </w:tabs>
              <w:ind w:left="57" w:right="57"/>
              <w:jc w:val="right"/>
              <w:rPr>
                <w:rFonts w:ascii="Arial" w:eastAsia="Arial" w:hAnsi="Arial" w:cs="Arial"/>
                <w:b/>
                <w:color w:val="000000"/>
                <w:sz w:val="14"/>
              </w:rPr>
            </w:pPr>
            <w:r w:rsidRPr="00561741">
              <w:rPr>
                <w:rFonts w:ascii="Arial" w:eastAsia="Arial" w:hAnsi="Arial" w:cs="Arial"/>
                <w:b/>
                <w:color w:val="000000"/>
                <w:sz w:val="14"/>
              </w:rPr>
              <w:t>2023</w:t>
            </w:r>
          </w:p>
        </w:tc>
        <w:tc>
          <w:tcPr>
            <w:tcW w:w="26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61741" w:rsidRPr="00561741" w:rsidRDefault="00561741" w:rsidP="00561741">
            <w:pPr>
              <w:ind w:left="57" w:right="57"/>
              <w:rPr>
                <w:rFonts w:ascii="Arial" w:eastAsia="Arial" w:hAnsi="Arial" w:cs="Arial"/>
                <w:b/>
                <w:color w:val="000000"/>
                <w:sz w:val="14"/>
              </w:rPr>
            </w:pPr>
            <w:r w:rsidRPr="00561741">
              <w:rPr>
                <w:rFonts w:ascii="Arial" w:eastAsia="Arial" w:hAnsi="Arial" w:cs="Arial"/>
                <w:b/>
                <w:color w:val="000000"/>
                <w:sz w:val="14"/>
              </w:rPr>
              <w:t>Vysvětlení (v případě potřeby)</w:t>
            </w: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Parkovací místa</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74001/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Parkovací místa</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Dosud nebyl schválen žádný projekt.Zasmluvnění P+R Radotín závisí na získání stavebního povolení. P+R Černý Most bude dle předpokladů dokončen v roce 2020. První dosažené hodnoty lze sledovat až 2019 v případě P+R Radotín a 2020 v případě P+R Černý Most.</w:t>
            </w: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74901/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Délka nových podélných dělících preferenčních opatření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km</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2474E9">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74901/</w:t>
            </w:r>
          </w:p>
        </w:tc>
        <w:tc>
          <w:tcPr>
            <w:tcW w:w="214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Délka nových podélných dělících preferenčních opatření</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km</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V rámci této aktivity 2.2.2 dosud nebyl předložen žádný projekt. Plánuje se vyhlášení výzvy č. 44 na tuto aktivitu.</w:t>
            </w:r>
          </w:p>
        </w:tc>
      </w:tr>
    </w:tbl>
    <w:p w:rsidR="00457252" w:rsidRDefault="00697A5C" w:rsidP="006B44C2">
      <w:pPr>
        <w:keepNext/>
        <w:spacing w:before="240"/>
        <w:ind w:left="115" w:right="667"/>
        <w:jc w:val="both"/>
        <w:rPr>
          <w:rFonts w:ascii="Arial" w:eastAsia="Arial" w:hAnsi="Arial" w:cs="Arial"/>
          <w:color w:val="000000"/>
          <w:sz w:val="20"/>
        </w:rPr>
      </w:pPr>
      <w:r>
        <w:rPr>
          <w:rFonts w:ascii="Arial" w:eastAsia="Arial" w:hAnsi="Arial" w:cs="Arial"/>
          <w:color w:val="000000"/>
          <w:sz w:val="20"/>
        </w:rPr>
        <w:t xml:space="preserve">Investiční priorita: 07.3.56 Investice do zdravotnické a sociální infrastruktury, které přispívají k celostátnímu, regionálnímu a místnímu rozvoji, snižování nerovností, pokud jde </w:t>
      </w:r>
      <w:r w:rsidR="006B44C2">
        <w:rPr>
          <w:rFonts w:ascii="Arial" w:eastAsia="Arial" w:hAnsi="Arial" w:cs="Arial"/>
          <w:color w:val="000000"/>
          <w:sz w:val="20"/>
        </w:rPr>
        <w:br/>
      </w:r>
      <w:r>
        <w:rPr>
          <w:rFonts w:ascii="Arial" w:eastAsia="Arial" w:hAnsi="Arial" w:cs="Arial"/>
          <w:color w:val="000000"/>
          <w:sz w:val="20"/>
        </w:rPr>
        <w:t>o zdravotní stav, podpora sociálního začlenění díky lepšímu přístupu k sociálním, kulturním a rekreačním službám a přechodem od institucionálních ke komunitním službám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589"/>
        <w:gridCol w:w="850"/>
        <w:gridCol w:w="709"/>
        <w:gridCol w:w="567"/>
        <w:gridCol w:w="567"/>
        <w:gridCol w:w="567"/>
        <w:gridCol w:w="567"/>
        <w:gridCol w:w="567"/>
        <w:gridCol w:w="567"/>
        <w:gridCol w:w="567"/>
        <w:gridCol w:w="567"/>
        <w:gridCol w:w="567"/>
        <w:gridCol w:w="567"/>
        <w:gridCol w:w="2835"/>
      </w:tblGrid>
      <w:tr w:rsidR="00457252" w:rsidTr="006B44C2">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8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zařízení v rámci komunitních a integračních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zařízení v rámci komunitních a integračních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jsou již evidována zařízení z ukončených výzev </w:t>
            </w:r>
            <w:r w:rsidR="007121CC">
              <w:rPr>
                <w:rFonts w:ascii="Arial" w:eastAsia="Arial" w:hAnsi="Arial" w:cs="Arial"/>
                <w:color w:val="000000"/>
                <w:sz w:val="14"/>
              </w:rPr>
              <w:br/>
            </w:r>
            <w:r>
              <w:rPr>
                <w:rFonts w:ascii="Arial" w:eastAsia="Arial" w:hAnsi="Arial" w:cs="Arial"/>
                <w:color w:val="000000"/>
                <w:sz w:val="14"/>
              </w:rPr>
              <w:t xml:space="preserve">č. 17 a 27. Další projekty vzjedou z výzvy </w:t>
            </w:r>
            <w:r w:rsidR="007121CC">
              <w:rPr>
                <w:rFonts w:ascii="Arial" w:eastAsia="Arial" w:hAnsi="Arial" w:cs="Arial"/>
                <w:color w:val="000000"/>
                <w:sz w:val="14"/>
              </w:rPr>
              <w:br/>
            </w:r>
            <w:r>
              <w:rPr>
                <w:rFonts w:ascii="Arial" w:eastAsia="Arial" w:hAnsi="Arial" w:cs="Arial"/>
                <w:color w:val="000000"/>
                <w:sz w:val="14"/>
              </w:rPr>
              <w:t>č. 35 ukončené 23.3.2018. Další výzva je naplánována na září 2018.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55205/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zařízení v rámci komunitních a integračních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55205/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zařízení v rámci komunitních a integračních aktivit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jsou již evidována zařízení z ukončených výzev </w:t>
            </w:r>
            <w:r w:rsidR="007121CC">
              <w:rPr>
                <w:rFonts w:ascii="Arial" w:eastAsia="Arial" w:hAnsi="Arial" w:cs="Arial"/>
                <w:color w:val="000000"/>
                <w:sz w:val="14"/>
              </w:rPr>
              <w:br/>
            </w:r>
            <w:r>
              <w:rPr>
                <w:rFonts w:ascii="Arial" w:eastAsia="Arial" w:hAnsi="Arial" w:cs="Arial"/>
                <w:color w:val="000000"/>
                <w:sz w:val="14"/>
              </w:rPr>
              <w:t xml:space="preserve">č. 17 a 27. Další projekty vzjedou z výzvy </w:t>
            </w:r>
            <w:r w:rsidR="007121CC">
              <w:rPr>
                <w:rFonts w:ascii="Arial" w:eastAsia="Arial" w:hAnsi="Arial" w:cs="Arial"/>
                <w:color w:val="000000"/>
                <w:sz w:val="14"/>
              </w:rPr>
              <w:br/>
            </w:r>
            <w:r>
              <w:rPr>
                <w:rFonts w:ascii="Arial" w:eastAsia="Arial" w:hAnsi="Arial" w:cs="Arial"/>
                <w:color w:val="000000"/>
                <w:sz w:val="14"/>
              </w:rPr>
              <w:t>č. 35 ukončené 23.3.2018. Další výzva je naplánována na září 2018.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Bytové jednotky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137,000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Bytové jednotky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137,000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jsou již evidována zázemí z ukončených výzev </w:t>
            </w:r>
            <w:r w:rsidR="007121CC">
              <w:rPr>
                <w:rFonts w:ascii="Arial" w:eastAsia="Arial" w:hAnsi="Arial" w:cs="Arial"/>
                <w:color w:val="000000"/>
                <w:sz w:val="14"/>
              </w:rPr>
              <w:br/>
            </w:r>
            <w:r>
              <w:rPr>
                <w:rFonts w:ascii="Arial" w:eastAsia="Arial" w:hAnsi="Arial" w:cs="Arial"/>
                <w:color w:val="000000"/>
                <w:sz w:val="14"/>
              </w:rPr>
              <w:t xml:space="preserve">č. 17 a 27. Další projekty vzjedou z výzvy </w:t>
            </w:r>
            <w:r w:rsidR="007121CC">
              <w:rPr>
                <w:rFonts w:ascii="Arial" w:eastAsia="Arial" w:hAnsi="Arial" w:cs="Arial"/>
                <w:color w:val="000000"/>
                <w:sz w:val="14"/>
              </w:rPr>
              <w:br/>
            </w:r>
            <w:r>
              <w:rPr>
                <w:rFonts w:ascii="Arial" w:eastAsia="Arial" w:hAnsi="Arial" w:cs="Arial"/>
                <w:color w:val="000000"/>
                <w:sz w:val="14"/>
              </w:rPr>
              <w:t>č. 35 ukončené 23.3.2018. Další výzva je naplánována na září 2018.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55305/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Bytové jednotky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55305/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bytů pro sociální bydlení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Bytové jednotky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jsou již evidována zázemí z ukončených výzev </w:t>
            </w:r>
            <w:r w:rsidR="007121CC">
              <w:rPr>
                <w:rFonts w:ascii="Arial" w:eastAsia="Arial" w:hAnsi="Arial" w:cs="Arial"/>
                <w:color w:val="000000"/>
                <w:sz w:val="14"/>
              </w:rPr>
              <w:br/>
            </w:r>
            <w:r>
              <w:rPr>
                <w:rFonts w:ascii="Arial" w:eastAsia="Arial" w:hAnsi="Arial" w:cs="Arial"/>
                <w:color w:val="000000"/>
                <w:sz w:val="14"/>
              </w:rPr>
              <w:t xml:space="preserve">č. 17 a 27. Další projekty vzjedou z výzvy </w:t>
            </w:r>
            <w:r w:rsidR="007121CC">
              <w:rPr>
                <w:rFonts w:ascii="Arial" w:eastAsia="Arial" w:hAnsi="Arial" w:cs="Arial"/>
                <w:color w:val="000000"/>
                <w:sz w:val="14"/>
              </w:rPr>
              <w:br/>
            </w:r>
            <w:r>
              <w:rPr>
                <w:rFonts w:ascii="Arial" w:eastAsia="Arial" w:hAnsi="Arial" w:cs="Arial"/>
                <w:color w:val="000000"/>
                <w:sz w:val="14"/>
              </w:rPr>
              <w:t>č. 35 ukončené 23.3.2018. Další výzva je naplánována na září 2018.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Zázemí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55401/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Zázemí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jsou již evidována zázemí z ukončených výzev </w:t>
            </w:r>
            <w:r w:rsidR="007121CC">
              <w:rPr>
                <w:rFonts w:ascii="Arial" w:eastAsia="Arial" w:hAnsi="Arial" w:cs="Arial"/>
                <w:color w:val="000000"/>
                <w:sz w:val="14"/>
              </w:rPr>
              <w:br/>
            </w:r>
            <w:r>
              <w:rPr>
                <w:rFonts w:ascii="Arial" w:eastAsia="Arial" w:hAnsi="Arial" w:cs="Arial"/>
                <w:color w:val="000000"/>
                <w:sz w:val="14"/>
              </w:rPr>
              <w:t xml:space="preserve">č. 17 a 27. Další projekty vzjedou z výzvy </w:t>
            </w:r>
            <w:r w:rsidR="007121CC">
              <w:rPr>
                <w:rFonts w:ascii="Arial" w:eastAsia="Arial" w:hAnsi="Arial" w:cs="Arial"/>
                <w:color w:val="000000"/>
                <w:sz w:val="14"/>
              </w:rPr>
              <w:br/>
            </w:r>
            <w:r>
              <w:rPr>
                <w:rFonts w:ascii="Arial" w:eastAsia="Arial" w:hAnsi="Arial" w:cs="Arial"/>
                <w:color w:val="000000"/>
                <w:sz w:val="14"/>
              </w:rPr>
              <w:t>č. 35 ukončené 23.3.2018. Další výzva je naplánována na září 2018.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55405/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Zázemí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55405/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nových zázemí pro služby a sociální práci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Zázemí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bude naplňován průběžně </w:t>
            </w:r>
            <w:r>
              <w:rPr>
                <w:rFonts w:ascii="Arial" w:eastAsia="Arial" w:hAnsi="Arial" w:cs="Arial"/>
                <w:color w:val="000000"/>
                <w:sz w:val="14"/>
              </w:rPr>
              <w:br/>
              <w:t xml:space="preserve">s realizací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ukončováním projektů z výzev č. 17, 27. V současné době již evidována zázemí z ukončených výzev č. 17 a 27. Další projekty vzjedou z výzvy č. 35 ukončené 23.3.2018. Další výzva je naplánována na září 2018.</w:t>
            </w:r>
          </w:p>
        </w:tc>
      </w:tr>
    </w:tbl>
    <w:p w:rsidR="00457252" w:rsidRDefault="00697A5C">
      <w:pPr>
        <w:keepNext/>
        <w:spacing w:before="240"/>
        <w:ind w:left="115" w:right="106"/>
        <w:jc w:val="both"/>
        <w:rPr>
          <w:rFonts w:ascii="Arial" w:eastAsia="Arial" w:hAnsi="Arial" w:cs="Arial"/>
          <w:color w:val="000000"/>
          <w:sz w:val="20"/>
        </w:rPr>
      </w:pPr>
      <w:r>
        <w:rPr>
          <w:rFonts w:ascii="Arial" w:eastAsia="Arial" w:hAnsi="Arial" w:cs="Arial"/>
          <w:color w:val="000000"/>
          <w:sz w:val="20"/>
        </w:rPr>
        <w:lastRenderedPageBreak/>
        <w:t>Investiční priorita: 07.3.58 Poskytování podpory sociálním podnikům</w:t>
      </w:r>
    </w:p>
    <w:tbl>
      <w:tblPr>
        <w:tblW w:w="0" w:type="auto"/>
        <w:tblInd w:w="58" w:type="dxa"/>
        <w:tblLayout w:type="fixed"/>
        <w:tblCellMar>
          <w:left w:w="0" w:type="dxa"/>
          <w:right w:w="0" w:type="dxa"/>
        </w:tblCellMar>
        <w:tblLook w:val="04A0" w:firstRow="1" w:lastRow="0" w:firstColumn="1" w:lastColumn="0" w:noHBand="0" w:noVBand="1"/>
      </w:tblPr>
      <w:tblGrid>
        <w:gridCol w:w="1333"/>
        <w:gridCol w:w="567"/>
        <w:gridCol w:w="2268"/>
        <w:gridCol w:w="709"/>
        <w:gridCol w:w="589"/>
        <w:gridCol w:w="850"/>
        <w:gridCol w:w="567"/>
        <w:gridCol w:w="567"/>
        <w:gridCol w:w="567"/>
        <w:gridCol w:w="567"/>
        <w:gridCol w:w="567"/>
        <w:gridCol w:w="567"/>
        <w:gridCol w:w="567"/>
        <w:gridCol w:w="567"/>
        <w:gridCol w:w="567"/>
        <w:gridCol w:w="567"/>
        <w:gridCol w:w="567"/>
        <w:gridCol w:w="2977"/>
      </w:tblGrid>
      <w:tr w:rsidR="00457252" w:rsidTr="006B44C2">
        <w:trPr>
          <w:tblHeader/>
        </w:trPr>
        <w:tc>
          <w:tcPr>
            <w:tcW w:w="13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97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Podniky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10000/CO01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Podniky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V současné době ŘO eviduje z výzvy č. 6 dva projekty, které již ukončili relizaci, jeden projekt ukončí svou realizaci v březnu 2018. Dalších 7 projektů z 25.výzvy svou realizaci ukončí buď v roce 2018 nebo v roce 2019. Další projekty pro naplňování tohoto indikátoru jsou již podány do průběžné výzvy č. 38.</w:t>
            </w: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Podniky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10105/CO05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podniků, které dostávají podporu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Podniky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FTE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10400/CO08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Zvýšení zaměstnanosti v podporovaných podnicích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FTE</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ind w:left="57" w:right="57"/>
              <w:rPr>
                <w:rFonts w:ascii="Arial" w:eastAsia="Arial" w:hAnsi="Arial" w:cs="Arial"/>
                <w:color w:val="000000"/>
                <w:sz w:val="14"/>
              </w:rPr>
            </w:pPr>
            <w:r>
              <w:rPr>
                <w:rFonts w:ascii="Arial" w:eastAsia="Arial" w:hAnsi="Arial" w:cs="Arial"/>
                <w:color w:val="000000"/>
                <w:sz w:val="14"/>
              </w:rPr>
              <w:t>V současné době ŘO eviduje hodnotu 10</w:t>
            </w:r>
            <w:proofErr w:type="gramStart"/>
            <w:r>
              <w:rPr>
                <w:rFonts w:ascii="Arial" w:eastAsia="Arial" w:hAnsi="Arial" w:cs="Arial"/>
                <w:color w:val="000000"/>
                <w:sz w:val="14"/>
              </w:rPr>
              <w:t>,25</w:t>
            </w:r>
            <w:proofErr w:type="gramEnd"/>
            <w:r>
              <w:rPr>
                <w:rFonts w:ascii="Arial" w:eastAsia="Arial" w:hAnsi="Arial" w:cs="Arial"/>
                <w:color w:val="000000"/>
                <w:sz w:val="14"/>
              </w:rPr>
              <w:t>, avšak projekty zatím nebyly ukončeny.</w:t>
            </w:r>
          </w:p>
        </w:tc>
      </w:tr>
    </w:tbl>
    <w:p w:rsidR="00457252" w:rsidRDefault="00697A5C" w:rsidP="006B44C2">
      <w:pPr>
        <w:keepNext/>
        <w:spacing w:before="240"/>
        <w:ind w:left="115" w:right="667"/>
        <w:jc w:val="both"/>
        <w:rPr>
          <w:rFonts w:ascii="Arial" w:eastAsia="Arial" w:hAnsi="Arial" w:cs="Arial"/>
          <w:color w:val="000000"/>
          <w:sz w:val="20"/>
        </w:rPr>
      </w:pPr>
      <w:r>
        <w:rPr>
          <w:rFonts w:ascii="Arial" w:eastAsia="Arial" w:hAnsi="Arial" w:cs="Arial"/>
          <w:color w:val="000000"/>
          <w:sz w:val="20"/>
        </w:rPr>
        <w:lastRenderedPageBreak/>
        <w:t>Investiční priorita: 07.4.67 Investice do vzdělávání, odborného vzdělávání a odborné přípravy pro získání dovedností a do celoživotního učení rozvíjením infrastruktury pro vzdělávání a odbornou přípravu</w:t>
      </w:r>
    </w:p>
    <w:tbl>
      <w:tblPr>
        <w:tblW w:w="0" w:type="auto"/>
        <w:tblInd w:w="58" w:type="dxa"/>
        <w:tblLayout w:type="fixed"/>
        <w:tblCellMar>
          <w:left w:w="0" w:type="dxa"/>
          <w:right w:w="0" w:type="dxa"/>
        </w:tblCellMar>
        <w:tblLook w:val="04A0" w:firstRow="1" w:lastRow="0" w:firstColumn="1" w:lastColumn="0" w:noHBand="0" w:noVBand="1"/>
      </w:tblPr>
      <w:tblGrid>
        <w:gridCol w:w="1355"/>
        <w:gridCol w:w="567"/>
        <w:gridCol w:w="2268"/>
        <w:gridCol w:w="709"/>
        <w:gridCol w:w="589"/>
        <w:gridCol w:w="850"/>
        <w:gridCol w:w="851"/>
        <w:gridCol w:w="510"/>
        <w:gridCol w:w="567"/>
        <w:gridCol w:w="709"/>
        <w:gridCol w:w="850"/>
        <w:gridCol w:w="567"/>
        <w:gridCol w:w="567"/>
        <w:gridCol w:w="567"/>
        <w:gridCol w:w="567"/>
        <w:gridCol w:w="567"/>
        <w:gridCol w:w="567"/>
        <w:gridCol w:w="2303"/>
      </w:tblGrid>
      <w:tr w:rsidR="00457252" w:rsidTr="006B44C2">
        <w:trPr>
          <w:tblHeader/>
        </w:trPr>
        <w:tc>
          <w:tcPr>
            <w:tcW w:w="135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jc w:val="both"/>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2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Indikátor</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8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(je-li relevantní)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5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230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ind w:left="57" w:right="57"/>
              <w:jc w:val="center"/>
              <w:rPr>
                <w:rFonts w:ascii="Arial" w:eastAsia="Arial" w:hAnsi="Arial" w:cs="Arial"/>
                <w:b/>
                <w:bCs/>
                <w:color w:val="000000"/>
                <w:sz w:val="14"/>
              </w:rPr>
            </w:pPr>
            <w:r>
              <w:rPr>
                <w:rFonts w:ascii="Arial" w:eastAsia="Arial" w:hAnsi="Arial" w:cs="Arial"/>
                <w:b/>
                <w:bCs/>
                <w:color w:val="000000"/>
                <w:sz w:val="14"/>
              </w:rPr>
              <w:t>Vysvětlení (v případě potřeby)</w:t>
            </w: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3 200,000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326,000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2 377,000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3 200,000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033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619</w:t>
            </w:r>
            <w:r w:rsidR="006B44C2">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zařízení péče o děti předškolního věku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50100/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zařízení péče o děti předškolního věku</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033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w:t>
            </w:r>
            <w:r w:rsidR="006B44C2">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ind w:left="57" w:right="57"/>
              <w:rPr>
                <w:rFonts w:ascii="Arial" w:eastAsia="Arial" w:hAnsi="Arial" w:cs="Arial"/>
                <w:color w:val="000000"/>
                <w:sz w:val="14"/>
              </w:rPr>
            </w:pPr>
            <w:r>
              <w:rPr>
                <w:rFonts w:ascii="Arial" w:eastAsia="Arial" w:hAnsi="Arial" w:cs="Arial"/>
                <w:color w:val="000000"/>
                <w:sz w:val="14"/>
              </w:rPr>
              <w:t xml:space="preserve">V současné době ŘO eviduje hodnotu 4, avšak v rámci již ukončených projektů se jedná </w:t>
            </w:r>
            <w:r>
              <w:rPr>
                <w:rFonts w:ascii="Arial" w:eastAsia="Arial" w:hAnsi="Arial" w:cs="Arial"/>
                <w:color w:val="000000"/>
                <w:sz w:val="14"/>
              </w:rPr>
              <w:br/>
              <w:t>o hodnotu 2.</w:t>
            </w: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zařízení pro péči o děti do 3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50101/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zařízení pro péči o děti do 3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7121CC"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CD7CBD" w:rsidP="00CD7CBD">
            <w:pPr>
              <w:ind w:left="57" w:right="57"/>
              <w:rPr>
                <w:rFonts w:ascii="Arial" w:eastAsia="Arial" w:hAnsi="Arial" w:cs="Arial"/>
                <w:color w:val="000000"/>
                <w:sz w:val="14"/>
              </w:rPr>
            </w:pPr>
            <w:r>
              <w:rPr>
                <w:rFonts w:ascii="Arial" w:eastAsia="Arial" w:hAnsi="Arial" w:cs="Arial"/>
                <w:color w:val="000000"/>
                <w:sz w:val="14"/>
              </w:rPr>
              <w:t>V současné době ŘO eviduje hodnotu 4, avšak v rámci již ukončených projektů se zatím jedná o nulovou hodnotu.</w:t>
            </w: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 xml:space="preserve">Kumulativní hodnota – výstupy, kterých mají dosáhnout vybrané operace [odhad </w:t>
            </w:r>
            <w:r>
              <w:rPr>
                <w:rFonts w:ascii="Arial" w:eastAsia="Arial" w:hAnsi="Arial" w:cs="Arial"/>
                <w:color w:val="000000"/>
                <w:sz w:val="14"/>
              </w:rPr>
              <w:lastRenderedPageBreak/>
              <w:t>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50115/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 zařízení péče o děti do 3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690,000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871,000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CD7CBD"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50115/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 zařízení péče o děti do 3 let</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280,000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s nově vybavenými třídami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CD7CBD"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50201/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Počet zařízení s nově vybavenými třídami</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r>
              <w:rPr>
                <w:rFonts w:ascii="Arial" w:eastAsia="Arial" w:hAnsi="Arial" w:cs="Arial"/>
                <w:color w:val="000000"/>
                <w:sz w:val="14"/>
              </w:rPr>
              <w:t>Zařízení</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D7CBD" w:rsidRDefault="00CD7CBD" w:rsidP="00CD7CBD">
            <w:pPr>
              <w:ind w:left="57" w:right="57"/>
              <w:rPr>
                <w:rFonts w:ascii="Arial" w:eastAsia="Arial" w:hAnsi="Arial" w:cs="Arial"/>
                <w:color w:val="000000"/>
                <w:sz w:val="14"/>
              </w:rPr>
            </w:pPr>
            <w:r>
              <w:rPr>
                <w:rFonts w:ascii="Arial" w:eastAsia="Arial" w:hAnsi="Arial" w:cs="Arial"/>
                <w:color w:val="000000"/>
                <w:sz w:val="14"/>
              </w:rPr>
              <w:t xml:space="preserve">Hodnota </w:t>
            </w:r>
            <w:proofErr w:type="gramStart"/>
            <w:r>
              <w:rPr>
                <w:rFonts w:ascii="Arial" w:eastAsia="Arial" w:hAnsi="Arial" w:cs="Arial"/>
                <w:color w:val="000000"/>
                <w:sz w:val="14"/>
              </w:rPr>
              <w:t>indikátoru  50201</w:t>
            </w:r>
            <w:proofErr w:type="gramEnd"/>
            <w:r>
              <w:rPr>
                <w:rFonts w:ascii="Arial" w:eastAsia="Arial" w:hAnsi="Arial" w:cs="Arial"/>
                <w:color w:val="000000"/>
                <w:sz w:val="14"/>
              </w:rPr>
              <w:t xml:space="preserve"> bude naplňována na základě realizace projektů schválených ve výzvě </w:t>
            </w:r>
            <w:r>
              <w:rPr>
                <w:rFonts w:ascii="Arial" w:eastAsia="Arial" w:hAnsi="Arial" w:cs="Arial"/>
                <w:color w:val="000000"/>
                <w:sz w:val="14"/>
              </w:rPr>
              <w:br/>
              <w:t xml:space="preserve">č. 20.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37. Projekty z výzvy č. 20 jsou nyní ve fázi přípravy podpisu právního aktu. Hodnota indikátoru bude vykázána v příští VZ za rok 2018.</w:t>
            </w: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50211/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 nová nebo modernizovaná vzdělávací, školicí a výcviková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11 541,000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141,000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581,000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FE46D8"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rPr>
                <w:rFonts w:ascii="Arial" w:eastAsia="Arial" w:hAnsi="Arial" w:cs="Arial"/>
                <w:color w:val="000000"/>
                <w:sz w:val="14"/>
              </w:rPr>
            </w:pPr>
            <w:r>
              <w:rPr>
                <w:rFonts w:ascii="Arial" w:eastAsia="Arial" w:hAnsi="Arial" w:cs="Arial"/>
                <w:color w:val="000000"/>
                <w:sz w:val="14"/>
              </w:rPr>
              <w:t>50211/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 nová nebo modernizovaná vzdělávací, školicí a výcviková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ind w:left="57" w:right="57"/>
              <w:rPr>
                <w:rFonts w:ascii="Arial" w:eastAsia="Arial" w:hAnsi="Arial" w:cs="Arial"/>
                <w:color w:val="000000"/>
                <w:sz w:val="14"/>
              </w:rPr>
            </w:pPr>
            <w:r>
              <w:rPr>
                <w:rFonts w:ascii="Arial" w:eastAsia="Arial" w:hAnsi="Arial" w:cs="Arial"/>
                <w:color w:val="000000"/>
                <w:sz w:val="14"/>
              </w:rPr>
              <w:t>Osoby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11 541,000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E46D8" w:rsidRDefault="00FE46D8" w:rsidP="00FE46D8">
            <w:pPr>
              <w:ind w:left="57" w:right="57"/>
              <w:rPr>
                <w:rFonts w:ascii="Arial" w:eastAsia="Arial" w:hAnsi="Arial" w:cs="Arial"/>
                <w:color w:val="000000"/>
                <w:sz w:val="14"/>
              </w:rPr>
            </w:pPr>
            <w:r>
              <w:rPr>
                <w:rFonts w:ascii="Arial" w:eastAsia="Arial" w:hAnsi="Arial" w:cs="Arial"/>
                <w:color w:val="000000"/>
                <w:sz w:val="14"/>
              </w:rPr>
              <w:t xml:space="preserve">Hodnota </w:t>
            </w:r>
            <w:proofErr w:type="gramStart"/>
            <w:r>
              <w:rPr>
                <w:rFonts w:ascii="Arial" w:eastAsia="Arial" w:hAnsi="Arial" w:cs="Arial"/>
                <w:color w:val="000000"/>
                <w:sz w:val="14"/>
              </w:rPr>
              <w:t>indikátoru  50211</w:t>
            </w:r>
            <w:proofErr w:type="gramEnd"/>
            <w:r>
              <w:rPr>
                <w:rFonts w:ascii="Arial" w:eastAsia="Arial" w:hAnsi="Arial" w:cs="Arial"/>
                <w:color w:val="000000"/>
                <w:sz w:val="14"/>
              </w:rPr>
              <w:t xml:space="preserve"> bude naplňována na základě realizace projektů schválených ve výzvě </w:t>
            </w:r>
            <w:r>
              <w:rPr>
                <w:rFonts w:ascii="Arial" w:eastAsia="Arial" w:hAnsi="Arial" w:cs="Arial"/>
                <w:color w:val="000000"/>
                <w:sz w:val="14"/>
              </w:rPr>
              <w:br/>
              <w:t xml:space="preserve">č. 20. </w:t>
            </w:r>
            <w:proofErr w:type="gramStart"/>
            <w:r>
              <w:rPr>
                <w:rFonts w:ascii="Arial" w:eastAsia="Arial" w:hAnsi="Arial" w:cs="Arial"/>
                <w:color w:val="000000"/>
                <w:sz w:val="14"/>
              </w:rPr>
              <w:t>a</w:t>
            </w:r>
            <w:proofErr w:type="gramEnd"/>
            <w:r>
              <w:rPr>
                <w:rFonts w:ascii="Arial" w:eastAsia="Arial" w:hAnsi="Arial" w:cs="Arial"/>
                <w:color w:val="000000"/>
                <w:sz w:val="14"/>
              </w:rPr>
              <w:t xml:space="preserve"> 37. Projekty z výzvy č. 20 jsou nyní ve fázi přípravy podpisu právního aktu. Indikátor je monitorován ve fázi udržitelnosti. Plnění indikátoru se promítne nejdříve do VZ za rok 2018.</w:t>
            </w: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 xml:space="preserve">Kumulativní hodnota – výstupy, kterých mají dosáhnout vybrané operace [odhad </w:t>
            </w:r>
            <w:r>
              <w:rPr>
                <w:rFonts w:ascii="Arial" w:eastAsia="Arial" w:hAnsi="Arial" w:cs="Arial"/>
                <w:color w:val="000000"/>
                <w:sz w:val="14"/>
              </w:rPr>
              <w:lastRenderedPageBreak/>
              <w:t>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lastRenderedPageBreak/>
              <w:t>50301/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tříd ve vzdělávacích zařízeních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Třídy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85,000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50301/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nových tříd ve vzdělávacích zařízeních</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Třídy</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kterých mají dosáhnout vybrané operace [odhad poskytnutý příjemci]</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51615/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dětí, žáků a studentů s SVP využívající nová nebo modernizovaná vzdělávací, školící a výcviková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Děti, žáci a studenti</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692,000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233,000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p>
        </w:tc>
      </w:tr>
      <w:tr w:rsidR="006B44C2" w:rsidTr="006B44C2">
        <w:tc>
          <w:tcPr>
            <w:tcW w:w="135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Kumulativní hodnota – výstupy dosažené operacemi [skutečné splnění]</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51615/</w:t>
            </w:r>
          </w:p>
        </w:tc>
        <w:tc>
          <w:tcPr>
            <w:tcW w:w="22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Počet dětí, žáků a studentů s SVP využívající nová nebo modernizovaná vzdělávací, školící a výcviková zařízení</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Děti, žáci a studenti</w:t>
            </w:r>
          </w:p>
        </w:tc>
        <w:tc>
          <w:tcPr>
            <w:tcW w:w="58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EFRR</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692,000</w:t>
            </w:r>
          </w:p>
        </w:tc>
        <w:tc>
          <w:tcPr>
            <w:tcW w:w="5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FE46D8"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23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B44C2" w:rsidRDefault="006B44C2" w:rsidP="006B44C2">
            <w:pPr>
              <w:ind w:left="57" w:right="57"/>
              <w:rPr>
                <w:rFonts w:ascii="Arial" w:eastAsia="Arial" w:hAnsi="Arial" w:cs="Arial"/>
                <w:color w:val="000000"/>
                <w:sz w:val="14"/>
              </w:rPr>
            </w:pPr>
            <w:r>
              <w:rPr>
                <w:rFonts w:ascii="Arial" w:eastAsia="Arial" w:hAnsi="Arial" w:cs="Arial"/>
                <w:color w:val="000000"/>
                <w:sz w:val="14"/>
              </w:rPr>
              <w:t xml:space="preserve">Indikátor se sleduje ve fázi udržitelnosti projektu. První zprávy o </w:t>
            </w:r>
            <w:proofErr w:type="gramStart"/>
            <w:r>
              <w:rPr>
                <w:rFonts w:ascii="Arial" w:eastAsia="Arial" w:hAnsi="Arial" w:cs="Arial"/>
                <w:color w:val="000000"/>
                <w:sz w:val="14"/>
              </w:rPr>
              <w:t>udržitelnosti  budou</w:t>
            </w:r>
            <w:proofErr w:type="gramEnd"/>
            <w:r>
              <w:rPr>
                <w:rFonts w:ascii="Arial" w:eastAsia="Arial" w:hAnsi="Arial" w:cs="Arial"/>
                <w:color w:val="000000"/>
                <w:sz w:val="14"/>
              </w:rPr>
              <w:t xml:space="preserve"> v PO 4 schvalovány v roce 2018.</w:t>
            </w:r>
          </w:p>
        </w:tc>
      </w:tr>
    </w:tbl>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Pro prioritní osy „technická pomoc</w:t>
      </w:r>
      <w:proofErr w:type="gramStart"/>
      <w:r>
        <w:rPr>
          <w:rFonts w:ascii="Arial" w:eastAsia="Arial" w:hAnsi="Arial" w:cs="Arial"/>
          <w:color w:val="000000"/>
          <w:sz w:val="16"/>
        </w:rPr>
        <w:t>“ nejsou</w:t>
      </w:r>
      <w:proofErr w:type="gramEnd"/>
      <w:r>
        <w:rPr>
          <w:rFonts w:ascii="Arial" w:eastAsia="Arial" w:hAnsi="Arial" w:cs="Arial"/>
          <w:color w:val="000000"/>
          <w:sz w:val="16"/>
        </w:rPr>
        <w:t xml:space="preserve"> cíle povinné.</w:t>
      </w:r>
    </w:p>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tabs>
          <w:tab w:val="left" w:pos="1675"/>
        </w:tabs>
        <w:ind w:left="115" w:right="106"/>
        <w:rPr>
          <w:rFonts w:ascii="Arial" w:eastAsia="Arial" w:hAnsi="Arial" w:cs="Arial"/>
          <w:color w:val="000000"/>
          <w:sz w:val="16"/>
        </w:rPr>
      </w:pPr>
      <w:r>
        <w:rPr>
          <w:rFonts w:ascii="Arial" w:eastAsia="Arial" w:hAnsi="Arial" w:cs="Arial"/>
          <w:color w:val="000000"/>
          <w:sz w:val="16"/>
        </w:rPr>
        <w:t>7 - V tabulce 3A se rozdělení podle pohlaví v příslušných polích použije pouze tehdy, je-li uvedeno v tabulce 5 nebo 13 OP. V opačném případě použijte T = celkem.</w:t>
      </w:r>
    </w:p>
    <w:p w:rsidR="00457252" w:rsidRDefault="00457252">
      <w:pPr>
        <w:spacing w:line="312" w:lineRule="auto"/>
        <w:ind w:left="115" w:right="670"/>
        <w:rPr>
          <w:rFonts w:ascii="Arial" w:eastAsia="Arial" w:hAnsi="Arial" w:cs="Arial"/>
          <w:color w:val="000000"/>
          <w:sz w:val="10"/>
        </w:rPr>
      </w:pPr>
    </w:p>
    <w:p w:rsidR="00457252" w:rsidRDefault="00457252">
      <w:pPr>
        <w:spacing w:line="312" w:lineRule="auto"/>
        <w:ind w:left="115" w:right="670"/>
      </w:pPr>
    </w:p>
    <w:p w:rsidR="00457252" w:rsidRDefault="00697A5C">
      <w:pPr>
        <w:spacing w:line="312" w:lineRule="auto"/>
        <w:ind w:left="115" w:right="670"/>
        <w:rPr>
          <w:rFonts w:ascii="Arial" w:eastAsia="Arial" w:hAnsi="Arial" w:cs="Arial"/>
          <w:b/>
          <w:bCs/>
          <w:i/>
          <w:iCs/>
          <w:color w:val="000000"/>
          <w:sz w:val="20"/>
        </w:rPr>
      </w:pPr>
      <w:r>
        <w:rPr>
          <w:rFonts w:ascii="Arial" w:eastAsia="Arial" w:hAnsi="Arial" w:cs="Arial"/>
          <w:b/>
          <w:bCs/>
          <w:i/>
          <w:iCs/>
          <w:color w:val="000000"/>
          <w:sz w:val="20"/>
        </w:rPr>
        <w:t>Tabulka 3B: Pro určité společné indikátory výstupů pro podporu z EFRR v rámci cíle Investice pro růst a zaměstnanost v souvislosti s produktivními investicemi – počet podniků podpořených operačním programem po odečtení vícenásobné podpory pro stejné podniky</w:t>
      </w:r>
    </w:p>
    <w:tbl>
      <w:tblPr>
        <w:tblW w:w="0" w:type="auto"/>
        <w:jc w:val="center"/>
        <w:tblLayout w:type="fixed"/>
        <w:tblCellMar>
          <w:left w:w="0" w:type="dxa"/>
          <w:right w:w="0" w:type="dxa"/>
        </w:tblCellMar>
        <w:tblLook w:val="04A0" w:firstRow="1" w:lastRow="0" w:firstColumn="1" w:lastColumn="0" w:noHBand="0" w:noVBand="1"/>
      </w:tblPr>
      <w:tblGrid>
        <w:gridCol w:w="6091"/>
        <w:gridCol w:w="7938"/>
      </w:tblGrid>
      <w:tr w:rsidR="00457252" w:rsidTr="006B44C2">
        <w:trPr>
          <w:cantSplit/>
          <w:tblHeader/>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6B44C2">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Název indikátoru</w:t>
            </w:r>
          </w:p>
        </w:tc>
        <w:tc>
          <w:tcPr>
            <w:tcW w:w="793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tabs>
                <w:tab w:val="left" w:pos="828"/>
              </w:tabs>
              <w:ind w:left="108" w:right="108"/>
              <w:jc w:val="center"/>
              <w:rPr>
                <w:rFonts w:ascii="Arial" w:eastAsia="Arial" w:hAnsi="Arial" w:cs="Arial"/>
                <w:b/>
                <w:bCs/>
                <w:color w:val="000000"/>
                <w:sz w:val="14"/>
              </w:rPr>
            </w:pPr>
            <w:r>
              <w:rPr>
                <w:rFonts w:ascii="Arial" w:eastAsia="Arial" w:hAnsi="Arial" w:cs="Arial"/>
                <w:b/>
                <w:bCs/>
                <w:color w:val="000000"/>
                <w:sz w:val="14"/>
              </w:rPr>
              <w:t>Počet podniků podpořených OP po odečtení vícenásobné podpory</w:t>
            </w:r>
          </w:p>
        </w:tc>
      </w:tr>
      <w:tr w:rsidR="00457252" w:rsidTr="006B44C2">
        <w:trPr>
          <w:cantSplit/>
          <w:tblHeader/>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tabs>
                <w:tab w:val="left" w:pos="828"/>
              </w:tabs>
              <w:ind w:left="108" w:right="108"/>
              <w:rPr>
                <w:rFonts w:ascii="Arial" w:eastAsia="Arial" w:hAnsi="Arial" w:cs="Arial"/>
                <w:color w:val="000000"/>
                <w:sz w:val="14"/>
              </w:rPr>
            </w:pPr>
            <w:r>
              <w:rPr>
                <w:rFonts w:ascii="Arial" w:eastAsia="Arial" w:hAnsi="Arial" w:cs="Arial"/>
                <w:color w:val="000000"/>
                <w:sz w:val="14"/>
              </w:rPr>
              <w:t>10000/CO01 Počet podniků pobírajících podporu</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0</w:t>
            </w:r>
          </w:p>
        </w:tc>
      </w:tr>
      <w:tr w:rsidR="00457252" w:rsidTr="006B44C2">
        <w:trPr>
          <w:cantSplit/>
          <w:tblHeader/>
          <w:jc w:val="center"/>
        </w:trPr>
        <w:tc>
          <w:tcPr>
            <w:tcW w:w="609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tabs>
                <w:tab w:val="left" w:pos="828"/>
              </w:tabs>
              <w:ind w:left="108" w:right="108"/>
              <w:rPr>
                <w:rFonts w:ascii="Arial" w:eastAsia="Arial" w:hAnsi="Arial" w:cs="Arial"/>
                <w:color w:val="000000"/>
                <w:sz w:val="14"/>
              </w:rPr>
            </w:pPr>
            <w:r>
              <w:rPr>
                <w:rFonts w:ascii="Arial" w:eastAsia="Arial" w:hAnsi="Arial" w:cs="Arial"/>
                <w:color w:val="000000"/>
                <w:sz w:val="14"/>
              </w:rPr>
              <w:t>10105/CO05 Počet nových podniků, které dostávají podporu</w:t>
            </w:r>
          </w:p>
        </w:tc>
        <w:tc>
          <w:tcPr>
            <w:tcW w:w="793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Lines/>
              <w:tabs>
                <w:tab w:val="left" w:pos="828"/>
              </w:tabs>
              <w:ind w:left="108" w:right="108"/>
              <w:jc w:val="right"/>
              <w:rPr>
                <w:rFonts w:ascii="Arial" w:eastAsia="Arial" w:hAnsi="Arial" w:cs="Arial"/>
                <w:color w:val="000000"/>
                <w:sz w:val="14"/>
              </w:rPr>
            </w:pPr>
            <w:r>
              <w:rPr>
                <w:rFonts w:ascii="Arial" w:eastAsia="Arial" w:hAnsi="Arial" w:cs="Arial"/>
                <w:color w:val="000000"/>
                <w:sz w:val="14"/>
              </w:rPr>
              <w:t>0</w:t>
            </w:r>
          </w:p>
        </w:tc>
      </w:tr>
    </w:tbl>
    <w:p w:rsidR="00457252" w:rsidRDefault="00457252">
      <w:pPr>
        <w:tabs>
          <w:tab w:val="left" w:pos="1675"/>
        </w:tabs>
        <w:ind w:left="115" w:right="106"/>
        <w:rPr>
          <w:rFonts w:ascii="Calibri" w:eastAsia="Calibri" w:hAnsi="Calibri" w:cs="Calibri"/>
          <w:color w:val="000000"/>
          <w:sz w:val="20"/>
        </w:rPr>
      </w:pPr>
    </w:p>
    <w:p w:rsidR="00457252" w:rsidRDefault="00457252">
      <w:pPr>
        <w:spacing w:line="312" w:lineRule="auto"/>
        <w:ind w:left="115" w:right="670"/>
        <w:jc w:val="both"/>
        <w:rPr>
          <w:rFonts w:ascii="Calibri" w:eastAsia="Calibri" w:hAnsi="Calibri" w:cs="Calibri"/>
          <w:color w:val="000000"/>
          <w:sz w:val="20"/>
        </w:rPr>
      </w:pPr>
    </w:p>
    <w:p w:rsidR="00457252" w:rsidRDefault="00697A5C">
      <w:r>
        <w:br w:type="page"/>
      </w:r>
    </w:p>
    <w:p w:rsidR="00457252" w:rsidRDefault="00697A5C">
      <w:pPr>
        <w:spacing w:line="312" w:lineRule="auto"/>
        <w:ind w:left="115" w:right="670"/>
        <w:jc w:val="both"/>
        <w:rPr>
          <w:rFonts w:ascii="Arial" w:eastAsia="Arial" w:hAnsi="Arial" w:cs="Arial"/>
          <w:b/>
          <w:bCs/>
          <w:i/>
          <w:iCs/>
          <w:color w:val="000000"/>
          <w:sz w:val="20"/>
        </w:rPr>
      </w:pPr>
      <w:r>
        <w:rPr>
          <w:rFonts w:ascii="Arial" w:eastAsia="Arial" w:hAnsi="Arial" w:cs="Arial"/>
          <w:b/>
          <w:bCs/>
          <w:i/>
          <w:iCs/>
          <w:color w:val="000000"/>
          <w:sz w:val="20"/>
        </w:rPr>
        <w:lastRenderedPageBreak/>
        <w:t xml:space="preserve">Tabulka 4A: Společné indikátory výstupů pro ESF (podle prioritních os, investičních priorit, kategorií regionů). </w:t>
      </w:r>
    </w:p>
    <w:p w:rsidR="00457252" w:rsidRDefault="00697A5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07.3.63 Zlepšování přístupu k dostupným, udržitelným a vysoce kvalitním službám, včetně zdravotnictví a sociálních služeb obecného zájmu</w:t>
      </w:r>
    </w:p>
    <w:tbl>
      <w:tblPr>
        <w:tblW w:w="0" w:type="auto"/>
        <w:tblInd w:w="58" w:type="dxa"/>
        <w:tblLayout w:type="fixed"/>
        <w:tblCellMar>
          <w:left w:w="0" w:type="dxa"/>
          <w:right w:w="0" w:type="dxa"/>
        </w:tblCellMar>
        <w:tblLook w:val="04A0" w:firstRow="1" w:lastRow="0" w:firstColumn="1" w:lastColumn="0" w:noHBand="0" w:noVBand="1"/>
      </w:tblPr>
      <w:tblGrid>
        <w:gridCol w:w="646"/>
        <w:gridCol w:w="5245"/>
        <w:gridCol w:w="850"/>
        <w:gridCol w:w="992"/>
        <w:gridCol w:w="567"/>
        <w:gridCol w:w="567"/>
        <w:gridCol w:w="567"/>
        <w:gridCol w:w="709"/>
        <w:gridCol w:w="567"/>
        <w:gridCol w:w="567"/>
        <w:gridCol w:w="567"/>
        <w:gridCol w:w="567"/>
        <w:gridCol w:w="567"/>
        <w:gridCol w:w="567"/>
        <w:gridCol w:w="992"/>
        <w:gridCol w:w="851"/>
      </w:tblGrid>
      <w:tr w:rsidR="00457252" w:rsidTr="00D11CA7">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D11CA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D11CA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D11CA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60100/CO01</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Nezaměstnaní účastníci, včetně dlouhodobě nezaměstnaných</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60200/CO02</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Dlouhodobě nezaměstnaní účastníci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15,000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60300/CO03</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D659C8"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D659C8">
            <w:pPr>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D659C8">
            <w:pPr>
              <w:tabs>
                <w:tab w:val="left" w:pos="828"/>
              </w:tabs>
              <w:ind w:left="57" w:right="57"/>
              <w:jc w:val="right"/>
              <w:rPr>
                <w:rFonts w:ascii="Arial" w:eastAsia="Arial" w:hAnsi="Arial" w:cs="Arial"/>
                <w:color w:val="000000"/>
                <w:sz w:val="14"/>
              </w:rPr>
            </w:pPr>
            <w:r>
              <w:rPr>
                <w:rFonts w:ascii="Arial" w:eastAsia="Arial" w:hAnsi="Arial" w:cs="Arial"/>
                <w:color w:val="000000"/>
                <w:sz w:val="14"/>
              </w:rPr>
              <w:t>20</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D659C8">
            <w:pPr>
              <w:tabs>
                <w:tab w:val="left" w:pos="828"/>
              </w:tabs>
              <w:ind w:left="57" w:right="57"/>
              <w:jc w:val="right"/>
              <w:rPr>
                <w:rFonts w:ascii="Arial" w:eastAsia="Arial" w:hAnsi="Arial" w:cs="Arial"/>
                <w:color w:val="000000"/>
                <w:sz w:val="14"/>
              </w:rPr>
            </w:pPr>
            <w:r>
              <w:rPr>
                <w:rFonts w:ascii="Arial" w:eastAsia="Arial" w:hAnsi="Arial" w:cs="Arial"/>
                <w:color w:val="000000"/>
                <w:sz w:val="14"/>
              </w:rPr>
              <w:t>7</w:t>
            </w:r>
            <w:r w:rsidR="00697A5C">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D659C8">
            <w:pPr>
              <w:tabs>
                <w:tab w:val="left" w:pos="828"/>
              </w:tabs>
              <w:ind w:left="57" w:right="57"/>
              <w:jc w:val="right"/>
              <w:rPr>
                <w:rFonts w:ascii="Arial" w:eastAsia="Arial" w:hAnsi="Arial" w:cs="Arial"/>
                <w:color w:val="000000"/>
                <w:sz w:val="14"/>
              </w:rPr>
            </w:pPr>
            <w:r>
              <w:rPr>
                <w:rFonts w:ascii="Arial" w:eastAsia="Arial" w:hAnsi="Arial" w:cs="Arial"/>
                <w:color w:val="000000"/>
                <w:sz w:val="14"/>
              </w:rPr>
              <w:t>7</w:t>
            </w:r>
            <w:r w:rsidR="00697A5C">
              <w:rPr>
                <w:rFonts w:ascii="Arial" w:eastAsia="Arial" w:hAnsi="Arial" w:cs="Arial"/>
                <w:color w:val="000000"/>
                <w:sz w:val="14"/>
              </w:rPr>
              <w:t>1,000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60400/CO04</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osoby, které nejsou v procesu vzdělávání nebo odborné přípravy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47</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11</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697A5C">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697A5C">
              <w:rPr>
                <w:rFonts w:ascii="Arial" w:eastAsia="Arial" w:hAnsi="Arial" w:cs="Arial"/>
                <w:color w:val="000000"/>
                <w:sz w:val="14"/>
              </w:rPr>
              <w:t>6,000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60500/CO05</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Zaměstnaní, včetně OSVČ</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6321F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w:t>
            </w:r>
            <w:r w:rsidR="006321F4">
              <w:rPr>
                <w:rFonts w:ascii="Arial" w:eastAsia="Arial" w:hAnsi="Arial" w:cs="Arial"/>
                <w:color w:val="000000"/>
                <w:sz w:val="14"/>
              </w:rPr>
              <w:t>2</w:t>
            </w:r>
            <w:r>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6321F4">
              <w:rPr>
                <w:rFonts w:ascii="Arial" w:eastAsia="Arial" w:hAnsi="Arial" w:cs="Arial"/>
                <w:color w:val="000000"/>
                <w:sz w:val="14"/>
              </w:rPr>
              <w:t>9</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39</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60600/CO06</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do 25 let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60700/CO07</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75</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3</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13</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62</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62</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60800/CO08</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kteří jsou nezaměstnaní, a to i dlouhodobě, nebo neaktivní a nejsou v procesu vzdělávání ani odborné přípravy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26</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60900/CO09</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primárním (ISCED 1) nebo nižším sekundárním (ISCED 2) vzděláním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14,000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7</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7</w:t>
            </w:r>
            <w:r>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61000/CO10</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vyšším sekundárním (ISCED 3) nebo postsekundárním (ISCED 4) vzděláním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92</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w:t>
            </w:r>
            <w:r w:rsidR="006321F4">
              <w:rPr>
                <w:rFonts w:ascii="Arial" w:eastAsia="Arial" w:hAnsi="Arial" w:cs="Arial"/>
                <w:color w:val="000000"/>
                <w:sz w:val="14"/>
              </w:rPr>
              <w:t>8</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w:t>
            </w:r>
            <w:r w:rsidR="006321F4">
              <w:rPr>
                <w:rFonts w:ascii="Arial" w:eastAsia="Arial" w:hAnsi="Arial" w:cs="Arial"/>
                <w:color w:val="000000"/>
                <w:sz w:val="14"/>
              </w:rPr>
              <w:t>8</w:t>
            </w:r>
            <w:r>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64</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64</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5F3C82" w:rsidRDefault="005F3C82"/>
    <w:tbl>
      <w:tblPr>
        <w:tblW w:w="0" w:type="auto"/>
        <w:tblInd w:w="58" w:type="dxa"/>
        <w:tblLayout w:type="fixed"/>
        <w:tblCellMar>
          <w:left w:w="0" w:type="dxa"/>
          <w:right w:w="0" w:type="dxa"/>
        </w:tblCellMar>
        <w:tblLook w:val="04A0" w:firstRow="1" w:lastRow="0" w:firstColumn="1" w:lastColumn="0" w:noHBand="0" w:noVBand="1"/>
      </w:tblPr>
      <w:tblGrid>
        <w:gridCol w:w="646"/>
        <w:gridCol w:w="5245"/>
        <w:gridCol w:w="850"/>
        <w:gridCol w:w="992"/>
        <w:gridCol w:w="567"/>
        <w:gridCol w:w="567"/>
        <w:gridCol w:w="567"/>
        <w:gridCol w:w="709"/>
        <w:gridCol w:w="567"/>
        <w:gridCol w:w="567"/>
        <w:gridCol w:w="567"/>
        <w:gridCol w:w="567"/>
        <w:gridCol w:w="567"/>
        <w:gridCol w:w="567"/>
        <w:gridCol w:w="992"/>
        <w:gridCol w:w="851"/>
      </w:tblGrid>
      <w:tr w:rsidR="005F3C82" w:rsidTr="005F3C82">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lastRenderedPageBreak/>
              <w:t>ID</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5F3C82" w:rsidRDefault="005F3C82" w:rsidP="005F3C82">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5F3C82" w:rsidRDefault="005F3C82" w:rsidP="005F3C8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5F3C82" w:rsidRDefault="005F3C82" w:rsidP="005F3C8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5F3C82" w:rsidRDefault="005F3C82" w:rsidP="005F3C8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5F3C82" w:rsidRDefault="005F3C82" w:rsidP="005F3C82">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5F3C82" w:rsidTr="005F3C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5F3C82" w:rsidRDefault="005F3C82" w:rsidP="005F3C8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color w:val="000000"/>
                <w:sz w:val="14"/>
              </w:rPr>
            </w:pPr>
          </w:p>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5F3C82" w:rsidRDefault="005F3C82" w:rsidP="005F3C82">
            <w:pPr>
              <w:keepNext/>
              <w:keepLines/>
              <w:ind w:left="57" w:right="57"/>
              <w:jc w:val="center"/>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r>
      <w:tr w:rsidR="005F3C82" w:rsidTr="005F3C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r>
      <w:tr w:rsidR="005F3C82" w:rsidTr="005F3C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24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5F3C82" w:rsidRDefault="005F3C82" w:rsidP="005F3C8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61100/CO11</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terciárním vzděláním (ISCED 5 až 8)</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5F3C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3</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3</w:t>
            </w:r>
            <w:r>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5F3C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auto"/>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4</w:t>
            </w:r>
            <w:r w:rsidR="006321F4">
              <w:rPr>
                <w:rFonts w:ascii="Arial" w:eastAsia="Arial" w:hAnsi="Arial" w:cs="Arial"/>
                <w:color w:val="000000"/>
                <w:sz w:val="14"/>
              </w:rPr>
              <w:t>7</w:t>
            </w:r>
            <w:r>
              <w:rPr>
                <w:rFonts w:ascii="Arial" w:eastAsia="Arial" w:hAnsi="Arial" w:cs="Arial"/>
                <w:color w:val="000000"/>
                <w:sz w:val="14"/>
              </w:rPr>
              <w:t>,000</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auto"/>
              <w:bottom w:val="single" w:sz="4" w:space="0" w:color="000000"/>
              <w:right w:val="single" w:sz="4" w:space="0" w:color="auto"/>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auto"/>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4</w:t>
            </w:r>
            <w:r w:rsidR="006321F4">
              <w:rPr>
                <w:rFonts w:ascii="Arial" w:eastAsia="Arial" w:hAnsi="Arial" w:cs="Arial"/>
                <w:color w:val="000000"/>
                <w:sz w:val="14"/>
              </w:rPr>
              <w:t>7</w:t>
            </w:r>
            <w:r>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61200/CO12</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jejichž žádný člen není zaměstnán</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321F4"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41</w:t>
            </w:r>
            <w:r w:rsidR="00697A5C">
              <w:rPr>
                <w:rFonts w:ascii="Arial" w:eastAsia="Arial" w:hAnsi="Arial" w:cs="Arial"/>
                <w:color w:val="000000"/>
                <w:sz w:val="14"/>
              </w:rPr>
              <w:t>,000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12</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r w:rsidR="00697A5C">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29</w:t>
            </w:r>
            <w:r w:rsidR="00697A5C">
              <w:rPr>
                <w:rFonts w:ascii="Arial" w:eastAsia="Arial" w:hAnsi="Arial" w:cs="Arial"/>
                <w:color w:val="000000"/>
                <w:sz w:val="14"/>
              </w:rPr>
              <w:t>,000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61300/CO13</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účastníci žijící v domácnostech, jejichž žádný člen není zaměstnán </w:t>
            </w:r>
            <w:r w:rsidR="00D11CA7">
              <w:rPr>
                <w:rFonts w:ascii="Arial" w:eastAsia="Arial" w:hAnsi="Arial" w:cs="Arial"/>
                <w:color w:val="000000"/>
                <w:sz w:val="14"/>
              </w:rPr>
              <w:br/>
            </w:r>
            <w:r>
              <w:rPr>
                <w:rFonts w:ascii="Arial" w:eastAsia="Arial" w:hAnsi="Arial" w:cs="Arial"/>
                <w:color w:val="000000"/>
                <w:sz w:val="14"/>
              </w:rPr>
              <w:t>a jejichž členy jsou i vyživované děti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61400/CO14</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účastníci žijící v domácnostech, mezi jejímiž členy je pouze jedna dospělá osoba </w:t>
            </w:r>
            <w:r w:rsidR="00D11CA7">
              <w:rPr>
                <w:rFonts w:ascii="Arial" w:eastAsia="Arial" w:hAnsi="Arial" w:cs="Arial"/>
                <w:color w:val="000000"/>
                <w:sz w:val="14"/>
              </w:rPr>
              <w:br/>
            </w:r>
            <w:r>
              <w:rPr>
                <w:rFonts w:ascii="Arial" w:eastAsia="Arial" w:hAnsi="Arial" w:cs="Arial"/>
                <w:color w:val="000000"/>
                <w:sz w:val="14"/>
              </w:rPr>
              <w:t>a jejichž členy jsou i vyživované děti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61500/CO15</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Migranti, lidé, kteří jsou původem cizinci, menšiny (včetně marginalizovaných společenství, jako jsou Romové)**</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29,000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29,000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61600/CO16</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Osoby se zdravotním postižením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43,000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61700/CO17</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Jiné znevýhodněné osoby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17,000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61800/CO18</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Bezdomovci nebo osoby vyloučené z přístupu k bydlení</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61900/CO19</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Lidé z venkovských oblastí</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62000/CO20</w:t>
            </w:r>
          </w:p>
        </w:tc>
        <w:tc>
          <w:tcPr>
            <w:tcW w:w="524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projektů, které zcela nebo zčásti provádějí sociální partneři nebo nevládní organizace</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84,000</w:t>
            </w:r>
          </w:p>
        </w:tc>
        <w:tc>
          <w:tcPr>
            <w:tcW w:w="581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w:t>
            </w:r>
          </w:p>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11CA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24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457252" w:rsidRDefault="00697A5C" w:rsidP="00D11CA7">
      <w:pPr>
        <w:keepNext/>
        <w:spacing w:before="240"/>
        <w:ind w:left="115" w:right="1092"/>
        <w:jc w:val="both"/>
        <w:rPr>
          <w:rFonts w:ascii="Arial" w:eastAsia="Arial" w:hAnsi="Arial" w:cs="Arial"/>
          <w:color w:val="000000"/>
          <w:sz w:val="20"/>
        </w:rPr>
      </w:pPr>
      <w:r>
        <w:rPr>
          <w:rFonts w:ascii="Arial" w:eastAsia="Arial" w:hAnsi="Arial" w:cs="Arial"/>
          <w:color w:val="000000"/>
          <w:sz w:val="20"/>
        </w:rPr>
        <w:lastRenderedPageBreak/>
        <w:t xml:space="preserve">Investiční priorita: 07.4.51 Rovnost žen a mužů ve všech oblastech, a to i pokud jde o přístup k zaměstnání a kariérní postup, sladění pracovního a soukromého života </w:t>
      </w:r>
      <w:r w:rsidR="00D11CA7">
        <w:rPr>
          <w:rFonts w:ascii="Arial" w:eastAsia="Arial" w:hAnsi="Arial" w:cs="Arial"/>
          <w:color w:val="000000"/>
          <w:sz w:val="20"/>
        </w:rPr>
        <w:br/>
      </w:r>
      <w:r>
        <w:rPr>
          <w:rFonts w:ascii="Arial" w:eastAsia="Arial" w:hAnsi="Arial" w:cs="Arial"/>
          <w:color w:val="000000"/>
          <w:sz w:val="20"/>
        </w:rPr>
        <w:t>a podpora stejné odměny za stejnou práci</w:t>
      </w:r>
    </w:p>
    <w:tbl>
      <w:tblPr>
        <w:tblpPr w:leftFromText="141" w:rightFromText="141" w:vertAnchor="text" w:tblpX="58" w:tblpY="1"/>
        <w:tblOverlap w:val="never"/>
        <w:tblW w:w="14737" w:type="dxa"/>
        <w:tblLayout w:type="fixed"/>
        <w:tblCellMar>
          <w:left w:w="0" w:type="dxa"/>
          <w:right w:w="0" w:type="dxa"/>
        </w:tblCellMar>
        <w:tblLook w:val="04A0" w:firstRow="1" w:lastRow="0" w:firstColumn="1" w:lastColumn="0" w:noHBand="0" w:noVBand="1"/>
      </w:tblPr>
      <w:tblGrid>
        <w:gridCol w:w="615"/>
        <w:gridCol w:w="4755"/>
        <w:gridCol w:w="956"/>
        <w:gridCol w:w="955"/>
        <w:gridCol w:w="545"/>
        <w:gridCol w:w="545"/>
        <w:gridCol w:w="545"/>
        <w:gridCol w:w="681"/>
        <w:gridCol w:w="545"/>
        <w:gridCol w:w="545"/>
        <w:gridCol w:w="545"/>
        <w:gridCol w:w="545"/>
        <w:gridCol w:w="545"/>
        <w:gridCol w:w="545"/>
        <w:gridCol w:w="1020"/>
        <w:gridCol w:w="850"/>
      </w:tblGrid>
      <w:tr w:rsidR="00457252" w:rsidTr="00B506DA">
        <w:trPr>
          <w:cantSplit/>
          <w:tblHeader/>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rsidP="00FD17A5">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rsidP="00FD17A5">
            <w:pPr>
              <w:keepNext/>
              <w:keepLines/>
              <w:ind w:left="57" w:right="57"/>
              <w:jc w:val="center"/>
              <w:rPr>
                <w:rFonts w:ascii="Arial" w:eastAsia="Arial" w:hAnsi="Arial" w:cs="Arial"/>
                <w:color w:val="000000"/>
                <w:sz w:val="14"/>
              </w:rPr>
            </w:pPr>
          </w:p>
        </w:tc>
        <w:tc>
          <w:tcPr>
            <w:tcW w:w="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rsidP="00FD17A5">
            <w:pPr>
              <w:keepNext/>
              <w:keepLines/>
              <w:ind w:left="57" w:right="57"/>
              <w:jc w:val="center"/>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rsidP="00FD17A5">
            <w:pPr>
              <w:keepNext/>
              <w:keepLines/>
              <w:ind w:left="57" w:right="57"/>
              <w:jc w:val="center"/>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rsidP="00FD17A5">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B506DA">
        <w:trPr>
          <w:cantSplit/>
          <w:tblHeader/>
        </w:trPr>
        <w:tc>
          <w:tcPr>
            <w:tcW w:w="61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rsidP="00FD17A5">
            <w:pPr>
              <w:keepNext/>
              <w:keepLines/>
              <w:ind w:left="57" w:right="57"/>
              <w:jc w:val="center"/>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pPr>
              <w:keepNext/>
              <w:keepLines/>
              <w:ind w:left="57" w:right="57"/>
              <w:jc w:val="center"/>
              <w:rPr>
                <w:rFonts w:ascii="Arial" w:eastAsia="Arial" w:hAnsi="Arial" w:cs="Arial"/>
                <w:color w:val="000000"/>
                <w:sz w:val="14"/>
              </w:rPr>
            </w:pPr>
          </w:p>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rsidP="00FD17A5">
            <w:pPr>
              <w:keepNext/>
              <w:keepLines/>
              <w:ind w:left="57" w:right="57"/>
              <w:jc w:val="center"/>
              <w:rPr>
                <w:rFonts w:ascii="Arial" w:eastAsia="Arial" w:hAnsi="Arial" w:cs="Arial"/>
                <w:color w:val="000000"/>
                <w:sz w:val="1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r>
      <w:tr w:rsidR="00457252" w:rsidTr="00B506DA">
        <w:trPr>
          <w:cantSplit/>
          <w:tblHeader/>
        </w:trPr>
        <w:tc>
          <w:tcPr>
            <w:tcW w:w="61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0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r>
      <w:tr w:rsidR="00457252" w:rsidTr="00B506DA">
        <w:trPr>
          <w:cantSplit/>
          <w:tblHeader/>
        </w:trPr>
        <w:tc>
          <w:tcPr>
            <w:tcW w:w="61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4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0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FD17A5">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268,000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29,000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29,000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239,000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239,000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60100/CO01</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Nezaměstnaní účastníci, včetně dlouhodobě nezaměstnaných</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18,000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60200/CO02</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Dlouhodobě nezaměstnaní účastníci</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60300/CO03</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60400/CO04</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Neaktivní osoby, které nejsou v procesu vzdělávání nebo odborné přípravy</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60500/CO05</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Zaměstnaní, včetně OSVČ</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239,000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26,000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26,000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213,000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213,000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60600/CO06</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do 25 let</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60700/CO07</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60800/CO08</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kteří jsou nezaměstnaní, a to i dlouhodobě, nebo neaktivní a nejsou v procesu vzdělávání ani odborné přípravy</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60900/CO09</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primárním (ISCED 1) nebo nižším sekundárním (ISCED 2) vzděláním</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21,000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rPr>
          <w:trHeight w:val="160"/>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16,000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61000/CO10</w:t>
            </w:r>
          </w:p>
        </w:tc>
        <w:tc>
          <w:tcPr>
            <w:tcW w:w="47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vyšším sekundárním (ISCED 3) nebo postsekundárním (ISCED 4) vzděláním</w:t>
            </w:r>
          </w:p>
        </w:tc>
        <w:tc>
          <w:tcPr>
            <w:tcW w:w="95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5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58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FD17A5">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98,000</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keepNext/>
              <w:keepLines/>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457252" w:rsidTr="00B506DA">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47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95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87,000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5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pPr>
              <w:tabs>
                <w:tab w:val="left" w:pos="828"/>
              </w:tabs>
              <w:ind w:left="57" w:right="57"/>
              <w:jc w:val="right"/>
              <w:rPr>
                <w:rFonts w:ascii="Arial" w:eastAsia="Arial" w:hAnsi="Arial" w:cs="Arial"/>
                <w:color w:val="000000"/>
                <w:sz w:val="14"/>
              </w:rPr>
            </w:pPr>
          </w:p>
        </w:tc>
        <w:tc>
          <w:tcPr>
            <w:tcW w:w="10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FD17A5">
            <w:pPr>
              <w:tabs>
                <w:tab w:val="left" w:pos="828"/>
              </w:tabs>
              <w:ind w:left="57" w:right="57"/>
              <w:jc w:val="right"/>
              <w:rPr>
                <w:rFonts w:ascii="Arial" w:eastAsia="Arial" w:hAnsi="Arial" w:cs="Arial"/>
                <w:color w:val="000000"/>
                <w:sz w:val="14"/>
              </w:rPr>
            </w:pPr>
            <w:r>
              <w:rPr>
                <w:rFonts w:ascii="Arial" w:eastAsia="Arial" w:hAnsi="Arial" w:cs="Arial"/>
                <w:color w:val="000000"/>
                <w:sz w:val="14"/>
              </w:rPr>
              <w:t>87,000</w:t>
            </w: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rsidP="00FD17A5"/>
        </w:tc>
      </w:tr>
      <w:tr w:rsidR="005F3C82" w:rsidTr="00B506DA">
        <w:trPr>
          <w:gridAfter w:val="15"/>
          <w:wAfter w:w="14122" w:type="dxa"/>
          <w:trHeight w:val="269"/>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3C82" w:rsidRDefault="005F3C82" w:rsidP="00FD17A5"/>
        </w:tc>
      </w:tr>
      <w:tr w:rsidR="005F3C82" w:rsidTr="00B506DA">
        <w:trPr>
          <w:gridAfter w:val="15"/>
          <w:wAfter w:w="14122" w:type="dxa"/>
          <w:trHeight w:val="269"/>
        </w:trPr>
        <w:tc>
          <w:tcPr>
            <w:tcW w:w="61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5F3C82" w:rsidRDefault="005F3C82" w:rsidP="00FD17A5"/>
        </w:tc>
      </w:tr>
    </w:tbl>
    <w:tbl>
      <w:tblPr>
        <w:tblW w:w="0" w:type="auto"/>
        <w:tblInd w:w="-5" w:type="dxa"/>
        <w:tblLayout w:type="fixed"/>
        <w:tblCellMar>
          <w:left w:w="0" w:type="dxa"/>
          <w:right w:w="0" w:type="dxa"/>
        </w:tblCellMar>
        <w:tblLook w:val="04A0" w:firstRow="1" w:lastRow="0" w:firstColumn="1" w:lastColumn="0" w:noHBand="0" w:noVBand="1"/>
      </w:tblPr>
      <w:tblGrid>
        <w:gridCol w:w="709"/>
        <w:gridCol w:w="4678"/>
        <w:gridCol w:w="850"/>
        <w:gridCol w:w="996"/>
        <w:gridCol w:w="567"/>
        <w:gridCol w:w="569"/>
        <w:gridCol w:w="569"/>
        <w:gridCol w:w="569"/>
        <w:gridCol w:w="567"/>
        <w:gridCol w:w="567"/>
        <w:gridCol w:w="567"/>
        <w:gridCol w:w="567"/>
        <w:gridCol w:w="567"/>
        <w:gridCol w:w="567"/>
        <w:gridCol w:w="983"/>
        <w:gridCol w:w="9"/>
        <w:gridCol w:w="841"/>
      </w:tblGrid>
      <w:tr w:rsidR="00B506DA" w:rsidTr="00B506DA">
        <w:trPr>
          <w:cantSplit/>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B506DA" w:rsidRDefault="00B506DA"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B506DA" w:rsidRDefault="00B506DA" w:rsidP="00BB4746">
            <w:pPr>
              <w:keepNext/>
              <w:keepLines/>
              <w:ind w:left="57" w:right="57"/>
              <w:jc w:val="center"/>
              <w:rPr>
                <w:rFonts w:ascii="Arial" w:eastAsia="Arial" w:hAnsi="Arial" w:cs="Arial"/>
                <w:color w:val="000000"/>
                <w:sz w:val="14"/>
              </w:rPr>
            </w:pP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B506DA" w:rsidRDefault="00B506DA" w:rsidP="00BB4746">
            <w:pPr>
              <w:keepNext/>
              <w:keepLines/>
              <w:ind w:left="57" w:right="57"/>
              <w:jc w:val="center"/>
              <w:rPr>
                <w:rFonts w:ascii="Arial" w:eastAsia="Arial" w:hAnsi="Arial" w:cs="Arial"/>
                <w:color w:val="000000"/>
                <w:sz w:val="14"/>
              </w:rPr>
            </w:pP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B506DA" w:rsidRDefault="00B506DA" w:rsidP="00BB4746">
            <w:pPr>
              <w:keepNext/>
              <w:keepLines/>
              <w:ind w:left="57" w:right="57"/>
              <w:jc w:val="center"/>
              <w:rPr>
                <w:rFonts w:ascii="Arial" w:eastAsia="Arial" w:hAnsi="Arial" w:cs="Arial"/>
                <w:color w:val="000000"/>
                <w:sz w:val="14"/>
              </w:rPr>
            </w:pP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B506DA" w:rsidRDefault="00B506DA" w:rsidP="00BB4746">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B506DA" w:rsidRDefault="00B506DA" w:rsidP="00BB4746">
            <w:pPr>
              <w:keepNext/>
              <w:keepLines/>
              <w:ind w:left="57" w:right="57"/>
              <w:jc w:val="center"/>
              <w:rPr>
                <w:rFonts w:ascii="Arial" w:eastAsia="Arial" w:hAnsi="Arial" w:cs="Arial"/>
                <w:color w:val="000000"/>
                <w:sz w:val="1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4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B506DA" w:rsidRDefault="00B506DA" w:rsidP="00BB4746">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B506DA" w:rsidTr="00B506DA">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467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B506DA" w:rsidRDefault="00B506DA" w:rsidP="00BB4746">
            <w:pPr>
              <w:keepNext/>
              <w:keepLines/>
              <w:ind w:left="57" w:right="57"/>
              <w:jc w:val="center"/>
              <w:rPr>
                <w:rFonts w:ascii="Arial" w:eastAsia="Arial" w:hAnsi="Arial" w:cs="Arial"/>
                <w:color w:val="000000"/>
                <w:sz w:val="1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color w:val="000000"/>
                <w:sz w:val="14"/>
              </w:rPr>
            </w:pPr>
          </w:p>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B506DA" w:rsidRDefault="00B506DA" w:rsidP="00BB4746">
            <w:pPr>
              <w:keepNext/>
              <w:keepLines/>
              <w:ind w:left="57" w:right="57"/>
              <w:jc w:val="center"/>
              <w:rPr>
                <w:rFonts w:ascii="Arial" w:eastAsia="Arial" w:hAnsi="Arial" w:cs="Arial"/>
                <w:color w:val="000000"/>
                <w:sz w:val="14"/>
              </w:rPr>
            </w:pPr>
          </w:p>
        </w:tc>
        <w:tc>
          <w:tcPr>
            <w:tcW w:w="84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r>
      <w:tr w:rsidR="00B506DA" w:rsidTr="00B506DA">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467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4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r>
      <w:tr w:rsidR="00B506DA" w:rsidTr="00B506DA">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467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99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4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B506DA" w:rsidRDefault="00B506DA" w:rsidP="00BB4746"/>
        </w:tc>
      </w:tr>
      <w:tr w:rsidR="00457252"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61100/</w:t>
            </w:r>
            <w:r w:rsidR="00B506DA">
              <w:rPr>
                <w:rFonts w:ascii="Arial" w:eastAsia="Arial" w:hAnsi="Arial" w:cs="Arial"/>
                <w:color w:val="000000"/>
                <w:sz w:val="14"/>
              </w:rPr>
              <w:br/>
            </w:r>
            <w:r>
              <w:rPr>
                <w:rFonts w:ascii="Arial" w:eastAsia="Arial" w:hAnsi="Arial" w:cs="Arial"/>
                <w:color w:val="000000"/>
                <w:sz w:val="14"/>
              </w:rPr>
              <w:t>CO11</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terciárním vzděláním (ISCED 5 až 8)</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360C8">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w:t>
            </w:r>
            <w:r w:rsidR="00D360C8">
              <w:rPr>
                <w:rFonts w:ascii="Arial" w:eastAsia="Arial" w:hAnsi="Arial" w:cs="Arial"/>
                <w:color w:val="000000"/>
                <w:sz w:val="14"/>
              </w:rPr>
              <w:t>4</w:t>
            </w:r>
            <w:r>
              <w:rPr>
                <w:rFonts w:ascii="Arial" w:eastAsia="Arial" w:hAnsi="Arial" w:cs="Arial"/>
                <w:color w:val="000000"/>
                <w:sz w:val="14"/>
              </w:rPr>
              <w:t>,000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B506DA">
            <w:pPr>
              <w:tabs>
                <w:tab w:val="left" w:pos="828"/>
              </w:tabs>
              <w:ind w:left="57" w:right="57"/>
              <w:jc w:val="right"/>
              <w:rPr>
                <w:rFonts w:ascii="Arial" w:eastAsia="Arial" w:hAnsi="Arial" w:cs="Arial"/>
                <w:color w:val="000000"/>
                <w:sz w:val="14"/>
              </w:rPr>
            </w:pPr>
            <w:r>
              <w:rPr>
                <w:rFonts w:ascii="Arial" w:eastAsia="Arial" w:hAnsi="Arial" w:cs="Arial"/>
                <w:color w:val="000000"/>
                <w:sz w:val="14"/>
              </w:rPr>
              <w:t>132,00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132,000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61200/</w:t>
            </w:r>
            <w:r w:rsidR="00B506DA">
              <w:rPr>
                <w:rFonts w:ascii="Arial" w:eastAsia="Arial" w:hAnsi="Arial" w:cs="Arial"/>
                <w:color w:val="000000"/>
                <w:sz w:val="14"/>
              </w:rPr>
              <w:br/>
            </w:r>
            <w:r>
              <w:rPr>
                <w:rFonts w:ascii="Arial" w:eastAsia="Arial" w:hAnsi="Arial" w:cs="Arial"/>
                <w:color w:val="000000"/>
                <w:sz w:val="14"/>
              </w:rPr>
              <w:t>CO12</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jejichž žádný člen není zaměstnán</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61300/</w:t>
            </w:r>
            <w:r w:rsidR="00B506DA">
              <w:rPr>
                <w:rFonts w:ascii="Arial" w:eastAsia="Arial" w:hAnsi="Arial" w:cs="Arial"/>
                <w:color w:val="000000"/>
                <w:sz w:val="14"/>
              </w:rPr>
              <w:br/>
            </w:r>
            <w:r>
              <w:rPr>
                <w:rFonts w:ascii="Arial" w:eastAsia="Arial" w:hAnsi="Arial" w:cs="Arial"/>
                <w:color w:val="000000"/>
                <w:sz w:val="14"/>
              </w:rPr>
              <w:t>CO13</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D11CA7">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jejichž žádný člen není zaměstnán a jejichž členy jsou i vyživované děti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61400/</w:t>
            </w:r>
            <w:r w:rsidR="00B506DA">
              <w:rPr>
                <w:rFonts w:ascii="Arial" w:eastAsia="Arial" w:hAnsi="Arial" w:cs="Arial"/>
                <w:color w:val="000000"/>
                <w:sz w:val="14"/>
              </w:rPr>
              <w:br/>
            </w:r>
            <w:r>
              <w:rPr>
                <w:rFonts w:ascii="Arial" w:eastAsia="Arial" w:hAnsi="Arial" w:cs="Arial"/>
                <w:color w:val="000000"/>
                <w:sz w:val="14"/>
              </w:rPr>
              <w:t>CO14</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účastníci žijící v domácnostech, mezi jejímiž členy je pouze jedna dospělá osoba </w:t>
            </w:r>
            <w:r w:rsidR="00D11CA7">
              <w:rPr>
                <w:rFonts w:ascii="Arial" w:eastAsia="Arial" w:hAnsi="Arial" w:cs="Arial"/>
                <w:color w:val="000000"/>
                <w:sz w:val="14"/>
              </w:rPr>
              <w:br/>
            </w:r>
            <w:r>
              <w:rPr>
                <w:rFonts w:ascii="Arial" w:eastAsia="Arial" w:hAnsi="Arial" w:cs="Arial"/>
                <w:color w:val="000000"/>
                <w:sz w:val="14"/>
              </w:rPr>
              <w:t>a jejichž členy jsou i vyživované děti</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382097"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61500/</w:t>
            </w:r>
            <w:r w:rsidR="00B506DA">
              <w:rPr>
                <w:rFonts w:ascii="Arial" w:eastAsia="Arial" w:hAnsi="Arial" w:cs="Arial"/>
                <w:color w:val="000000"/>
                <w:sz w:val="14"/>
              </w:rPr>
              <w:br/>
            </w:r>
            <w:r>
              <w:rPr>
                <w:rFonts w:ascii="Arial" w:eastAsia="Arial" w:hAnsi="Arial" w:cs="Arial"/>
                <w:color w:val="000000"/>
                <w:sz w:val="14"/>
              </w:rPr>
              <w:t>CO15</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Migranti, lidé, kteří jsou původem cizinci, menšiny (včetně marginalizovaných společenství, jako jsou Romové)**</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49382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25,000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61600/</w:t>
            </w:r>
            <w:r w:rsidR="00B506DA">
              <w:rPr>
                <w:rFonts w:ascii="Arial" w:eastAsia="Arial" w:hAnsi="Arial" w:cs="Arial"/>
                <w:color w:val="000000"/>
                <w:sz w:val="14"/>
              </w:rPr>
              <w:br/>
            </w:r>
            <w:r>
              <w:rPr>
                <w:rFonts w:ascii="Arial" w:eastAsia="Arial" w:hAnsi="Arial" w:cs="Arial"/>
                <w:color w:val="000000"/>
                <w:sz w:val="14"/>
              </w:rPr>
              <w:t>CO16</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Osoby se zdravotním postižením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49382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61700/</w:t>
            </w:r>
            <w:r w:rsidR="00B506DA">
              <w:rPr>
                <w:rFonts w:ascii="Arial" w:eastAsia="Arial" w:hAnsi="Arial" w:cs="Arial"/>
                <w:color w:val="000000"/>
                <w:sz w:val="14"/>
              </w:rPr>
              <w:br/>
            </w:r>
            <w:r>
              <w:rPr>
                <w:rFonts w:ascii="Arial" w:eastAsia="Arial" w:hAnsi="Arial" w:cs="Arial"/>
                <w:color w:val="000000"/>
                <w:sz w:val="14"/>
              </w:rPr>
              <w:t>CO17</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Jiné znevýhodněné osoby</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142,000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49382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B506DA">
            <w:pPr>
              <w:tabs>
                <w:tab w:val="left" w:pos="828"/>
              </w:tabs>
              <w:ind w:left="57" w:right="57"/>
              <w:jc w:val="right"/>
              <w:rPr>
                <w:rFonts w:ascii="Arial" w:eastAsia="Arial" w:hAnsi="Arial" w:cs="Arial"/>
                <w:color w:val="000000"/>
                <w:sz w:val="14"/>
              </w:rPr>
            </w:pPr>
            <w:r>
              <w:rPr>
                <w:rFonts w:ascii="Arial" w:eastAsia="Arial" w:hAnsi="Arial" w:cs="Arial"/>
                <w:color w:val="000000"/>
                <w:sz w:val="14"/>
              </w:rPr>
              <w:t>135,00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135,000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61800/</w:t>
            </w:r>
            <w:r w:rsidR="00B506DA">
              <w:rPr>
                <w:rFonts w:ascii="Arial" w:eastAsia="Arial" w:hAnsi="Arial" w:cs="Arial"/>
                <w:color w:val="000000"/>
                <w:sz w:val="14"/>
              </w:rPr>
              <w:br/>
            </w:r>
            <w:r>
              <w:rPr>
                <w:rFonts w:ascii="Arial" w:eastAsia="Arial" w:hAnsi="Arial" w:cs="Arial"/>
                <w:color w:val="000000"/>
                <w:sz w:val="14"/>
              </w:rPr>
              <w:t>CO18</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Bezdomovci nebo osoby vyloučené z přístupu k bydlení</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61900/</w:t>
            </w:r>
            <w:r w:rsidR="00B506DA">
              <w:rPr>
                <w:rFonts w:ascii="Arial" w:eastAsia="Arial" w:hAnsi="Arial" w:cs="Arial"/>
                <w:color w:val="000000"/>
                <w:sz w:val="14"/>
              </w:rPr>
              <w:br/>
            </w:r>
            <w:r>
              <w:rPr>
                <w:rFonts w:ascii="Arial" w:eastAsia="Arial" w:hAnsi="Arial" w:cs="Arial"/>
                <w:color w:val="000000"/>
                <w:sz w:val="14"/>
              </w:rPr>
              <w:t>CO19</w:t>
            </w:r>
          </w:p>
        </w:tc>
        <w:tc>
          <w:tcPr>
            <w:tcW w:w="467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Lidé z venkovských oblastí</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B506DA">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67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bl>
    <w:p w:rsidR="00457252" w:rsidRDefault="00697A5C" w:rsidP="00844251">
      <w:pPr>
        <w:keepNext/>
        <w:spacing w:before="240"/>
        <w:ind w:left="115" w:right="951"/>
        <w:jc w:val="both"/>
        <w:rPr>
          <w:rFonts w:ascii="Arial" w:eastAsia="Arial" w:hAnsi="Arial" w:cs="Arial"/>
          <w:color w:val="000000"/>
          <w:sz w:val="20"/>
        </w:rPr>
      </w:pPr>
      <w:r>
        <w:rPr>
          <w:rFonts w:ascii="Arial" w:eastAsia="Arial" w:hAnsi="Arial" w:cs="Arial"/>
          <w:color w:val="000000"/>
          <w:sz w:val="20"/>
        </w:rPr>
        <w:lastRenderedPageBreak/>
        <w:t xml:space="preserve">Investiční priorita: 07.4.68 Omezování a prevence předčasného ukončování školní docházky a podpora rovného přístupu ke kvalitním programům předškolního rozvoje, </w:t>
      </w:r>
      <w:r w:rsidR="00844251">
        <w:rPr>
          <w:rFonts w:ascii="Arial" w:eastAsia="Arial" w:hAnsi="Arial" w:cs="Arial"/>
          <w:color w:val="000000"/>
          <w:sz w:val="20"/>
        </w:rPr>
        <w:br/>
      </w:r>
      <w:r>
        <w:rPr>
          <w:rFonts w:ascii="Arial" w:eastAsia="Arial" w:hAnsi="Arial" w:cs="Arial"/>
          <w:color w:val="000000"/>
          <w:sz w:val="20"/>
        </w:rPr>
        <w:t>k primárnímu a sekundárnímu vzdělávání, možnostem formálního a neformálního vzdělávání, které umožňuje zpětné začlenění do procesu vzdělávání a odborné přípravy</w:t>
      </w:r>
    </w:p>
    <w:tbl>
      <w:tblPr>
        <w:tblW w:w="0" w:type="auto"/>
        <w:tblInd w:w="-5" w:type="dxa"/>
        <w:tblLayout w:type="fixed"/>
        <w:tblCellMar>
          <w:left w:w="0" w:type="dxa"/>
          <w:right w:w="0" w:type="dxa"/>
        </w:tblCellMar>
        <w:tblLook w:val="04A0" w:firstRow="1" w:lastRow="0" w:firstColumn="1" w:lastColumn="0" w:noHBand="0" w:noVBand="1"/>
      </w:tblPr>
      <w:tblGrid>
        <w:gridCol w:w="709"/>
        <w:gridCol w:w="4961"/>
        <w:gridCol w:w="851"/>
        <w:gridCol w:w="997"/>
        <w:gridCol w:w="572"/>
        <w:gridCol w:w="567"/>
        <w:gridCol w:w="567"/>
        <w:gridCol w:w="567"/>
        <w:gridCol w:w="567"/>
        <w:gridCol w:w="567"/>
        <w:gridCol w:w="567"/>
        <w:gridCol w:w="567"/>
        <w:gridCol w:w="568"/>
        <w:gridCol w:w="553"/>
        <w:gridCol w:w="14"/>
        <w:gridCol w:w="1120"/>
        <w:gridCol w:w="854"/>
      </w:tblGrid>
      <w:tr w:rsidR="00382097" w:rsidTr="00DE04B3">
        <w:trPr>
          <w:cantSplit/>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pro cíl nepovinné)</w:t>
            </w:r>
          </w:p>
        </w:tc>
        <w:tc>
          <w:tcPr>
            <w:tcW w:w="5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Rozdělení podle pohlaví je nepovinné</w:t>
            </w:r>
          </w:p>
        </w:tc>
      </w:tr>
      <w:tr w:rsidR="00457252"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p w:rsidR="00457252" w:rsidRDefault="00457252">
            <w:pPr>
              <w:keepNext/>
              <w:keepLines/>
              <w:ind w:left="57" w:right="57"/>
              <w:jc w:val="center"/>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p w:rsidR="00457252" w:rsidRDefault="00457252">
            <w:pPr>
              <w:keepNext/>
              <w:keepLines/>
              <w:ind w:left="57" w:right="57"/>
              <w:jc w:val="center"/>
              <w:rPr>
                <w:rFonts w:ascii="Arial" w:eastAsia="Arial" w:hAnsi="Arial" w:cs="Arial"/>
                <w:color w:val="000000"/>
                <w:sz w:val="14"/>
              </w:rPr>
            </w:pPr>
          </w:p>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382097"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1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382097"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12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60100/</w:t>
            </w:r>
            <w:r w:rsidR="00382097">
              <w:rPr>
                <w:rFonts w:ascii="Arial" w:eastAsia="Arial" w:hAnsi="Arial" w:cs="Arial"/>
                <w:color w:val="000000"/>
                <w:sz w:val="14"/>
              </w:rPr>
              <w:br/>
            </w:r>
            <w:r>
              <w:rPr>
                <w:rFonts w:ascii="Arial" w:eastAsia="Arial" w:hAnsi="Arial" w:cs="Arial"/>
                <w:color w:val="000000"/>
                <w:sz w:val="14"/>
              </w:rPr>
              <w:t>CO01</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Nezaměstnaní účastníci, včetně dlouhodobě nezaměstnaných</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60200/</w:t>
            </w:r>
            <w:r w:rsidR="00382097">
              <w:rPr>
                <w:rFonts w:ascii="Arial" w:eastAsia="Arial" w:hAnsi="Arial" w:cs="Arial"/>
                <w:color w:val="000000"/>
                <w:sz w:val="14"/>
              </w:rPr>
              <w:br/>
            </w:r>
            <w:r>
              <w:rPr>
                <w:rFonts w:ascii="Arial" w:eastAsia="Arial" w:hAnsi="Arial" w:cs="Arial"/>
                <w:color w:val="000000"/>
                <w:sz w:val="14"/>
              </w:rPr>
              <w:t>CO02</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Dlouhodobě nezaměstnaní účastníci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382097"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60300/</w:t>
            </w:r>
            <w:r>
              <w:rPr>
                <w:rFonts w:ascii="Arial" w:eastAsia="Arial" w:hAnsi="Arial" w:cs="Arial"/>
                <w:color w:val="000000"/>
                <w:sz w:val="14"/>
              </w:rPr>
              <w:br/>
              <w:t>CO03</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Neaktivní účastníci</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1 320,000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6321F4"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382097"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60400/</w:t>
            </w:r>
            <w:r w:rsidR="00382097">
              <w:rPr>
                <w:rFonts w:ascii="Arial" w:eastAsia="Arial" w:hAnsi="Arial" w:cs="Arial"/>
                <w:color w:val="000000"/>
                <w:sz w:val="14"/>
              </w:rPr>
              <w:br/>
            </w:r>
            <w:r>
              <w:rPr>
                <w:rFonts w:ascii="Arial" w:eastAsia="Arial" w:hAnsi="Arial" w:cs="Arial"/>
                <w:color w:val="000000"/>
                <w:sz w:val="14"/>
              </w:rPr>
              <w:t>CO04</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Neaktivní osoby, které nejsou v procesu vzdělávání nebo odborné přípravy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382097"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60500/</w:t>
            </w:r>
            <w:r w:rsidR="001C658B">
              <w:rPr>
                <w:rFonts w:ascii="Arial" w:eastAsia="Arial" w:hAnsi="Arial" w:cs="Arial"/>
                <w:color w:val="000000"/>
                <w:sz w:val="14"/>
              </w:rPr>
              <w:br/>
            </w:r>
            <w:r>
              <w:rPr>
                <w:rFonts w:ascii="Arial" w:eastAsia="Arial" w:hAnsi="Arial" w:cs="Arial"/>
                <w:color w:val="000000"/>
                <w:sz w:val="14"/>
              </w:rPr>
              <w:t>CO05</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Zaměstnaní, včetně OSVČ</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5 715,000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382097" w:rsidRDefault="00382097" w:rsidP="0038209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6321F4"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pPr>
              <w:tabs>
                <w:tab w:val="left" w:pos="828"/>
              </w:tabs>
              <w:ind w:left="57" w:right="57"/>
              <w:jc w:val="right"/>
              <w:rPr>
                <w:rFonts w:ascii="Arial" w:eastAsia="Arial" w:hAnsi="Arial" w:cs="Arial"/>
                <w:color w:val="000000"/>
                <w:sz w:val="14"/>
              </w:rPr>
            </w:pPr>
            <w:r>
              <w:rPr>
                <w:rFonts w:ascii="Arial" w:eastAsia="Arial" w:hAnsi="Arial" w:cs="Arial"/>
                <w:color w:val="000000"/>
                <w:sz w:val="14"/>
              </w:rPr>
              <w:t>31,000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382097" w:rsidRDefault="00382097" w:rsidP="00382097"/>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60600/</w:t>
            </w:r>
            <w:r w:rsidR="00382097">
              <w:rPr>
                <w:rFonts w:ascii="Arial" w:eastAsia="Arial" w:hAnsi="Arial" w:cs="Arial"/>
                <w:color w:val="000000"/>
                <w:sz w:val="14"/>
              </w:rPr>
              <w:br/>
            </w:r>
            <w:r>
              <w:rPr>
                <w:rFonts w:ascii="Arial" w:eastAsia="Arial" w:hAnsi="Arial" w:cs="Arial"/>
                <w:color w:val="000000"/>
                <w:sz w:val="14"/>
              </w:rPr>
              <w:t>CO06</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do 25 let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60700/</w:t>
            </w:r>
            <w:r w:rsidR="00382097">
              <w:rPr>
                <w:rFonts w:ascii="Arial" w:eastAsia="Arial" w:hAnsi="Arial" w:cs="Arial"/>
                <w:color w:val="000000"/>
                <w:sz w:val="14"/>
              </w:rPr>
              <w:br/>
            </w:r>
            <w:r>
              <w:rPr>
                <w:rFonts w:ascii="Arial" w:eastAsia="Arial" w:hAnsi="Arial" w:cs="Arial"/>
                <w:color w:val="000000"/>
                <w:sz w:val="14"/>
              </w:rPr>
              <w:t>CO07</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60800/</w:t>
            </w:r>
            <w:r w:rsidR="00382097">
              <w:rPr>
                <w:rFonts w:ascii="Arial" w:eastAsia="Arial" w:hAnsi="Arial" w:cs="Arial"/>
                <w:color w:val="000000"/>
                <w:sz w:val="14"/>
              </w:rPr>
              <w:br/>
            </w:r>
            <w:r>
              <w:rPr>
                <w:rFonts w:ascii="Arial" w:eastAsia="Arial" w:hAnsi="Arial" w:cs="Arial"/>
                <w:color w:val="000000"/>
                <w:sz w:val="14"/>
              </w:rPr>
              <w:t>CO08</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ve věku nad 54 let, kteří jsou nezaměstnaní, a to i dlouhodobě, nebo neaktivní a nejsou v procesu vzdělávání ani odborné přípravy</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6"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1C658B"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60900/</w:t>
            </w:r>
            <w:r>
              <w:rPr>
                <w:rFonts w:ascii="Arial" w:eastAsia="Arial" w:hAnsi="Arial" w:cs="Arial"/>
                <w:color w:val="000000"/>
                <w:sz w:val="14"/>
              </w:rPr>
              <w:br/>
              <w:t>CO09</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primárním (ISCED 1) nebo nižším sekundárním (ISCED 2) vzděláním</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6 351,000</w:t>
            </w:r>
          </w:p>
        </w:tc>
        <w:tc>
          <w:tcPr>
            <w:tcW w:w="566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1C658B" w:rsidRDefault="001C658B" w:rsidP="00E92182">
            <w:pPr>
              <w:keepNext/>
              <w:keepLines/>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1C658B" w:rsidRDefault="001C658B"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6321F4"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r>
      <w:tr w:rsidR="001C658B"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61000/</w:t>
            </w:r>
            <w:r>
              <w:rPr>
                <w:rFonts w:ascii="Arial" w:eastAsia="Arial" w:hAnsi="Arial" w:cs="Arial"/>
                <w:color w:val="000000"/>
                <w:sz w:val="14"/>
              </w:rPr>
              <w:br/>
              <w:t>CO10</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vyšším sekundárním (ISCED 3) nebo postsekundárním (ISCED 4) vzděláním</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8 000,000</w:t>
            </w:r>
          </w:p>
        </w:tc>
        <w:tc>
          <w:tcPr>
            <w:tcW w:w="566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1C658B" w:rsidRDefault="001C658B" w:rsidP="00E92182">
            <w:pPr>
              <w:keepNext/>
              <w:keepLines/>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1C658B" w:rsidRDefault="001C658B"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6321F4"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keepNext/>
              <w:keepLines/>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r>
      <w:tr w:rsidR="001C658B"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C658B" w:rsidRDefault="001C658B" w:rsidP="00E92182"/>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61100/</w:t>
            </w:r>
            <w:r w:rsidR="00382097">
              <w:rPr>
                <w:rFonts w:ascii="Arial" w:eastAsia="Arial" w:hAnsi="Arial" w:cs="Arial"/>
                <w:color w:val="000000"/>
                <w:sz w:val="14"/>
              </w:rPr>
              <w:br/>
            </w:r>
            <w:r>
              <w:rPr>
                <w:rFonts w:ascii="Arial" w:eastAsia="Arial" w:hAnsi="Arial" w:cs="Arial"/>
                <w:color w:val="000000"/>
                <w:sz w:val="14"/>
              </w:rPr>
              <w:t>CO11</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s ukončeným terciárním vzděláním (ISCED 5 až 8)</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9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62" w:type="dxa"/>
            <w:gridSpan w:val="10"/>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6321F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9</w:t>
            </w:r>
            <w:r>
              <w:rPr>
                <w:rFonts w:ascii="Arial" w:eastAsia="Arial" w:hAnsi="Arial" w:cs="Arial"/>
                <w:color w:val="000000"/>
                <w:sz w:val="14"/>
              </w:rPr>
              <w:t>,000</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r w:rsidR="00457252"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49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57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8</w:t>
            </w:r>
            <w:r>
              <w:rPr>
                <w:rFonts w:ascii="Arial" w:eastAsia="Arial" w:hAnsi="Arial" w:cs="Arial"/>
                <w:color w:val="000000"/>
                <w:sz w:val="14"/>
              </w:rPr>
              <w:t>,000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55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rsidP="006321F4">
            <w:pPr>
              <w:tabs>
                <w:tab w:val="left" w:pos="828"/>
              </w:tabs>
              <w:ind w:left="57" w:right="57"/>
              <w:jc w:val="right"/>
              <w:rPr>
                <w:rFonts w:ascii="Arial" w:eastAsia="Arial" w:hAnsi="Arial" w:cs="Arial"/>
                <w:color w:val="000000"/>
                <w:sz w:val="14"/>
              </w:rPr>
            </w:pPr>
            <w:r>
              <w:rPr>
                <w:rFonts w:ascii="Arial" w:eastAsia="Arial" w:hAnsi="Arial" w:cs="Arial"/>
                <w:color w:val="000000"/>
                <w:sz w:val="14"/>
              </w:rPr>
              <w:t>1</w:t>
            </w:r>
            <w:r w:rsidR="006321F4">
              <w:rPr>
                <w:rFonts w:ascii="Arial" w:eastAsia="Arial" w:hAnsi="Arial" w:cs="Arial"/>
                <w:color w:val="000000"/>
                <w:sz w:val="14"/>
              </w:rPr>
              <w:t>8</w:t>
            </w:r>
            <w:r>
              <w:rPr>
                <w:rFonts w:ascii="Arial" w:eastAsia="Arial" w:hAnsi="Arial" w:cs="Arial"/>
                <w:color w:val="000000"/>
                <w:sz w:val="14"/>
              </w:rPr>
              <w:t>,000</w:t>
            </w:r>
          </w:p>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r>
    </w:tbl>
    <w:p w:rsidR="00E92182" w:rsidRDefault="00E92182"/>
    <w:tbl>
      <w:tblPr>
        <w:tblW w:w="0" w:type="auto"/>
        <w:tblInd w:w="-5" w:type="dxa"/>
        <w:tblLayout w:type="fixed"/>
        <w:tblCellMar>
          <w:left w:w="0" w:type="dxa"/>
          <w:right w:w="0" w:type="dxa"/>
        </w:tblCellMar>
        <w:tblLook w:val="04A0" w:firstRow="1" w:lastRow="0" w:firstColumn="1" w:lastColumn="0" w:noHBand="0" w:noVBand="1"/>
      </w:tblPr>
      <w:tblGrid>
        <w:gridCol w:w="709"/>
        <w:gridCol w:w="3119"/>
        <w:gridCol w:w="1561"/>
        <w:gridCol w:w="849"/>
        <w:gridCol w:w="714"/>
        <w:gridCol w:w="714"/>
        <w:gridCol w:w="715"/>
        <w:gridCol w:w="709"/>
        <w:gridCol w:w="714"/>
        <w:gridCol w:w="709"/>
        <w:gridCol w:w="10"/>
        <w:gridCol w:w="699"/>
        <w:gridCol w:w="708"/>
        <w:gridCol w:w="709"/>
        <w:gridCol w:w="714"/>
        <w:gridCol w:w="1281"/>
        <w:gridCol w:w="713"/>
      </w:tblGrid>
      <w:tr w:rsidR="00DE04B3" w:rsidTr="00DE04B3">
        <w:trPr>
          <w:cantSplit/>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DE04B3" w:rsidRDefault="00DE04B3" w:rsidP="00BB4746">
            <w:pPr>
              <w:keepNext/>
              <w:keepLines/>
              <w:ind w:left="57" w:right="57"/>
              <w:jc w:val="center"/>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DE04B3" w:rsidRDefault="00DE04B3" w:rsidP="00BB4746">
            <w:pPr>
              <w:keepNext/>
              <w:keepLines/>
              <w:ind w:left="57" w:right="57"/>
              <w:jc w:val="center"/>
              <w:rPr>
                <w:rFonts w:ascii="Arial" w:eastAsia="Arial" w:hAnsi="Arial" w:cs="Arial"/>
                <w:color w:val="000000"/>
                <w:sz w:val="14"/>
              </w:rPr>
            </w:pPr>
          </w:p>
        </w:tc>
        <w:tc>
          <w:tcPr>
            <w:tcW w:w="7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DE04B3" w:rsidRDefault="00DE04B3" w:rsidP="00BB4746">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DE04B3" w:rsidRDefault="00DE04B3" w:rsidP="00BB4746">
            <w:pPr>
              <w:keepNext/>
              <w:keepLines/>
              <w:ind w:left="57" w:right="57"/>
              <w:jc w:val="center"/>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DE04B3" w:rsidRDefault="00DE04B3" w:rsidP="00BB4746">
            <w:pPr>
              <w:keepNext/>
              <w:keepLines/>
              <w:ind w:left="57" w:right="57"/>
              <w:jc w:val="center"/>
              <w:rPr>
                <w:rFonts w:ascii="Arial" w:eastAsia="Arial" w:hAnsi="Arial" w:cs="Arial"/>
                <w:color w:val="000000"/>
                <w:sz w:val="14"/>
              </w:rPr>
            </w:pP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DE04B3" w:rsidRDefault="00DE04B3" w:rsidP="00BB4746">
            <w:pPr>
              <w:keepNext/>
              <w:keepLines/>
              <w:ind w:left="57" w:right="57"/>
              <w:jc w:val="center"/>
              <w:rPr>
                <w:rFonts w:ascii="Arial" w:eastAsia="Arial" w:hAnsi="Arial" w:cs="Arial"/>
                <w:color w:val="000000"/>
                <w:sz w:val="14"/>
              </w:rPr>
            </w:pPr>
          </w:p>
        </w:tc>
        <w:tc>
          <w:tcPr>
            <w:tcW w:w="6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DE04B3" w:rsidRDefault="00DE04B3" w:rsidP="00BB4746">
            <w:pPr>
              <w:keepNext/>
              <w:keepLines/>
              <w:ind w:left="57" w:right="57"/>
              <w:jc w:val="center"/>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DE04B3" w:rsidRDefault="00DE04B3" w:rsidP="00BB4746">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DE04B3" w:rsidRDefault="00DE04B3" w:rsidP="00BB4746">
            <w:pPr>
              <w:keepNext/>
              <w:keepLines/>
              <w:ind w:left="57" w:right="57"/>
              <w:jc w:val="center"/>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color w:val="000000"/>
                <w:sz w:val="14"/>
              </w:rPr>
            </w:pP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DE04B3" w:rsidRDefault="00DE04B3" w:rsidP="00BB4746">
            <w:pPr>
              <w:keepNext/>
              <w:keepLines/>
              <w:ind w:left="57" w:right="57"/>
              <w:jc w:val="center"/>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71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DE04B3"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28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DE04B3"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84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6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28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713"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r>
      <w:tr w:rsidR="00DE04B3"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2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DE04B3" w:rsidTr="00DE04B3">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9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2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DE04B3" w:rsidRDefault="00DE04B3" w:rsidP="00BB4746">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457252"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61200/</w:t>
            </w:r>
            <w:r w:rsidR="00382097">
              <w:rPr>
                <w:rFonts w:ascii="Arial" w:eastAsia="Arial" w:hAnsi="Arial" w:cs="Arial"/>
                <w:color w:val="000000"/>
                <w:sz w:val="14"/>
              </w:rPr>
              <w:br/>
            </w:r>
            <w:r>
              <w:rPr>
                <w:rFonts w:ascii="Arial" w:eastAsia="Arial" w:hAnsi="Arial" w:cs="Arial"/>
                <w:color w:val="000000"/>
                <w:sz w:val="14"/>
              </w:rPr>
              <w:t>CO12</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jejichž žádný člen není zaměstnán</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D11CA7">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BB4746">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61300/</w:t>
            </w:r>
            <w:r>
              <w:rPr>
                <w:rFonts w:ascii="Arial" w:eastAsia="Arial" w:hAnsi="Arial" w:cs="Arial"/>
                <w:color w:val="000000"/>
                <w:sz w:val="14"/>
              </w:rPr>
              <w:br/>
              <w:t>CO13</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jejichž žádný člen není zaměstnán a jejichž členy jsou i vyživované děti</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BB4746">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61400/</w:t>
            </w:r>
            <w:r>
              <w:rPr>
                <w:rFonts w:ascii="Arial" w:eastAsia="Arial" w:hAnsi="Arial" w:cs="Arial"/>
                <w:color w:val="000000"/>
                <w:sz w:val="14"/>
              </w:rPr>
              <w:br/>
              <w:t>CO14</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účastníci žijící v domácnostech, mezi jejímiž členy je pouze jedna dospělá osoba a jejichž členy jsou i vyživované děti</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61500/</w:t>
            </w:r>
            <w:r>
              <w:rPr>
                <w:rFonts w:ascii="Arial" w:eastAsia="Arial" w:hAnsi="Arial" w:cs="Arial"/>
                <w:color w:val="000000"/>
                <w:sz w:val="14"/>
              </w:rPr>
              <w:br/>
              <w:t>CO15</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Migranti, lidé, kteří jsou původem cizinci, menšiny (včetně marginalizovaných společenství, jako jsou Romové)**</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BB4746">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61600/</w:t>
            </w:r>
            <w:r>
              <w:rPr>
                <w:rFonts w:ascii="Arial" w:eastAsia="Arial" w:hAnsi="Arial" w:cs="Arial"/>
                <w:color w:val="000000"/>
                <w:sz w:val="14"/>
              </w:rPr>
              <w:br/>
              <w:t>CO16</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Osoby se zdravotním postižením</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61700/</w:t>
            </w:r>
            <w:r>
              <w:rPr>
                <w:rFonts w:ascii="Arial" w:eastAsia="Arial" w:hAnsi="Arial" w:cs="Arial"/>
                <w:color w:val="000000"/>
                <w:sz w:val="14"/>
              </w:rPr>
              <w:br/>
              <w:t>CO17</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Jiné znevýhodněné osoby</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1 000,000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6,000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BB4746">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61800/</w:t>
            </w:r>
            <w:r>
              <w:rPr>
                <w:rFonts w:ascii="Arial" w:eastAsia="Arial" w:hAnsi="Arial" w:cs="Arial"/>
                <w:color w:val="000000"/>
                <w:sz w:val="14"/>
              </w:rPr>
              <w:br/>
              <w:t>CO18</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Bezdomovci nebo osoby vyloučené z přístupu k bydlení</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BB4746">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61900/</w:t>
            </w:r>
            <w:r>
              <w:rPr>
                <w:rFonts w:ascii="Arial" w:eastAsia="Arial" w:hAnsi="Arial" w:cs="Arial"/>
                <w:color w:val="000000"/>
                <w:sz w:val="14"/>
              </w:rPr>
              <w:br/>
              <w:t>CO19</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Lidé z venkovských oblastí</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15" w:type="dxa"/>
            <w:gridSpan w:val="11"/>
            <w:tcBorders>
              <w:top w:val="single" w:sz="4" w:space="0" w:color="000000"/>
              <w:left w:val="single" w:sz="4" w:space="0" w:color="000000"/>
              <w:bottom w:val="single" w:sz="4" w:space="0" w:color="000000"/>
              <w:right w:val="single" w:sz="4" w:space="0" w:color="000000"/>
            </w:tcBorders>
            <w:shd w:val="clear" w:color="auto" w:fill="FFFFFF"/>
            <w:vAlign w:val="bottom"/>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000000"/>
              <w:left w:val="single" w:sz="4" w:space="0" w:color="000000"/>
              <w:bottom w:val="single" w:sz="4" w:space="0" w:color="auto"/>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keepNext/>
              <w:keepLines/>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r w:rsidR="00DE04B3" w:rsidTr="00DE04B3">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84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5" w:type="dxa"/>
            <w:tcBorders>
              <w:top w:val="single" w:sz="4" w:space="0" w:color="auto"/>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DE04B3" w:rsidRDefault="00DE04B3" w:rsidP="00DE04B3"/>
        </w:tc>
      </w:tr>
    </w:tbl>
    <w:p w:rsidR="00FD17A5" w:rsidRDefault="00FD17A5">
      <w:pPr>
        <w:ind w:left="820" w:right="529" w:hanging="705"/>
        <w:jc w:val="both"/>
        <w:rPr>
          <w:rFonts w:ascii="Arial" w:eastAsia="Arial" w:hAnsi="Arial" w:cs="Arial"/>
          <w:color w:val="000000"/>
          <w:sz w:val="16"/>
        </w:rPr>
      </w:pPr>
    </w:p>
    <w:p w:rsidR="00457252" w:rsidRDefault="00697A5C">
      <w:pPr>
        <w:ind w:left="820" w:right="529" w:hanging="705"/>
        <w:jc w:val="both"/>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 xml:space="preserve">Odhad založený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reprezentativním vzorku. Členské státy mají dvě možnosti vykázání údajů. Možnost č. 1: Minimálním požadavkem je poskytnutí údajů jednou ve výroční zprávě o implementaci v roce 2017. </w:t>
      </w:r>
      <w:r w:rsidR="00844251">
        <w:rPr>
          <w:rFonts w:ascii="Arial" w:eastAsia="Arial" w:hAnsi="Arial" w:cs="Arial"/>
          <w:color w:val="000000"/>
          <w:sz w:val="16"/>
        </w:rPr>
        <w:br/>
      </w:r>
      <w:r>
        <w:rPr>
          <w:rFonts w:ascii="Arial" w:eastAsia="Arial" w:hAnsi="Arial" w:cs="Arial"/>
          <w:color w:val="000000"/>
          <w:sz w:val="16"/>
        </w:rPr>
        <w:t>V případě této možnosti jsou kumulativní hodnoty vykázány ve sloupci „Kumulativní hodnota</w:t>
      </w:r>
      <w:proofErr w:type="gramStart"/>
      <w:r>
        <w:rPr>
          <w:rFonts w:ascii="Arial" w:eastAsia="Arial" w:hAnsi="Arial" w:cs="Arial"/>
          <w:color w:val="000000"/>
          <w:sz w:val="16"/>
        </w:rPr>
        <w:t>“ ve</w:t>
      </w:r>
      <w:proofErr w:type="gramEnd"/>
      <w:r>
        <w:rPr>
          <w:rFonts w:ascii="Arial" w:eastAsia="Arial" w:hAnsi="Arial" w:cs="Arial"/>
          <w:color w:val="000000"/>
          <w:sz w:val="16"/>
        </w:rPr>
        <w:t xml:space="preserve"> výroční zprávě o implementaci v roce 2017. Možnost č. 2: Roční hodnoty jsou poskytnuty pro každý rok.</w:t>
      </w:r>
    </w:p>
    <w:p w:rsidR="00457252" w:rsidRDefault="00697A5C">
      <w:pPr>
        <w:ind w:left="820" w:right="529" w:hanging="705"/>
        <w:jc w:val="both"/>
        <w:rPr>
          <w:rFonts w:ascii="Arial" w:eastAsia="Arial" w:hAnsi="Arial" w:cs="Arial"/>
          <w:color w:val="000000"/>
          <w:sz w:val="16"/>
        </w:rPr>
      </w:pPr>
      <w:r>
        <w:rPr>
          <w:rFonts w:ascii="Arial" w:eastAsia="Arial" w:hAnsi="Arial" w:cs="Arial"/>
          <w:color w:val="000000"/>
          <w:sz w:val="16"/>
        </w:rPr>
        <w:t>2</w:t>
      </w:r>
      <w:r>
        <w:rPr>
          <w:rFonts w:ascii="Arial" w:eastAsia="Arial" w:hAnsi="Arial" w:cs="Arial"/>
          <w:color w:val="000000"/>
          <w:sz w:val="16"/>
        </w:rPr>
        <w:tab/>
        <w:t>Úhrnný počet účastníků zahrnuje účastníky s úplnými záznamy (osobních necitlivých údajů) i účastníky s neúplnými záznamy (osobních necitlivých údajů). Celkový počet účastníků se v systému SFC2014 vypočítá na základě těchto tří společných ukazatelů výstupů: „nezaměstnaní, včetně dlouhodobě nezaměstnaných“, „neaktivní</w:t>
      </w:r>
      <w:proofErr w:type="gramStart"/>
      <w:r>
        <w:rPr>
          <w:rFonts w:ascii="Arial" w:eastAsia="Arial" w:hAnsi="Arial" w:cs="Arial"/>
          <w:color w:val="000000"/>
          <w:sz w:val="16"/>
        </w:rPr>
        <w:t>“ a</w:t>
      </w:r>
      <w:proofErr w:type="gramEnd"/>
      <w:r>
        <w:rPr>
          <w:rFonts w:ascii="Arial" w:eastAsia="Arial" w:hAnsi="Arial" w:cs="Arial"/>
          <w:color w:val="000000"/>
          <w:sz w:val="16"/>
        </w:rPr>
        <w:t xml:space="preserve"> „zaměstnaní, včetně osob samostatně výdělečně činných“. Tento celkový počet zahrnuje pouze účastníky s úplnými záznamy údajů, včetně všech osobních necitlivých údajů. V úhrnném počtu účastníků musí členské státy uvést všechny účastníky programů podpořených z ESF, včetně účastníků </w:t>
      </w:r>
      <w:r w:rsidR="00844251">
        <w:rPr>
          <w:rFonts w:ascii="Arial" w:eastAsia="Arial" w:hAnsi="Arial" w:cs="Arial"/>
          <w:color w:val="000000"/>
          <w:sz w:val="16"/>
        </w:rPr>
        <w:br/>
      </w:r>
      <w:r>
        <w:rPr>
          <w:rFonts w:ascii="Arial" w:eastAsia="Arial" w:hAnsi="Arial" w:cs="Arial"/>
          <w:color w:val="000000"/>
          <w:sz w:val="16"/>
        </w:rPr>
        <w:t>s neúplným záznamem osobních necitlivých údajů.</w:t>
      </w:r>
    </w:p>
    <w:p w:rsidR="00457252" w:rsidRDefault="00457252">
      <w:pPr>
        <w:spacing w:line="312" w:lineRule="auto"/>
        <w:ind w:left="115" w:right="670"/>
        <w:jc w:val="both"/>
        <w:rPr>
          <w:rFonts w:ascii="Arial" w:eastAsia="Arial" w:hAnsi="Arial" w:cs="Arial"/>
          <w:color w:val="000000"/>
          <w:sz w:val="16"/>
        </w:rPr>
      </w:pPr>
    </w:p>
    <w:p w:rsidR="00DE04B3" w:rsidRDefault="00DE04B3">
      <w:pPr>
        <w:spacing w:line="312" w:lineRule="auto"/>
        <w:ind w:left="115" w:right="670"/>
        <w:jc w:val="both"/>
        <w:rPr>
          <w:rFonts w:ascii="Arial" w:eastAsia="Arial" w:hAnsi="Arial" w:cs="Arial"/>
          <w:b/>
          <w:bCs/>
          <w:i/>
          <w:iCs/>
          <w:color w:val="000000"/>
          <w:sz w:val="20"/>
        </w:rPr>
      </w:pPr>
    </w:p>
    <w:p w:rsidR="00457252" w:rsidRDefault="00697A5C">
      <w:pPr>
        <w:spacing w:line="312" w:lineRule="auto"/>
        <w:ind w:left="115" w:right="670"/>
        <w:jc w:val="both"/>
        <w:rPr>
          <w:rFonts w:ascii="Arial" w:eastAsia="Arial" w:hAnsi="Arial" w:cs="Arial"/>
          <w:b/>
          <w:bCs/>
          <w:i/>
          <w:iCs/>
          <w:color w:val="000000"/>
          <w:sz w:val="20"/>
        </w:rPr>
      </w:pPr>
      <w:r>
        <w:rPr>
          <w:rFonts w:ascii="Arial" w:eastAsia="Arial" w:hAnsi="Arial" w:cs="Arial"/>
          <w:b/>
          <w:bCs/>
          <w:i/>
          <w:iCs/>
          <w:color w:val="000000"/>
          <w:sz w:val="20"/>
        </w:rPr>
        <w:lastRenderedPageBreak/>
        <w:t xml:space="preserve">Tabulka 4B: Indikátory výstupů specifické pro jednotlivé programy pro ESF (podle prioritních os, investičních priorit, kategorií regionů; to platí rovněž pro prioritní osy „technická pomoc“). </w:t>
      </w:r>
    </w:p>
    <w:p w:rsidR="00457252" w:rsidRDefault="00697A5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07.3.63 Zlepšování přístupu k dostupným, udržitelným a vysoce kvalitním službám, včetně zdravotnictví a sociálních služeb obecného zájmu</w:t>
      </w:r>
    </w:p>
    <w:tbl>
      <w:tblPr>
        <w:tblW w:w="0" w:type="auto"/>
        <w:tblInd w:w="58" w:type="dxa"/>
        <w:tblLayout w:type="fixed"/>
        <w:tblCellMar>
          <w:left w:w="0" w:type="dxa"/>
          <w:right w:w="0" w:type="dxa"/>
        </w:tblCellMar>
        <w:tblLook w:val="04A0" w:firstRow="1" w:lastRow="0" w:firstColumn="1" w:lastColumn="0" w:noHBand="0" w:noVBand="1"/>
      </w:tblPr>
      <w:tblGrid>
        <w:gridCol w:w="646"/>
        <w:gridCol w:w="3119"/>
        <w:gridCol w:w="708"/>
        <w:gridCol w:w="1561"/>
        <w:gridCol w:w="849"/>
        <w:gridCol w:w="709"/>
        <w:gridCol w:w="710"/>
        <w:gridCol w:w="710"/>
        <w:gridCol w:w="709"/>
        <w:gridCol w:w="710"/>
        <w:gridCol w:w="708"/>
        <w:gridCol w:w="6"/>
        <w:gridCol w:w="702"/>
        <w:gridCol w:w="7"/>
        <w:gridCol w:w="702"/>
        <w:gridCol w:w="8"/>
        <w:gridCol w:w="701"/>
        <w:gridCol w:w="9"/>
        <w:gridCol w:w="700"/>
        <w:gridCol w:w="10"/>
        <w:gridCol w:w="1121"/>
        <w:gridCol w:w="708"/>
      </w:tblGrid>
      <w:tr w:rsidR="00457252" w:rsidTr="000E0327">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112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0E032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1" w:type="dxa"/>
            <w:gridSpan w:val="15"/>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12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457252" w:rsidTr="000E032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12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457252" w:rsidTr="000E032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12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457252" w:rsidTr="000E0327">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11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8"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156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12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0E0327" w:rsidTr="000E0327">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49" w:type="dxa"/>
            <w:tcBorders>
              <w:top w:val="single" w:sz="4" w:space="0" w:color="000000"/>
              <w:left w:val="single" w:sz="4" w:space="0" w:color="000000"/>
              <w:bottom w:val="single" w:sz="4" w:space="0" w:color="auto"/>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26 500,000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176</w:t>
            </w:r>
            <w:r w:rsidR="000E0327">
              <w:rPr>
                <w:rFonts w:ascii="Arial" w:eastAsia="Arial" w:hAnsi="Arial" w:cs="Arial"/>
                <w:color w:val="000000"/>
                <w:sz w:val="14"/>
              </w:rPr>
              <w:t>,000</w:t>
            </w: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14"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112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0E0327" w:rsidRDefault="006C1BD7" w:rsidP="006321F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r w:rsidR="006321F4">
              <w:rPr>
                <w:rFonts w:ascii="Arial" w:eastAsia="Arial" w:hAnsi="Arial" w:cs="Arial"/>
                <w:color w:val="000000"/>
                <w:sz w:val="14"/>
              </w:rPr>
              <w:t>6</w:t>
            </w:r>
            <w:r>
              <w:rPr>
                <w:rFonts w:ascii="Arial" w:eastAsia="Arial" w:hAnsi="Arial" w:cs="Arial"/>
                <w:color w:val="000000"/>
                <w:sz w:val="14"/>
              </w:rPr>
              <w:t>,</w:t>
            </w:r>
            <w:r w:rsidR="000E0327">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6321F4"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0,01</w:t>
            </w:r>
          </w:p>
        </w:tc>
      </w:tr>
      <w:tr w:rsidR="000E0327" w:rsidTr="000E032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849" w:type="dxa"/>
            <w:tcBorders>
              <w:top w:val="single" w:sz="4" w:space="0" w:color="auto"/>
              <w:left w:val="single" w:sz="4" w:space="0" w:color="000000"/>
              <w:bottom w:val="single" w:sz="4" w:space="0" w:color="auto"/>
              <w:right w:val="single" w:sz="4" w:space="0" w:color="000000"/>
            </w:tcBorders>
            <w:shd w:val="clear" w:color="auto" w:fill="FFFFFF"/>
            <w:vAlign w:val="center"/>
          </w:tcPr>
          <w:p w:rsidR="000E0327" w:rsidRPr="000E0327" w:rsidRDefault="000E0327" w:rsidP="00E92182">
            <w:pP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keepNext/>
              <w:keepLines/>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r>
      <w:tr w:rsidR="000E0327" w:rsidTr="000E0327">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311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15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c>
          <w:tcPr>
            <w:tcW w:w="849" w:type="dxa"/>
            <w:tcBorders>
              <w:top w:val="single" w:sz="4" w:space="0" w:color="auto"/>
              <w:left w:val="single" w:sz="4" w:space="0" w:color="000000"/>
              <w:bottom w:val="single" w:sz="4" w:space="0" w:color="000000"/>
              <w:right w:val="single" w:sz="4" w:space="0" w:color="000000"/>
            </w:tcBorders>
            <w:shd w:val="clear" w:color="auto" w:fill="FFFFFF"/>
            <w:vAlign w:val="center"/>
          </w:tcPr>
          <w:p w:rsidR="000E0327" w:rsidRPr="000E0327" w:rsidRDefault="000E0327" w:rsidP="00E92182">
            <w:pP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113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pPr>
              <w:tabs>
                <w:tab w:val="left" w:pos="828"/>
              </w:tabs>
              <w:ind w:left="57" w:right="57"/>
              <w:jc w:val="right"/>
              <w:rPr>
                <w:rFonts w:ascii="Arial" w:eastAsia="Arial" w:hAnsi="Arial" w:cs="Arial"/>
                <w:color w:val="000000"/>
                <w:sz w:val="14"/>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E0327" w:rsidRDefault="000E0327" w:rsidP="00E92182"/>
        </w:tc>
      </w:tr>
    </w:tbl>
    <w:p w:rsidR="00457252" w:rsidRDefault="00697A5C" w:rsidP="00541464">
      <w:pPr>
        <w:keepNext/>
        <w:spacing w:before="240"/>
        <w:ind w:left="115" w:right="525"/>
        <w:jc w:val="both"/>
        <w:rPr>
          <w:rFonts w:ascii="Arial" w:eastAsia="Arial" w:hAnsi="Arial" w:cs="Arial"/>
          <w:color w:val="000000"/>
          <w:sz w:val="20"/>
        </w:rPr>
      </w:pPr>
      <w:r>
        <w:rPr>
          <w:rFonts w:ascii="Arial" w:eastAsia="Arial" w:hAnsi="Arial" w:cs="Arial"/>
          <w:color w:val="000000"/>
          <w:sz w:val="20"/>
        </w:rPr>
        <w:t>Investiční priorita: 07.4.51 Rovnost žen a mužů ve všech oblastech, a to i pokud jde o přístup k zaměstnání a kariérní postup, sladění pracovního a soukromého života a podpora stejné odměny za stejnou práci</w:t>
      </w:r>
    </w:p>
    <w:tbl>
      <w:tblPr>
        <w:tblW w:w="0" w:type="auto"/>
        <w:tblInd w:w="58" w:type="dxa"/>
        <w:tblLayout w:type="fixed"/>
        <w:tblCellMar>
          <w:left w:w="0" w:type="dxa"/>
          <w:right w:w="0" w:type="dxa"/>
        </w:tblCellMar>
        <w:tblLook w:val="04A0" w:firstRow="1" w:lastRow="0" w:firstColumn="1" w:lastColumn="0" w:noHBand="0" w:noVBand="1"/>
      </w:tblPr>
      <w:tblGrid>
        <w:gridCol w:w="646"/>
        <w:gridCol w:w="3827"/>
        <w:gridCol w:w="709"/>
        <w:gridCol w:w="852"/>
        <w:gridCol w:w="709"/>
        <w:gridCol w:w="712"/>
        <w:gridCol w:w="704"/>
        <w:gridCol w:w="709"/>
        <w:gridCol w:w="708"/>
        <w:gridCol w:w="12"/>
        <w:gridCol w:w="697"/>
        <w:gridCol w:w="709"/>
        <w:gridCol w:w="709"/>
        <w:gridCol w:w="708"/>
        <w:gridCol w:w="12"/>
        <w:gridCol w:w="697"/>
        <w:gridCol w:w="709"/>
        <w:gridCol w:w="1135"/>
        <w:gridCol w:w="850"/>
      </w:tblGrid>
      <w:tr w:rsidR="00E92182" w:rsidTr="00E92182">
        <w:trPr>
          <w:cantSplit/>
          <w:tblHeader/>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7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E921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82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6" w:type="dxa"/>
            <w:gridSpan w:val="1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E92182" w:rsidTr="00E921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82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13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E92182" w:rsidTr="00E921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82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1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E92182" w:rsidTr="00E92182">
        <w:trPr>
          <w:cantSplit/>
          <w:tblHeader/>
        </w:trPr>
        <w:tc>
          <w:tcPr>
            <w:tcW w:w="64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82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13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E92182" w:rsidTr="00E92182">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50001/CO35</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167</w:t>
            </w:r>
            <w:r w:rsidR="00E92182">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163</w:t>
            </w:r>
            <w:r w:rsidR="00E92182">
              <w:rPr>
                <w:rFonts w:ascii="Arial" w:eastAsia="Arial" w:hAnsi="Arial" w:cs="Arial"/>
                <w:color w:val="000000"/>
                <w:sz w:val="14"/>
              </w:rPr>
              <w:t>,000</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330</w:t>
            </w:r>
            <w:r w:rsidR="00E92182">
              <w:rPr>
                <w:rFonts w:ascii="Arial" w:eastAsia="Arial" w:hAnsi="Arial" w:cs="Arial"/>
                <w:color w:val="000000"/>
                <w:sz w:val="14"/>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6321F4"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1,65</w:t>
            </w:r>
          </w:p>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12" w:type="dxa"/>
            <w:tcBorders>
              <w:top w:val="single" w:sz="4" w:space="0" w:color="000000"/>
              <w:left w:val="single" w:sz="4" w:space="0" w:color="000000"/>
              <w:bottom w:val="single" w:sz="4" w:space="0" w:color="auto"/>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4" w:type="dxa"/>
            <w:tcBorders>
              <w:top w:val="single" w:sz="4" w:space="0" w:color="000000"/>
              <w:left w:val="single" w:sz="4" w:space="0" w:color="000000"/>
              <w:bottom w:val="single" w:sz="4" w:space="0" w:color="auto"/>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12" w:type="dxa"/>
            <w:tcBorders>
              <w:top w:val="single" w:sz="4" w:space="0" w:color="auto"/>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4" w:type="dxa"/>
            <w:tcBorders>
              <w:top w:val="single" w:sz="4" w:space="0" w:color="auto"/>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r>
      <w:tr w:rsidR="00E92182" w:rsidTr="00E92182">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50100</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zařízení péče o děti předškolního věku</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Zařízení</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22,000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1,30</w:t>
            </w:r>
          </w:p>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r>
      <w:tr w:rsidR="00E92182" w:rsidTr="00E92182">
        <w:tc>
          <w:tcPr>
            <w:tcW w:w="64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50115</w:t>
            </w:r>
          </w:p>
        </w:tc>
        <w:tc>
          <w:tcPr>
            <w:tcW w:w="382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Počet osob využívající zařízení péče o děti do 3 let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247,000</w:t>
            </w: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357,000</w:t>
            </w: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E92182"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357,000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E92182" w:rsidRDefault="006321F4"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1,45</w:t>
            </w:r>
          </w:p>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r>
      <w:tr w:rsidR="00E92182" w:rsidTr="00E92182">
        <w:tc>
          <w:tcPr>
            <w:tcW w:w="64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382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85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6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113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92182" w:rsidRDefault="00E92182" w:rsidP="00E92182">
            <w:pPr>
              <w:keepNext/>
              <w:keepLines/>
              <w:tabs>
                <w:tab w:val="left" w:pos="828"/>
              </w:tabs>
              <w:ind w:left="57" w:right="57"/>
              <w:jc w:val="right"/>
              <w:rPr>
                <w:rFonts w:ascii="Arial" w:eastAsia="Arial" w:hAnsi="Arial" w:cs="Arial"/>
                <w:color w:val="000000"/>
                <w:sz w:val="14"/>
              </w:rPr>
            </w:pPr>
          </w:p>
        </w:tc>
      </w:tr>
    </w:tbl>
    <w:p w:rsidR="00457252" w:rsidRDefault="00697A5C" w:rsidP="00541464">
      <w:pPr>
        <w:keepNext/>
        <w:spacing w:before="240"/>
        <w:ind w:left="115" w:right="667"/>
        <w:jc w:val="both"/>
        <w:rPr>
          <w:rFonts w:ascii="Arial" w:eastAsia="Arial" w:hAnsi="Arial" w:cs="Arial"/>
          <w:color w:val="000000"/>
          <w:sz w:val="20"/>
        </w:rPr>
      </w:pPr>
      <w:r>
        <w:rPr>
          <w:rFonts w:ascii="Arial" w:eastAsia="Arial" w:hAnsi="Arial" w:cs="Arial"/>
          <w:color w:val="000000"/>
          <w:sz w:val="20"/>
        </w:rPr>
        <w:lastRenderedPageBreak/>
        <w:t xml:space="preserve">Investiční priorita: 07.4.68 Omezování a prevence předčasného ukončování školní docházky a podpora rovného přístupu ke kvalitním programům předškolního rozvoje, </w:t>
      </w:r>
      <w:r w:rsidR="00541464">
        <w:rPr>
          <w:rFonts w:ascii="Arial" w:eastAsia="Arial" w:hAnsi="Arial" w:cs="Arial"/>
          <w:color w:val="000000"/>
          <w:sz w:val="20"/>
        </w:rPr>
        <w:br/>
      </w:r>
      <w:r>
        <w:rPr>
          <w:rFonts w:ascii="Arial" w:eastAsia="Arial" w:hAnsi="Arial" w:cs="Arial"/>
          <w:color w:val="000000"/>
          <w:sz w:val="20"/>
        </w:rPr>
        <w:t>k primárnímu a sekundárnímu vzdělávání, možnostem formálního a neformálního vzdělávání, které umožňuje zpětné začlenění do procesu vzdělávání a odborné přípravy</w:t>
      </w:r>
    </w:p>
    <w:tbl>
      <w:tblPr>
        <w:tblW w:w="15451" w:type="dxa"/>
        <w:tblInd w:w="137" w:type="dxa"/>
        <w:tblLayout w:type="fixed"/>
        <w:tblCellMar>
          <w:left w:w="0" w:type="dxa"/>
          <w:right w:w="0" w:type="dxa"/>
        </w:tblCellMar>
        <w:tblLook w:val="04A0" w:firstRow="1" w:lastRow="0" w:firstColumn="1" w:lastColumn="0" w:noHBand="0" w:noVBand="1"/>
      </w:tblPr>
      <w:tblGrid>
        <w:gridCol w:w="707"/>
        <w:gridCol w:w="2975"/>
        <w:gridCol w:w="992"/>
        <w:gridCol w:w="992"/>
        <w:gridCol w:w="851"/>
        <w:gridCol w:w="711"/>
        <w:gridCol w:w="709"/>
        <w:gridCol w:w="709"/>
        <w:gridCol w:w="850"/>
        <w:gridCol w:w="709"/>
        <w:gridCol w:w="709"/>
        <w:gridCol w:w="710"/>
        <w:gridCol w:w="708"/>
        <w:gridCol w:w="709"/>
        <w:gridCol w:w="709"/>
        <w:gridCol w:w="992"/>
        <w:gridCol w:w="709"/>
      </w:tblGrid>
      <w:tr w:rsidR="00BB4746" w:rsidTr="00BB4746">
        <w:trPr>
          <w:cantSplit/>
          <w:tblHeader/>
        </w:trPr>
        <w:tc>
          <w:tcPr>
            <w:tcW w:w="70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1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BB4746">
        <w:trPr>
          <w:cantSplit/>
          <w:tblHeader/>
        </w:trPr>
        <w:tc>
          <w:tcPr>
            <w:tcW w:w="70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233"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BB4746" w:rsidTr="00BB4746">
        <w:trPr>
          <w:cantSplit/>
          <w:tblHeader/>
        </w:trPr>
        <w:tc>
          <w:tcPr>
            <w:tcW w:w="70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1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BB4746" w:rsidTr="00BB4746">
        <w:trPr>
          <w:cantSplit/>
          <w:tblHeader/>
        </w:trPr>
        <w:tc>
          <w:tcPr>
            <w:tcW w:w="70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BB4746" w:rsidTr="00BB4746">
        <w:trPr>
          <w:cantSplit/>
          <w:tblHeader/>
        </w:trPr>
        <w:tc>
          <w:tcPr>
            <w:tcW w:w="70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5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BB4746" w:rsidTr="00BB4746">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51614</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dětí, žáků a studentů s SVP</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Děti, žáci </w:t>
            </w:r>
            <w:r w:rsidR="00C95719">
              <w:rPr>
                <w:rFonts w:ascii="Arial" w:eastAsia="Arial" w:hAnsi="Arial" w:cs="Arial"/>
                <w:color w:val="000000"/>
                <w:sz w:val="14"/>
              </w:rPr>
              <w:br/>
            </w:r>
            <w:r>
              <w:rPr>
                <w:rFonts w:ascii="Arial" w:eastAsia="Arial" w:hAnsi="Arial" w:cs="Arial"/>
                <w:color w:val="000000"/>
                <w:sz w:val="14"/>
              </w:rPr>
              <w:t>a studenti</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3 000,000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2 424</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16706B">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2 424</w:t>
            </w:r>
            <w:r w:rsidR="00697A5C">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0,81</w:t>
            </w: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52100</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produktů</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Produkty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160,000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16706B">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r w:rsidR="0016706B">
              <w:rPr>
                <w:rFonts w:ascii="Arial" w:eastAsia="Arial" w:hAnsi="Arial" w:cs="Arial"/>
                <w:color w:val="000000"/>
                <w:sz w:val="14"/>
              </w:rPr>
              <w:t>6</w:t>
            </w:r>
            <w:r>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16706B">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w:t>
            </w:r>
            <w:r w:rsidR="0016706B">
              <w:rPr>
                <w:rFonts w:ascii="Arial" w:eastAsia="Arial" w:hAnsi="Arial" w:cs="Arial"/>
                <w:color w:val="000000"/>
                <w:sz w:val="14"/>
              </w:rPr>
              <w:t>6</w:t>
            </w:r>
            <w:r>
              <w:rPr>
                <w:rFonts w:ascii="Arial" w:eastAsia="Arial" w:hAnsi="Arial" w:cs="Arial"/>
                <w:color w:val="000000"/>
                <w:sz w:val="14"/>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0,35</w:t>
            </w: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52200</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vzdělávacích zařízení, které využívají nové produkty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Zařízení</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268,000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C95719">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697A5C"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r w:rsidR="00697A5C">
              <w:rPr>
                <w:rFonts w:ascii="Arial" w:eastAsia="Arial" w:hAnsi="Arial" w:cs="Arial"/>
                <w:color w:val="000000"/>
                <w:sz w:val="14"/>
              </w:rPr>
              <w:t>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w:t>
            </w:r>
            <w:r w:rsidR="00697A5C">
              <w:rPr>
                <w:rFonts w:ascii="Arial" w:eastAsia="Arial" w:hAnsi="Arial" w:cs="Arial"/>
                <w:color w:val="000000"/>
                <w:sz w:val="14"/>
              </w:rPr>
              <w:t>3,000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57252" w:rsidRDefault="0016706B" w:rsidP="00541464">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0,31</w:t>
            </w: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r>
      <w:tr w:rsidR="00BB4746" w:rsidTr="00BB4746">
        <w:tc>
          <w:tcPr>
            <w:tcW w:w="70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rPr>
                <w:rFonts w:ascii="Arial" w:eastAsia="Arial" w:hAnsi="Arial" w:cs="Arial"/>
                <w:color w:val="000000"/>
                <w:sz w:val="14"/>
              </w:rPr>
            </w:pPr>
            <w:r>
              <w:rPr>
                <w:rFonts w:ascii="Arial" w:eastAsia="Arial" w:hAnsi="Arial" w:cs="Arial"/>
                <w:color w:val="000000"/>
                <w:sz w:val="14"/>
              </w:rPr>
              <w:t>60000/</w:t>
            </w:r>
            <w:r>
              <w:rPr>
                <w:rFonts w:ascii="Arial" w:eastAsia="Arial" w:hAnsi="Arial" w:cs="Arial"/>
                <w:color w:val="000000"/>
                <w:sz w:val="14"/>
              </w:rPr>
              <w:br/>
              <w:t>CESF0</w:t>
            </w:r>
          </w:p>
        </w:tc>
        <w:tc>
          <w:tcPr>
            <w:tcW w:w="297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6 351,000</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E9218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32,000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r>
              <w:rPr>
                <w:rFonts w:ascii="Arial" w:eastAsia="Arial" w:hAnsi="Arial" w:cs="Arial"/>
                <w:color w:val="000000"/>
                <w:sz w:val="14"/>
              </w:rPr>
              <w:t>0,504</w:t>
            </w:r>
          </w:p>
        </w:tc>
      </w:tr>
      <w:tr w:rsidR="00BB4746" w:rsidTr="00BB4746">
        <w:trPr>
          <w:trHeight w:val="149"/>
        </w:trPr>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Pr="00BB4746" w:rsidRDefault="00BB4746" w:rsidP="00E92182">
            <w:pPr>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Pr="00BB4746" w:rsidRDefault="00BB4746" w:rsidP="00E92182">
            <w:pPr>
              <w:rPr>
                <w:rFonts w:ascii="Arial" w:eastAsia="Arial" w:hAnsi="Arial" w:cs="Arial"/>
                <w:color w:val="000000"/>
                <w:sz w:val="14"/>
              </w:rPr>
            </w:pPr>
          </w:p>
        </w:tc>
      </w:tr>
      <w:tr w:rsidR="00BB4746" w:rsidTr="00BB4746">
        <w:trPr>
          <w:trHeight w:val="138"/>
        </w:trPr>
        <w:tc>
          <w:tcPr>
            <w:tcW w:w="70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297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99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Pr="00BB4746" w:rsidRDefault="00BB4746" w:rsidP="00E92182">
            <w:pPr>
              <w:rPr>
                <w:rFonts w:ascii="Arial" w:eastAsia="Arial" w:hAnsi="Arial" w:cs="Arial"/>
                <w:color w:val="000000"/>
                <w:sz w:val="14"/>
              </w:rPr>
            </w:pP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8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E92182">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Pr="00BB4746" w:rsidRDefault="00BB4746" w:rsidP="00E92182">
            <w:pPr>
              <w:rPr>
                <w:rFonts w:ascii="Arial" w:eastAsia="Arial" w:hAnsi="Arial" w:cs="Arial"/>
                <w:color w:val="000000"/>
                <w:sz w:val="14"/>
              </w:rPr>
            </w:pPr>
          </w:p>
        </w:tc>
      </w:tr>
    </w:tbl>
    <w:p w:rsidR="00457252" w:rsidRDefault="00697A5C">
      <w:pPr>
        <w:keepNext/>
        <w:spacing w:before="240"/>
        <w:ind w:left="115" w:right="106"/>
        <w:jc w:val="both"/>
        <w:rPr>
          <w:rFonts w:ascii="Arial" w:eastAsia="Arial" w:hAnsi="Arial" w:cs="Arial"/>
          <w:color w:val="000000"/>
          <w:sz w:val="20"/>
        </w:rPr>
      </w:pPr>
      <w:r>
        <w:rPr>
          <w:rFonts w:ascii="Arial" w:eastAsia="Arial" w:hAnsi="Arial" w:cs="Arial"/>
          <w:color w:val="000000"/>
          <w:sz w:val="20"/>
        </w:rPr>
        <w:t>Investiční priorita: 07.5.125 Technická pomoc</w:t>
      </w:r>
    </w:p>
    <w:tbl>
      <w:tblPr>
        <w:tblW w:w="0" w:type="auto"/>
        <w:tblInd w:w="-5" w:type="dxa"/>
        <w:tblLayout w:type="fixed"/>
        <w:tblCellMar>
          <w:left w:w="0" w:type="dxa"/>
          <w:right w:w="0" w:type="dxa"/>
        </w:tblCellMar>
        <w:tblLook w:val="04A0" w:firstRow="1" w:lastRow="0" w:firstColumn="1" w:lastColumn="0" w:noHBand="0" w:noVBand="1"/>
      </w:tblPr>
      <w:tblGrid>
        <w:gridCol w:w="709"/>
        <w:gridCol w:w="3402"/>
        <w:gridCol w:w="854"/>
        <w:gridCol w:w="847"/>
        <w:gridCol w:w="851"/>
        <w:gridCol w:w="723"/>
        <w:gridCol w:w="694"/>
        <w:gridCol w:w="709"/>
        <w:gridCol w:w="709"/>
        <w:gridCol w:w="708"/>
        <w:gridCol w:w="709"/>
        <w:gridCol w:w="709"/>
        <w:gridCol w:w="709"/>
        <w:gridCol w:w="712"/>
        <w:gridCol w:w="11"/>
        <w:gridCol w:w="694"/>
        <w:gridCol w:w="992"/>
        <w:gridCol w:w="851"/>
        <w:gridCol w:w="26"/>
      </w:tblGrid>
      <w:tr w:rsidR="00BB4746" w:rsidTr="00A1282C">
        <w:trPr>
          <w:cantSplit/>
          <w:tblHead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541464">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Indikátor (název indikátoru)</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 (je-li relevantní)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2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p w:rsidR="00457252" w:rsidRDefault="00457252">
            <w:pPr>
              <w:keepNext/>
              <w:keepLines/>
              <w:ind w:left="57" w:right="57"/>
              <w:jc w:val="center"/>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p w:rsidR="00457252" w:rsidRDefault="00457252">
            <w:pPr>
              <w:keepNext/>
              <w:keepLines/>
              <w:ind w:left="57" w:right="57"/>
              <w:jc w:val="center"/>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p w:rsidR="00457252" w:rsidRDefault="00457252">
            <w:pPr>
              <w:keepNext/>
              <w:keepLines/>
              <w:ind w:left="57" w:right="57"/>
              <w:jc w:val="center"/>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p w:rsidR="00457252" w:rsidRDefault="00457252">
            <w:pPr>
              <w:keepNext/>
              <w:keepLines/>
              <w:ind w:left="57" w:right="57"/>
              <w:jc w:val="center"/>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p w:rsidR="00457252" w:rsidRDefault="00457252">
            <w:pPr>
              <w:keepNext/>
              <w:keepLines/>
              <w:ind w:left="57" w:right="57"/>
              <w:jc w:val="center"/>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keepNext/>
              <w:keepLines/>
              <w:ind w:left="57" w:right="57"/>
              <w:jc w:val="center"/>
              <w:rPr>
                <w:rFonts w:ascii="Arial" w:eastAsia="Arial" w:hAnsi="Arial" w:cs="Arial"/>
                <w:color w:val="000000"/>
                <w:sz w:val="14"/>
              </w:rPr>
            </w:pP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p w:rsidR="00457252" w:rsidRDefault="00457252">
            <w:pPr>
              <w:keepNext/>
              <w:keepLines/>
              <w:ind w:left="57" w:right="57"/>
              <w:jc w:val="center"/>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(vypočítána automaticky)</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Míra splnění</w:t>
            </w:r>
          </w:p>
        </w:tc>
      </w:tr>
      <w:tr w:rsidR="00457252" w:rsidTr="00A1282C">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40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7" w:type="dxa"/>
            <w:gridSpan w:val="11"/>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877" w:type="dxa"/>
            <w:gridSpan w:val="2"/>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r>
      <w:tr w:rsidR="00BB4746" w:rsidTr="00A1282C">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40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2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99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77" w:type="dxa"/>
            <w:gridSpan w:val="2"/>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r>
      <w:tr w:rsidR="00BB4746" w:rsidTr="00A1282C">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40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2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r>
      <w:tr w:rsidR="00BB4746" w:rsidTr="00A1282C">
        <w:trPr>
          <w:cantSplit/>
          <w:tblHeader/>
        </w:trPr>
        <w:tc>
          <w:tcPr>
            <w:tcW w:w="709"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3402"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47"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2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69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r>
      <w:tr w:rsidR="00A1282C" w:rsidTr="004D1364">
        <w:trPr>
          <w:gridAfter w:val="1"/>
          <w:wAfter w:w="26" w:type="dxa"/>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rPr>
                <w:rFonts w:ascii="Arial" w:eastAsia="Arial" w:hAnsi="Arial" w:cs="Arial"/>
                <w:color w:val="000000"/>
                <w:sz w:val="14"/>
              </w:rPr>
            </w:pPr>
            <w:r>
              <w:rPr>
                <w:rFonts w:ascii="Arial" w:eastAsia="Arial" w:hAnsi="Arial" w:cs="Arial"/>
                <w:color w:val="000000"/>
                <w:sz w:val="14"/>
              </w:rPr>
              <w:t>60000/CESF0</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rPr>
                <w:rFonts w:ascii="Arial" w:eastAsia="Arial" w:hAnsi="Arial" w:cs="Arial"/>
                <w:color w:val="000000"/>
                <w:sz w:val="14"/>
              </w:rPr>
            </w:pPr>
            <w:r>
              <w:rPr>
                <w:rFonts w:ascii="Arial" w:eastAsia="Arial" w:hAnsi="Arial" w:cs="Arial"/>
                <w:color w:val="000000"/>
                <w:sz w:val="14"/>
              </w:rPr>
              <w:t>Osoby</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16706B" w:rsidP="00A1282C">
            <w:pPr>
              <w:tabs>
                <w:tab w:val="left" w:pos="828"/>
              </w:tabs>
              <w:ind w:left="57" w:right="57"/>
              <w:jc w:val="right"/>
              <w:rPr>
                <w:rFonts w:ascii="Arial" w:eastAsia="Arial" w:hAnsi="Arial" w:cs="Arial"/>
                <w:color w:val="000000"/>
                <w:sz w:val="14"/>
              </w:rPr>
            </w:pPr>
            <w:r>
              <w:rPr>
                <w:rFonts w:ascii="Arial" w:eastAsia="Arial" w:hAnsi="Arial" w:cs="Arial"/>
                <w:color w:val="000000"/>
                <w:sz w:val="14"/>
              </w:rPr>
              <w:t>5</w:t>
            </w:r>
            <w:r w:rsidR="00A1282C">
              <w:rPr>
                <w:rFonts w:ascii="Arial" w:eastAsia="Arial" w:hAnsi="Arial" w:cs="Arial"/>
                <w:color w:val="000000"/>
                <w:sz w:val="14"/>
              </w:rPr>
              <w:t> 700,000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344,000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16706B" w:rsidP="00A1282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573</w:t>
            </w:r>
            <w:r w:rsidR="00A1282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A1282C" w:rsidRDefault="0016706B" w:rsidP="00A1282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917</w:t>
            </w:r>
            <w:r w:rsidR="00A1282C">
              <w:rPr>
                <w:rFonts w:ascii="Arial" w:eastAsia="Arial" w:hAnsi="Arial" w:cs="Arial"/>
                <w:color w:val="000000"/>
                <w:sz w:val="14"/>
              </w:rPr>
              <w:t>,000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16706B" w:rsidP="00A1282C">
            <w:pPr>
              <w:tabs>
                <w:tab w:val="left" w:pos="828"/>
              </w:tabs>
              <w:ind w:left="57" w:right="57"/>
              <w:jc w:val="right"/>
              <w:rPr>
                <w:rFonts w:ascii="Arial" w:eastAsia="Arial" w:hAnsi="Arial" w:cs="Arial"/>
                <w:color w:val="000000"/>
                <w:sz w:val="14"/>
              </w:rPr>
            </w:pPr>
            <w:r>
              <w:rPr>
                <w:rFonts w:ascii="Arial" w:eastAsia="Arial" w:hAnsi="Arial" w:cs="Arial"/>
                <w:color w:val="000000"/>
                <w:sz w:val="14"/>
              </w:rPr>
              <w:t>0,16</w:t>
            </w:r>
          </w:p>
        </w:tc>
      </w:tr>
      <w:tr w:rsidR="00A1282C" w:rsidTr="00BB4746">
        <w:trPr>
          <w:gridAfter w:val="1"/>
          <w:wAfter w:w="26" w:type="dxa"/>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Pr="00A1282C" w:rsidRDefault="00A1282C" w:rsidP="00A1282C">
            <w:pPr>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keepNext/>
              <w:keepLines/>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Pr="00A1282C" w:rsidRDefault="00A1282C" w:rsidP="00A1282C">
            <w:pPr>
              <w:tabs>
                <w:tab w:val="left" w:pos="828"/>
              </w:tabs>
              <w:ind w:left="57" w:right="57"/>
              <w:jc w:val="right"/>
              <w:rPr>
                <w:rFonts w:ascii="Arial" w:eastAsia="Arial" w:hAnsi="Arial" w:cs="Arial"/>
                <w:color w:val="000000"/>
                <w:sz w:val="14"/>
              </w:rPr>
            </w:pPr>
          </w:p>
        </w:tc>
      </w:tr>
      <w:tr w:rsidR="00A1282C" w:rsidTr="00A1282C">
        <w:trPr>
          <w:gridAfter w:val="1"/>
          <w:wAfter w:w="26" w:type="dxa"/>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Pr="00A1282C" w:rsidRDefault="00A1282C" w:rsidP="00A1282C">
            <w:pPr>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705"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992" w:type="dxa"/>
            <w:tcBorders>
              <w:left w:val="single" w:sz="4" w:space="0" w:color="000000"/>
              <w:bottom w:val="single" w:sz="4" w:space="0" w:color="000000"/>
              <w:right w:val="single" w:sz="4" w:space="0" w:color="000000"/>
            </w:tcBorders>
            <w:shd w:val="clear" w:color="auto" w:fill="FFFFFF"/>
            <w:vAlign w:val="center"/>
          </w:tcPr>
          <w:p w:rsidR="00A1282C" w:rsidRDefault="00A1282C" w:rsidP="00A1282C">
            <w:pPr>
              <w:tabs>
                <w:tab w:val="left" w:pos="828"/>
              </w:tabs>
              <w:ind w:left="57" w:right="57"/>
              <w:jc w:val="right"/>
              <w:rPr>
                <w:rFonts w:ascii="Arial" w:eastAsia="Arial" w:hAnsi="Arial" w:cs="Arial"/>
                <w:color w:val="000000"/>
                <w:sz w:val="14"/>
              </w:rPr>
            </w:pPr>
          </w:p>
        </w:tc>
        <w:tc>
          <w:tcPr>
            <w:tcW w:w="851" w:type="dxa"/>
            <w:tcBorders>
              <w:left w:val="single" w:sz="4" w:space="0" w:color="000000"/>
              <w:bottom w:val="single" w:sz="4" w:space="0" w:color="000000"/>
              <w:right w:val="single" w:sz="4" w:space="0" w:color="000000"/>
            </w:tcBorders>
            <w:shd w:val="clear" w:color="auto" w:fill="FFFFFF"/>
            <w:vAlign w:val="center"/>
          </w:tcPr>
          <w:p w:rsidR="00A1282C" w:rsidRPr="00A1282C" w:rsidRDefault="00A1282C" w:rsidP="00A1282C">
            <w:pPr>
              <w:tabs>
                <w:tab w:val="left" w:pos="828"/>
              </w:tabs>
              <w:ind w:left="57" w:right="57"/>
              <w:jc w:val="right"/>
              <w:rPr>
                <w:rFonts w:ascii="Arial" w:eastAsia="Arial" w:hAnsi="Arial" w:cs="Arial"/>
                <w:color w:val="000000"/>
                <w:sz w:val="14"/>
              </w:rPr>
            </w:pPr>
          </w:p>
        </w:tc>
      </w:tr>
      <w:tr w:rsidR="00BB4746" w:rsidTr="00A1282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80500</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Počet napsaných a zveřejněných analytických </w:t>
            </w:r>
            <w:r>
              <w:rPr>
                <w:rFonts w:ascii="Arial" w:eastAsia="Arial" w:hAnsi="Arial" w:cs="Arial"/>
                <w:color w:val="000000"/>
                <w:sz w:val="14"/>
              </w:rPr>
              <w:br/>
              <w:t>a strategických dokumentů (vč. evaluačních)</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Dokumenty</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5,000</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16706B" w:rsidP="0016706B">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0,25</w:t>
            </w: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r w:rsidR="00BB4746" w:rsidTr="00A1282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82000</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Počet uskutečněných školení, seminářů, workshopů a konferencí</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Aktivity</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80,000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83,000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103,000</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16706B"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0,34</w:t>
            </w: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r w:rsidR="00BB4746" w:rsidTr="00A1282C">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82500</w:t>
            </w:r>
          </w:p>
        </w:tc>
        <w:tc>
          <w:tcPr>
            <w:tcW w:w="340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Počet pracovních míst financovaných z programu</w:t>
            </w:r>
          </w:p>
        </w:tc>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FTE</w:t>
            </w:r>
          </w:p>
        </w:tc>
        <w:tc>
          <w:tcPr>
            <w:tcW w:w="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76,000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38,000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114,000</w:t>
            </w: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bottom"/>
          </w:tcPr>
          <w:p w:rsidR="00BB4746" w:rsidRDefault="00BB4746" w:rsidP="00BB4746">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r w:rsidR="00BB4746" w:rsidTr="00A1282C">
        <w:tc>
          <w:tcPr>
            <w:tcW w:w="709"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340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72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69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tabs>
                <w:tab w:val="left" w:pos="828"/>
              </w:tabs>
              <w:ind w:left="57" w:right="57"/>
              <w:jc w:val="right"/>
              <w:rPr>
                <w:rFonts w:ascii="Arial" w:eastAsia="Arial" w:hAnsi="Arial" w:cs="Arial"/>
                <w:color w:val="000000"/>
                <w:sz w:val="14"/>
              </w:rPr>
            </w:pPr>
          </w:p>
        </w:tc>
        <w:tc>
          <w:tcPr>
            <w:tcW w:w="87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BB4746" w:rsidRDefault="00BB4746" w:rsidP="00BB4746">
            <w:pPr>
              <w:keepNext/>
              <w:keepLines/>
              <w:tabs>
                <w:tab w:val="left" w:pos="828"/>
              </w:tabs>
              <w:ind w:left="57" w:right="57"/>
              <w:jc w:val="right"/>
              <w:rPr>
                <w:rFonts w:ascii="Arial" w:eastAsia="Arial" w:hAnsi="Arial" w:cs="Arial"/>
                <w:color w:val="000000"/>
                <w:sz w:val="14"/>
              </w:rPr>
            </w:pPr>
          </w:p>
        </w:tc>
      </w:tr>
    </w:tbl>
    <w:p w:rsidR="00457252" w:rsidRDefault="00697A5C" w:rsidP="00552960">
      <w:pPr>
        <w:pStyle w:val="Nadpis2"/>
        <w:ind w:right="667"/>
      </w:pPr>
      <w:bookmarkStart w:id="11" w:name="_Toc512860938"/>
      <w:r>
        <w:lastRenderedPageBreak/>
        <w:t xml:space="preserve">Milníky a cíle stanovené ve výkonnostním rámci (čl. 50 odst. 2 nařízení (EU) č. 1303/2013) – předloženo ve výročních zprávách </w:t>
      </w:r>
      <w:r w:rsidR="00552960">
        <w:br/>
      </w:r>
      <w:r>
        <w:t xml:space="preserve">o implementaci </w:t>
      </w:r>
      <w:proofErr w:type="gramStart"/>
      <w:r>
        <w:t>od</w:t>
      </w:r>
      <w:proofErr w:type="gramEnd"/>
      <w:r>
        <w:t xml:space="preserve"> roku 2017</w:t>
      </w:r>
      <w:bookmarkEnd w:id="11"/>
    </w:p>
    <w:p w:rsidR="00457252" w:rsidRDefault="00697A5C">
      <w:pPr>
        <w:spacing w:before="240"/>
        <w:ind w:left="115" w:right="812"/>
        <w:jc w:val="both"/>
        <w:rPr>
          <w:rFonts w:ascii="Arial" w:eastAsia="Arial" w:hAnsi="Arial" w:cs="Arial"/>
          <w:color w:val="000000"/>
          <w:sz w:val="20"/>
        </w:rPr>
      </w:pPr>
      <w:r>
        <w:rPr>
          <w:rFonts w:ascii="Arial" w:eastAsia="Arial" w:hAnsi="Arial" w:cs="Arial"/>
          <w:color w:val="000000"/>
          <w:sz w:val="20"/>
        </w:rPr>
        <w:t>Poskytnutí údajů o finančních ukazatelích, klíčových prováděcích krocích, indikátorech výstupů a výsledků jako milníků a cílů pro výkonnostní rámec (počínaje zprávami, které mají být předloženy v roce 2017).</w:t>
      </w:r>
    </w:p>
    <w:p w:rsidR="00457252" w:rsidRDefault="00697A5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Tabulka 5: Informace o milnících a cílech stanovených ve výkonnostním rámci</w:t>
      </w:r>
    </w:p>
    <w:tbl>
      <w:tblPr>
        <w:tblW w:w="16160" w:type="dxa"/>
        <w:tblInd w:w="-299" w:type="dxa"/>
        <w:tblLayout w:type="fixed"/>
        <w:tblCellMar>
          <w:left w:w="0" w:type="dxa"/>
          <w:right w:w="0" w:type="dxa"/>
        </w:tblCellMar>
        <w:tblLook w:val="04A0" w:firstRow="1" w:lastRow="0" w:firstColumn="1" w:lastColumn="0" w:noHBand="0" w:noVBand="1"/>
      </w:tblPr>
      <w:tblGrid>
        <w:gridCol w:w="426"/>
        <w:gridCol w:w="454"/>
        <w:gridCol w:w="567"/>
        <w:gridCol w:w="1247"/>
        <w:gridCol w:w="709"/>
        <w:gridCol w:w="567"/>
        <w:gridCol w:w="850"/>
        <w:gridCol w:w="1134"/>
        <w:gridCol w:w="1276"/>
        <w:gridCol w:w="709"/>
        <w:gridCol w:w="709"/>
        <w:gridCol w:w="708"/>
        <w:gridCol w:w="1134"/>
        <w:gridCol w:w="708"/>
        <w:gridCol w:w="709"/>
        <w:gridCol w:w="709"/>
        <w:gridCol w:w="709"/>
        <w:gridCol w:w="708"/>
        <w:gridCol w:w="709"/>
        <w:gridCol w:w="1418"/>
      </w:tblGrid>
      <w:tr w:rsidR="00457252" w:rsidTr="002A3F31">
        <w:trPr>
          <w:cantSplit/>
          <w:trHeight w:val="158"/>
          <w:tblHeader/>
        </w:trPr>
        <w:tc>
          <w:tcPr>
            <w:tcW w:w="7230" w:type="dxa"/>
            <w:gridSpan w:val="9"/>
            <w:tcBorders>
              <w:top w:val="single" w:sz="12" w:space="0" w:color="000000"/>
              <w:left w:val="single" w:sz="12" w:space="0" w:color="000000"/>
              <w:bottom w:val="single" w:sz="4" w:space="0" w:color="000000"/>
              <w:right w:val="single" w:sz="4" w:space="0" w:color="000000"/>
            </w:tcBorders>
            <w:shd w:val="clear" w:color="auto" w:fill="F2DBDB" w:themeFill="accent2" w:themeFillTint="33"/>
            <w:vAlign w:val="center"/>
          </w:tcPr>
          <w:p w:rsidR="00457252" w:rsidRDefault="00457252">
            <w:pPr>
              <w:keepLines/>
              <w:ind w:left="57" w:right="57"/>
              <w:jc w:val="both"/>
            </w:pPr>
          </w:p>
        </w:tc>
        <w:tc>
          <w:tcPr>
            <w:tcW w:w="8930" w:type="dxa"/>
            <w:gridSpan w:val="11"/>
            <w:tcBorders>
              <w:top w:val="single" w:sz="12" w:space="0" w:color="000000"/>
              <w:left w:val="single" w:sz="4" w:space="0" w:color="000000"/>
              <w:bottom w:val="single" w:sz="4" w:space="0" w:color="000000"/>
              <w:right w:val="single" w:sz="12" w:space="0" w:color="000000"/>
            </w:tcBorders>
            <w:shd w:val="clear" w:color="auto" w:fill="F2DBDB" w:themeFill="accent2" w:themeFillTint="33"/>
            <w:vAlign w:val="center"/>
          </w:tcPr>
          <w:p w:rsidR="00457252" w:rsidRDefault="00697A5C" w:rsidP="00C95719">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Dosažená hodnota *</w:t>
            </w:r>
          </w:p>
        </w:tc>
      </w:tr>
      <w:tr w:rsidR="00552960" w:rsidTr="00552960">
        <w:trPr>
          <w:cantSplit/>
          <w:tblHeader/>
        </w:trPr>
        <w:tc>
          <w:tcPr>
            <w:tcW w:w="426" w:type="dxa"/>
            <w:vMerge w:val="restart"/>
            <w:tcBorders>
              <w:top w:val="single" w:sz="4" w:space="0" w:color="000000"/>
              <w:left w:val="single" w:sz="12" w:space="0" w:color="000000"/>
              <w:bottom w:val="single" w:sz="12" w:space="0" w:color="000000"/>
              <w:right w:val="single" w:sz="4" w:space="0" w:color="000000"/>
            </w:tcBorders>
            <w:shd w:val="clear" w:color="auto" w:fill="F2DBDB" w:themeFill="accent2" w:themeFillTint="33"/>
            <w:textDirection w:val="btLr"/>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454"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textDirection w:val="btLr"/>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ukazatele</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ID</w:t>
            </w:r>
          </w:p>
        </w:tc>
        <w:tc>
          <w:tcPr>
            <w:tcW w:w="1247"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Ukazatel nebo klíčový prováděcí krok</w:t>
            </w:r>
          </w:p>
        </w:tc>
        <w:tc>
          <w:tcPr>
            <w:tcW w:w="709"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Měrná jednotka</w:t>
            </w: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50" w:type="dxa"/>
            <w:vMerge w:val="restart"/>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Milník pro rok 2018</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Cílová hodnota (2023)</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2014</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2015</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2016</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2017</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2018</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2019</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2020</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2021</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2022</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2023</w:t>
            </w:r>
          </w:p>
        </w:tc>
        <w:tc>
          <w:tcPr>
            <w:tcW w:w="1418" w:type="dxa"/>
            <w:vMerge w:val="restart"/>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 xml:space="preserve">Vysvětlení </w:t>
            </w:r>
            <w:r w:rsidR="00552960">
              <w:rPr>
                <w:rFonts w:ascii="Arial" w:eastAsia="Arial" w:hAnsi="Arial" w:cs="Arial"/>
                <w:b/>
                <w:bCs/>
                <w:color w:val="000000"/>
                <w:sz w:val="14"/>
              </w:rPr>
              <w:br/>
            </w:r>
            <w:r>
              <w:rPr>
                <w:rFonts w:ascii="Arial" w:eastAsia="Arial" w:hAnsi="Arial" w:cs="Arial"/>
                <w:b/>
                <w:bCs/>
                <w:color w:val="000000"/>
                <w:sz w:val="14"/>
              </w:rPr>
              <w:t>(v případě potřeby)</w:t>
            </w:r>
          </w:p>
        </w:tc>
      </w:tr>
      <w:tr w:rsidR="00552960"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457252"/>
        </w:tc>
        <w:tc>
          <w:tcPr>
            <w:tcW w:w="1134"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1276" w:type="dxa"/>
            <w:vMerge/>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tc>
        <w:tc>
          <w:tcPr>
            <w:tcW w:w="751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Roční hodnota</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2DBDB" w:themeFill="accent2" w:themeFillTint="33"/>
            <w:vAlign w:val="center"/>
          </w:tcPr>
          <w:p w:rsidR="00457252" w:rsidRDefault="00457252"/>
        </w:tc>
      </w:tr>
      <w:tr w:rsidR="00457252"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1276"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tc>
        <w:tc>
          <w:tcPr>
            <w:tcW w:w="7512" w:type="dxa"/>
            <w:gridSpan w:val="10"/>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Kumulativní hodnota</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552960"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276"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134"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8"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709" w:type="dxa"/>
            <w:tcBorders>
              <w:top w:val="single" w:sz="4" w:space="0" w:color="000000"/>
              <w:left w:val="single" w:sz="4" w:space="0" w:color="000000"/>
              <w:bottom w:val="single" w:sz="4" w:space="0" w:color="000000"/>
              <w:right w:val="single" w:sz="4" w:space="0" w:color="000000"/>
            </w:tcBorders>
            <w:shd w:val="clear" w:color="auto" w:fill="E5B8B7" w:themeFill="accent2" w:themeFillTint="66"/>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Celkem</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552960"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70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M</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552960" w:rsidTr="00552960">
        <w:trPr>
          <w:cantSplit/>
          <w:tblHeader/>
        </w:trPr>
        <w:tc>
          <w:tcPr>
            <w:tcW w:w="426" w:type="dxa"/>
            <w:vMerge/>
            <w:tcBorders>
              <w:top w:val="single" w:sz="4"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4"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pPr>
          </w:p>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276"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134"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8"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709" w:type="dxa"/>
            <w:tcBorders>
              <w:top w:val="single" w:sz="4" w:space="0" w:color="000000"/>
              <w:left w:val="single" w:sz="4" w:space="0" w:color="000000"/>
              <w:bottom w:val="single" w:sz="12" w:space="0" w:color="000000"/>
              <w:right w:val="single" w:sz="4" w:space="0" w:color="000000"/>
            </w:tcBorders>
            <w:shd w:val="clear" w:color="auto" w:fill="F2DBDB" w:themeFill="accent2" w:themeFillTint="33"/>
            <w:vAlign w:val="center"/>
          </w:tcPr>
          <w:p w:rsidR="00457252" w:rsidRDefault="00697A5C">
            <w:pPr>
              <w:keepNext/>
              <w:keepLines/>
              <w:ind w:left="57" w:right="57"/>
              <w:jc w:val="center"/>
              <w:rPr>
                <w:rFonts w:ascii="Arial" w:eastAsia="Arial" w:hAnsi="Arial" w:cs="Arial"/>
                <w:b/>
                <w:bCs/>
                <w:color w:val="000000"/>
                <w:sz w:val="14"/>
              </w:rPr>
            </w:pPr>
            <w:r>
              <w:rPr>
                <w:rFonts w:ascii="Arial" w:eastAsia="Arial" w:hAnsi="Arial" w:cs="Arial"/>
                <w:b/>
                <w:bCs/>
                <w:color w:val="000000"/>
                <w:sz w:val="14"/>
              </w:rPr>
              <w:t>Ž</w:t>
            </w:r>
          </w:p>
        </w:tc>
        <w:tc>
          <w:tcPr>
            <w:tcW w:w="1418" w:type="dxa"/>
            <w:vMerge/>
            <w:tcBorders>
              <w:top w:val="single" w:sz="4"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07.1</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10000</w:t>
            </w:r>
            <w:r w:rsidR="0016706B">
              <w:rPr>
                <w:rFonts w:ascii="Arial" w:eastAsia="Arial" w:hAnsi="Arial" w:cs="Arial"/>
                <w:color w:val="000000"/>
                <w:sz w:val="14"/>
              </w:rPr>
              <w:t>/CO01</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Podniky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Indikátor dle nastavení </w:t>
            </w:r>
            <w:r w:rsidR="00552960">
              <w:rPr>
                <w:rFonts w:ascii="Arial" w:eastAsia="Arial" w:hAnsi="Arial" w:cs="Arial"/>
                <w:color w:val="000000"/>
                <w:sz w:val="14"/>
              </w:rPr>
              <w:br/>
            </w:r>
            <w:r>
              <w:rPr>
                <w:rFonts w:ascii="Arial" w:eastAsia="Arial" w:hAnsi="Arial" w:cs="Arial"/>
                <w:color w:val="000000"/>
                <w:sz w:val="14"/>
              </w:rPr>
              <w:t xml:space="preserve">v programovém dokumentu bude plněn primárně za pomocí voucherové podpory. Dva projekty podporující inovační spolupráci výzkumné </w:t>
            </w:r>
            <w:r w:rsidR="00552960">
              <w:rPr>
                <w:rFonts w:ascii="Arial" w:eastAsia="Arial" w:hAnsi="Arial" w:cs="Arial"/>
                <w:color w:val="000000"/>
                <w:sz w:val="14"/>
              </w:rPr>
              <w:br/>
            </w:r>
            <w:proofErr w:type="gramStart"/>
            <w:r>
              <w:rPr>
                <w:rFonts w:ascii="Arial" w:eastAsia="Arial" w:hAnsi="Arial" w:cs="Arial"/>
                <w:color w:val="000000"/>
                <w:sz w:val="14"/>
              </w:rPr>
              <w:t>a</w:t>
            </w:r>
            <w:proofErr w:type="gramEnd"/>
            <w:r>
              <w:rPr>
                <w:rFonts w:ascii="Arial" w:eastAsia="Arial" w:hAnsi="Arial" w:cs="Arial"/>
                <w:color w:val="000000"/>
                <w:sz w:val="14"/>
              </w:rPr>
              <w:t xml:space="preserve"> aplikační sféry </w:t>
            </w:r>
            <w:r w:rsidR="00552960">
              <w:rPr>
                <w:rFonts w:ascii="Arial" w:eastAsia="Arial" w:hAnsi="Arial" w:cs="Arial"/>
                <w:color w:val="000000"/>
                <w:sz w:val="14"/>
              </w:rPr>
              <w:br/>
            </w:r>
            <w:r>
              <w:rPr>
                <w:rFonts w:ascii="Arial" w:eastAsia="Arial" w:hAnsi="Arial" w:cs="Arial"/>
                <w:color w:val="000000"/>
                <w:sz w:val="14"/>
              </w:rPr>
              <w:t xml:space="preserve">a podporující poskytování služeb začínajícím podniků zahájili realizaci </w:t>
            </w:r>
            <w:r w:rsidR="00552960">
              <w:rPr>
                <w:rFonts w:ascii="Arial" w:eastAsia="Arial" w:hAnsi="Arial" w:cs="Arial"/>
                <w:color w:val="000000"/>
                <w:sz w:val="14"/>
              </w:rPr>
              <w:br/>
            </w:r>
            <w:r>
              <w:rPr>
                <w:rFonts w:ascii="Arial" w:eastAsia="Arial" w:hAnsi="Arial" w:cs="Arial"/>
                <w:color w:val="000000"/>
                <w:sz w:val="14"/>
              </w:rPr>
              <w:t xml:space="preserve">v říjnu 2017, první podpora podnikům </w:t>
            </w:r>
            <w:r w:rsidR="00552960">
              <w:rPr>
                <w:rFonts w:ascii="Arial" w:eastAsia="Arial" w:hAnsi="Arial" w:cs="Arial"/>
                <w:color w:val="000000"/>
                <w:sz w:val="14"/>
              </w:rPr>
              <w:br/>
            </w:r>
            <w:r>
              <w:rPr>
                <w:rFonts w:ascii="Arial" w:eastAsia="Arial" w:hAnsi="Arial" w:cs="Arial"/>
                <w:color w:val="000000"/>
                <w:sz w:val="14"/>
              </w:rPr>
              <w:t xml:space="preserve">a tedy první naplňování indikátorů bude </w:t>
            </w:r>
            <w:r w:rsidR="00552960">
              <w:rPr>
                <w:rFonts w:ascii="Arial" w:eastAsia="Arial" w:hAnsi="Arial" w:cs="Arial"/>
                <w:color w:val="000000"/>
                <w:sz w:val="14"/>
              </w:rPr>
              <w:br/>
            </w:r>
            <w:r>
              <w:rPr>
                <w:rFonts w:ascii="Arial" w:eastAsia="Arial" w:hAnsi="Arial" w:cs="Arial"/>
                <w:color w:val="000000"/>
                <w:sz w:val="14"/>
              </w:rPr>
              <w:t>v roce 2018.</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39,000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07.1</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20000</w:t>
            </w:r>
            <w:r w:rsidR="00C31112">
              <w:rPr>
                <w:rFonts w:ascii="Arial" w:eastAsia="Arial" w:hAnsi="Arial" w:cs="Arial"/>
                <w:color w:val="000000"/>
                <w:sz w:val="14"/>
              </w:rPr>
              <w:t>/CO26</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podniků spolupracujících s výzkumnými institucemi</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Podniky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Viz vysvětlení </w:t>
            </w:r>
            <w:r w:rsidR="00552960">
              <w:rPr>
                <w:rFonts w:ascii="Arial" w:eastAsia="Arial" w:hAnsi="Arial" w:cs="Arial"/>
                <w:color w:val="000000"/>
                <w:sz w:val="14"/>
              </w:rPr>
              <w:br/>
            </w:r>
            <w:r>
              <w:rPr>
                <w:rFonts w:ascii="Arial" w:eastAsia="Arial" w:hAnsi="Arial" w:cs="Arial"/>
                <w:color w:val="000000"/>
                <w:sz w:val="14"/>
              </w:rPr>
              <w:t>k indikátoru 10000.</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27,000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07.1</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454 127,060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18 747 880,000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124 985 864,000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454 127,060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C95719">
        <w:trPr>
          <w:trHeight w:val="99"/>
        </w:trPr>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07.2</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32500</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Energeticky vztažná plocha zrenovovaných budov</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Plocha v m2</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V roce 2017 nebyl </w:t>
            </w:r>
            <w:r w:rsidR="00552960">
              <w:rPr>
                <w:rFonts w:ascii="Arial" w:eastAsia="Arial" w:hAnsi="Arial" w:cs="Arial"/>
                <w:color w:val="000000"/>
                <w:sz w:val="14"/>
              </w:rPr>
              <w:br/>
            </w:r>
            <w:r>
              <w:rPr>
                <w:rFonts w:ascii="Arial" w:eastAsia="Arial" w:hAnsi="Arial" w:cs="Arial"/>
                <w:color w:val="000000"/>
                <w:sz w:val="14"/>
              </w:rPr>
              <w:t>v realizaci žádný projekt, jehož obsahem by bylo naplnění indikátoru 32500.</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7 470,000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49 800,000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07.2</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74001</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vytvořených parkovacích míst</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Parkovací místa</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V roce 2017 nebyl </w:t>
            </w:r>
            <w:r w:rsidR="00552960">
              <w:rPr>
                <w:rFonts w:ascii="Arial" w:eastAsia="Arial" w:hAnsi="Arial" w:cs="Arial"/>
                <w:color w:val="000000"/>
                <w:sz w:val="14"/>
              </w:rPr>
              <w:br/>
            </w:r>
            <w:r>
              <w:rPr>
                <w:rFonts w:ascii="Arial" w:eastAsia="Arial" w:hAnsi="Arial" w:cs="Arial"/>
                <w:color w:val="000000"/>
                <w:sz w:val="14"/>
              </w:rPr>
              <w:t>v realizaci žádný projekt, jehož obsahem by bylo naplnění indikátoru 74001.</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500,000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1 500,000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07.2</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Realizace prvních projektů byla zahájena v závěru roku, proto nebyly </w:t>
            </w:r>
            <w:r w:rsidR="00552960">
              <w:rPr>
                <w:rFonts w:ascii="Arial" w:eastAsia="Arial" w:hAnsi="Arial" w:cs="Arial"/>
                <w:color w:val="000000"/>
                <w:sz w:val="14"/>
              </w:rPr>
              <w:br/>
            </w:r>
            <w:r>
              <w:rPr>
                <w:rFonts w:ascii="Arial" w:eastAsia="Arial" w:hAnsi="Arial" w:cs="Arial"/>
                <w:color w:val="000000"/>
                <w:sz w:val="14"/>
              </w:rPr>
              <w:t>v roce 2017 certifikovány žádné výdaje.</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29 028 974,000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120 954 062,000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10000</w:t>
            </w:r>
            <w:r w:rsidR="00C31112">
              <w:rPr>
                <w:rFonts w:ascii="Arial" w:eastAsia="Arial" w:hAnsi="Arial" w:cs="Arial"/>
                <w:color w:val="000000"/>
                <w:sz w:val="14"/>
              </w:rPr>
              <w:t>/CO01</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podniků pobírajících podporu</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Podniky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w:t>
            </w:r>
            <w:r w:rsidR="00697A5C">
              <w:rPr>
                <w:rFonts w:ascii="Arial" w:eastAsia="Arial" w:hAnsi="Arial" w:cs="Arial"/>
                <w:color w:val="000000"/>
                <w:sz w:val="14"/>
              </w:rPr>
              <w:t>,000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V současné době ŘO eviduje z výzvy č. 6 dva projekty, které již ukončili relizaci, jeden projekt ukončí svou realizaci v březnu 2018. Dalších 7 projektů z 25.výzvy svou realizaci ukončí buď v roce 2018 nebo v roce 2019.</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12,000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w:t>
            </w:r>
            <w:r w:rsidR="00697A5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55201</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Počet podpořených zařízení v rámci komunitních </w:t>
            </w:r>
            <w:r w:rsidR="00C95719">
              <w:rPr>
                <w:rFonts w:ascii="Arial" w:eastAsia="Arial" w:hAnsi="Arial" w:cs="Arial"/>
                <w:color w:val="000000"/>
                <w:sz w:val="14"/>
              </w:rPr>
              <w:br/>
            </w:r>
            <w:r>
              <w:rPr>
                <w:rFonts w:ascii="Arial" w:eastAsia="Arial" w:hAnsi="Arial" w:cs="Arial"/>
                <w:color w:val="000000"/>
                <w:sz w:val="14"/>
              </w:rPr>
              <w:t>a integračních aktivit</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Zařízení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552960">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V současné době ŘO eviduje z výzvy č. 17 čtyři projekty, které v roce 2017 vykázaly nulovou dosaženou hodnotu. Další projekty pro naplňování tohoto indikátoru jsou již podány do ukončené výzvy </w:t>
            </w:r>
            <w:r w:rsidR="00552960">
              <w:rPr>
                <w:rFonts w:ascii="Arial" w:eastAsia="Arial" w:hAnsi="Arial" w:cs="Arial"/>
                <w:color w:val="000000"/>
                <w:sz w:val="14"/>
              </w:rPr>
              <w:br/>
            </w:r>
            <w:r>
              <w:rPr>
                <w:rFonts w:ascii="Arial" w:eastAsia="Arial" w:hAnsi="Arial" w:cs="Arial"/>
                <w:color w:val="000000"/>
                <w:sz w:val="14"/>
              </w:rPr>
              <w:t>č. 35 (příjem žádostí ukončen v 3/2018).</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10,000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42,000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55401</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Počet podpořených zázemí pro služby a sociální práci</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Zázemí</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697A5C" w:rsidP="00C95719">
            <w:pPr>
              <w:keepLines/>
              <w:tabs>
                <w:tab w:val="left" w:pos="828"/>
              </w:tabs>
              <w:ind w:left="57" w:right="57"/>
              <w:rPr>
                <w:rFonts w:ascii="Arial" w:eastAsia="Arial" w:hAnsi="Arial" w:cs="Arial"/>
                <w:color w:val="000000"/>
                <w:sz w:val="14"/>
              </w:rPr>
            </w:pPr>
            <w:r>
              <w:rPr>
                <w:rFonts w:ascii="Arial" w:eastAsia="Arial" w:hAnsi="Arial" w:cs="Arial"/>
                <w:color w:val="000000"/>
                <w:sz w:val="14"/>
              </w:rPr>
              <w:t xml:space="preserve">V současné době ŘO eviduje z výzvy č. 17 dva projekty, které v roce 2017 vykázaly nulovou dosaženou hodnotu. Další projekty pro naplňování tohoto indikátoru jsou již podány do ukončené výzvy </w:t>
            </w:r>
            <w:r w:rsidR="00C95719">
              <w:rPr>
                <w:rFonts w:ascii="Arial" w:eastAsia="Arial" w:hAnsi="Arial" w:cs="Arial"/>
                <w:color w:val="000000"/>
                <w:sz w:val="14"/>
              </w:rPr>
              <w:br/>
            </w:r>
            <w:r>
              <w:rPr>
                <w:rFonts w:ascii="Arial" w:eastAsia="Arial" w:hAnsi="Arial" w:cs="Arial"/>
                <w:color w:val="000000"/>
                <w:sz w:val="14"/>
              </w:rPr>
              <w:t xml:space="preserve">č. 35 (příjem žádostí ukončen v 3/2018), a jeden project </w:t>
            </w:r>
            <w:r w:rsidR="00C95719">
              <w:rPr>
                <w:rFonts w:ascii="Arial" w:eastAsia="Arial" w:hAnsi="Arial" w:cs="Arial"/>
                <w:color w:val="000000"/>
                <w:sz w:val="14"/>
              </w:rPr>
              <w:br/>
            </w:r>
            <w:r>
              <w:rPr>
                <w:rFonts w:ascii="Arial" w:eastAsia="Arial" w:hAnsi="Arial" w:cs="Arial"/>
                <w:color w:val="000000"/>
                <w:sz w:val="14"/>
              </w:rPr>
              <w:t xml:space="preserve">z výzvy č. 27, který zahájil realizaci </w:t>
            </w:r>
            <w:r w:rsidR="00C95719">
              <w:rPr>
                <w:rFonts w:ascii="Arial" w:eastAsia="Arial" w:hAnsi="Arial" w:cs="Arial"/>
                <w:color w:val="000000"/>
                <w:sz w:val="14"/>
              </w:rPr>
              <w:br/>
            </w:r>
            <w:r>
              <w:rPr>
                <w:rFonts w:ascii="Arial" w:eastAsia="Arial" w:hAnsi="Arial" w:cs="Arial"/>
                <w:color w:val="000000"/>
                <w:sz w:val="14"/>
              </w:rPr>
              <w:t>v roce 2018.</w:t>
            </w: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112,000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60000</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Osoby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ESF</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D1364" w:rsidP="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r w:rsidR="00C31112">
              <w:rPr>
                <w:rFonts w:ascii="Arial" w:eastAsia="Arial" w:hAnsi="Arial" w:cs="Arial"/>
                <w:color w:val="000000"/>
                <w:sz w:val="14"/>
              </w:rPr>
              <w:t>6</w:t>
            </w:r>
            <w:r w:rsidR="00697A5C">
              <w:rPr>
                <w:rFonts w:ascii="Arial" w:eastAsia="Arial" w:hAnsi="Arial" w:cs="Arial"/>
                <w:color w:val="000000"/>
                <w:sz w:val="14"/>
              </w:rPr>
              <w:t>,000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3 975,000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26 500,000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D1364" w:rsidP="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17</w:t>
            </w:r>
            <w:r w:rsidR="00C31112">
              <w:rPr>
                <w:rFonts w:ascii="Arial" w:eastAsia="Arial" w:hAnsi="Arial" w:cs="Arial"/>
                <w:color w:val="000000"/>
                <w:sz w:val="14"/>
              </w:rPr>
              <w:t>6</w:t>
            </w:r>
            <w:r w:rsidR="00697A5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 z EFRR</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95 507,480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3 749 576,000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24 997 172,000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95 507,480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07.3</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Celkové certifikované </w:t>
            </w:r>
            <w:r>
              <w:rPr>
                <w:rFonts w:ascii="Arial" w:eastAsia="Arial" w:hAnsi="Arial" w:cs="Arial"/>
                <w:color w:val="000000"/>
                <w:sz w:val="14"/>
              </w:rPr>
              <w:lastRenderedPageBreak/>
              <w:t>způsobilé výdaje z ESF</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ESF</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806 002,250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3 991 484,000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26 609 894,000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806 002,250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07.4</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50001</w:t>
            </w:r>
            <w:r w:rsidR="00C31112">
              <w:rPr>
                <w:rFonts w:ascii="Arial" w:eastAsia="Arial" w:hAnsi="Arial" w:cs="Arial"/>
                <w:color w:val="000000"/>
                <w:sz w:val="14"/>
              </w:rPr>
              <w:t>/CO35</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Kapacita podporovaných zařízení péče o děti nebo vzdělávacích zařízení</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Osoby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w:t>
            </w:r>
            <w:r w:rsidR="00697A5C">
              <w:rPr>
                <w:rFonts w:ascii="Arial" w:eastAsia="Arial" w:hAnsi="Arial" w:cs="Arial"/>
                <w:color w:val="000000"/>
                <w:sz w:val="14"/>
              </w:rPr>
              <w:t>,000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640,000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3 200,000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619</w:t>
            </w:r>
            <w:r w:rsidR="00697A5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07.4</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Indikátor výstupu</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60000</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Celkový počet účastníků</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Osoby</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ESF</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2A3F31" w:rsidP="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C31112">
              <w:rPr>
                <w:rFonts w:ascii="Arial" w:eastAsia="Arial" w:hAnsi="Arial" w:cs="Arial"/>
                <w:color w:val="000000"/>
                <w:sz w:val="14"/>
              </w:rPr>
              <w:t>5</w:t>
            </w:r>
            <w:r w:rsidR="00697A5C">
              <w:rPr>
                <w:rFonts w:ascii="Arial" w:eastAsia="Arial" w:hAnsi="Arial" w:cs="Arial"/>
                <w:color w:val="000000"/>
                <w:sz w:val="14"/>
              </w:rPr>
              <w:t>,000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952,000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6 351,000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2A3F31" w:rsidP="00C31112">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w:t>
            </w:r>
            <w:r w:rsidR="00C31112">
              <w:rPr>
                <w:rFonts w:ascii="Arial" w:eastAsia="Arial" w:hAnsi="Arial" w:cs="Arial"/>
                <w:color w:val="000000"/>
                <w:sz w:val="14"/>
              </w:rPr>
              <w:t>5</w:t>
            </w:r>
            <w:r w:rsidR="00697A5C">
              <w:rPr>
                <w:rFonts w:ascii="Arial" w:eastAsia="Arial" w:hAnsi="Arial" w:cs="Arial"/>
                <w:color w:val="000000"/>
                <w:sz w:val="14"/>
              </w:rPr>
              <w:t>,000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07.4</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 z EFRR</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EFRR</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2 444 243,650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5 442 932,000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36 286 220,000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2 444 243,650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457252" w:rsidP="00552960">
            <w:pPr>
              <w:ind w:left="113" w:right="113"/>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jc w:val="center"/>
            </w:pPr>
          </w:p>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tc>
      </w:tr>
      <w:tr w:rsidR="00457252" w:rsidTr="00552960">
        <w:tc>
          <w:tcPr>
            <w:tcW w:w="426" w:type="dxa"/>
            <w:vMerge w:val="restart"/>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07.4</w:t>
            </w:r>
          </w:p>
        </w:tc>
        <w:tc>
          <w:tcPr>
            <w:tcW w:w="454" w:type="dxa"/>
            <w:vMerge w:val="restart"/>
            <w:tcBorders>
              <w:top w:val="single" w:sz="12" w:space="0" w:color="000000"/>
              <w:left w:val="single" w:sz="4" w:space="0" w:color="000000"/>
              <w:bottom w:val="single" w:sz="12" w:space="0" w:color="000000"/>
              <w:right w:val="single" w:sz="4" w:space="0" w:color="000000"/>
            </w:tcBorders>
            <w:shd w:val="clear" w:color="auto" w:fill="FFFFFF"/>
            <w:textDirection w:val="btLr"/>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Finanční ukazatel</w:t>
            </w: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FINMT</w:t>
            </w:r>
          </w:p>
        </w:tc>
        <w:tc>
          <w:tcPr>
            <w:tcW w:w="124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Celkové certifikované způsobilé výdaje z ESF</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rsidP="00552960">
            <w:pPr>
              <w:tabs>
                <w:tab w:val="left" w:pos="828"/>
              </w:tabs>
              <w:ind w:left="57" w:right="57"/>
              <w:jc w:val="center"/>
              <w:rPr>
                <w:rFonts w:ascii="Arial" w:eastAsia="Arial" w:hAnsi="Arial" w:cs="Arial"/>
                <w:color w:val="000000"/>
                <w:sz w:val="14"/>
              </w:rPr>
            </w:pPr>
          </w:p>
        </w:tc>
        <w:tc>
          <w:tcPr>
            <w:tcW w:w="567"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rsidP="00552960">
            <w:pPr>
              <w:tabs>
                <w:tab w:val="left" w:pos="828"/>
              </w:tabs>
              <w:ind w:left="57" w:right="57"/>
              <w:jc w:val="center"/>
              <w:rPr>
                <w:rFonts w:ascii="Arial" w:eastAsia="Arial" w:hAnsi="Arial" w:cs="Arial"/>
                <w:color w:val="000000"/>
                <w:sz w:val="14"/>
              </w:rPr>
            </w:pPr>
            <w:r>
              <w:rPr>
                <w:rFonts w:ascii="Arial" w:eastAsia="Arial" w:hAnsi="Arial" w:cs="Arial"/>
                <w:color w:val="000000"/>
                <w:sz w:val="14"/>
              </w:rPr>
              <w:t>ESF</w:t>
            </w:r>
          </w:p>
        </w:tc>
        <w:tc>
          <w:tcPr>
            <w:tcW w:w="85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Více rozvinuté regiony</w:t>
            </w:r>
          </w:p>
        </w:tc>
        <w:tc>
          <w:tcPr>
            <w:tcW w:w="1134"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1276" w:type="dxa"/>
            <w:vMerge w:val="restart"/>
            <w:tcBorders>
              <w:top w:val="single" w:sz="12" w:space="0" w:color="000000"/>
              <w:left w:val="single" w:sz="4" w:space="0" w:color="000000"/>
              <w:right w:val="single" w:sz="4" w:space="0" w:color="000000"/>
            </w:tcBorders>
            <w:shd w:val="clear" w:color="auto" w:fill="E7E6E6"/>
            <w:vAlign w:val="bottom"/>
          </w:tcPr>
          <w:p w:rsidR="00457252" w:rsidRDefault="00457252">
            <w:pPr>
              <w:ind w:left="57" w:right="57"/>
              <w:jc w:val="both"/>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2 977 148,280</w:t>
            </w: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12"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val="restart"/>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rsidP="00552960">
            <w:pPr>
              <w:keepLines/>
              <w:tabs>
                <w:tab w:val="left" w:pos="828"/>
              </w:tabs>
              <w:ind w:left="57" w:right="57"/>
              <w:rPr>
                <w:rFonts w:ascii="Arial" w:eastAsia="Arial" w:hAnsi="Arial" w:cs="Arial"/>
                <w:color w:val="000000"/>
                <w:sz w:val="14"/>
              </w:rPr>
            </w:pPr>
          </w:p>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1276" w:type="dxa"/>
            <w:vMerge/>
            <w:tcBorders>
              <w:top w:val="single" w:sz="12" w:space="0" w:color="000000"/>
              <w:left w:val="single" w:sz="4" w:space="0" w:color="000000"/>
              <w:right w:val="single" w:sz="4" w:space="0" w:color="000000"/>
            </w:tcBorders>
            <w:shd w:val="clear" w:color="auto" w:fill="E7E6E6"/>
            <w:vAlign w:val="bottom"/>
          </w:tcPr>
          <w:p w:rsidR="00457252" w:rsidRDefault="00457252"/>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left w:val="single" w:sz="4" w:space="0" w:color="000000"/>
              <w:bottom w:val="single" w:sz="4" w:space="0" w:color="000000"/>
              <w:right w:val="single" w:sz="4" w:space="0" w:color="000000"/>
            </w:tcBorders>
            <w:shd w:val="clear" w:color="auto" w:fill="E7E6E6"/>
            <w:vAlign w:val="bottom"/>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7 982 968,000</w:t>
            </w:r>
          </w:p>
        </w:tc>
        <w:tc>
          <w:tcPr>
            <w:tcW w:w="1276" w:type="dxa"/>
            <w:tcBorders>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53 219 788,000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2 977 148,280</w:t>
            </w: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bottom"/>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r w:rsidR="00457252" w:rsidTr="00552960">
        <w:tc>
          <w:tcPr>
            <w:tcW w:w="426" w:type="dxa"/>
            <w:vMerge/>
            <w:tcBorders>
              <w:top w:val="single" w:sz="12" w:space="0" w:color="000000"/>
              <w:left w:val="single" w:sz="12" w:space="0" w:color="000000"/>
              <w:bottom w:val="single" w:sz="12" w:space="0" w:color="000000"/>
              <w:right w:val="single" w:sz="4" w:space="0" w:color="000000"/>
            </w:tcBorders>
            <w:shd w:val="clear" w:color="auto" w:fill="FFFFFF"/>
            <w:vAlign w:val="center"/>
          </w:tcPr>
          <w:p w:rsidR="00457252" w:rsidRDefault="00457252"/>
        </w:tc>
        <w:tc>
          <w:tcPr>
            <w:tcW w:w="454"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24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709"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567"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85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457252" w:rsidRDefault="00457252"/>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276"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1134"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0,000</w:t>
            </w: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8"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709" w:type="dxa"/>
            <w:tcBorders>
              <w:top w:val="single" w:sz="4" w:space="0" w:color="000000"/>
              <w:left w:val="single" w:sz="4" w:space="0" w:color="000000"/>
              <w:bottom w:val="single" w:sz="12"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1418" w:type="dxa"/>
            <w:vMerge/>
            <w:tcBorders>
              <w:top w:val="single" w:sz="12" w:space="0" w:color="000000"/>
              <w:left w:val="single" w:sz="4" w:space="0" w:color="000000"/>
              <w:bottom w:val="single" w:sz="12" w:space="0" w:color="000000"/>
              <w:right w:val="single" w:sz="12" w:space="0" w:color="000000"/>
            </w:tcBorders>
            <w:shd w:val="clear" w:color="auto" w:fill="FFFFFF"/>
            <w:vAlign w:val="center"/>
          </w:tcPr>
          <w:p w:rsidR="00457252" w:rsidRDefault="00457252"/>
        </w:tc>
      </w:tr>
    </w:tbl>
    <w:p w:rsidR="00457252" w:rsidRDefault="00697A5C">
      <w:pPr>
        <w:ind w:left="115" w:right="812"/>
        <w:rPr>
          <w:rFonts w:ascii="Arial" w:eastAsia="Arial" w:hAnsi="Arial" w:cs="Arial"/>
          <w:color w:val="000000"/>
          <w:sz w:val="16"/>
        </w:rPr>
      </w:pPr>
      <w:r>
        <w:rPr>
          <w:rFonts w:ascii="Arial" w:eastAsia="Arial" w:hAnsi="Arial" w:cs="Arial"/>
          <w:color w:val="000000"/>
          <w:sz w:val="16"/>
        </w:rPr>
        <w:t>*</w:t>
      </w:r>
      <w:r>
        <w:rPr>
          <w:rFonts w:ascii="Arial" w:eastAsia="Arial" w:hAnsi="Arial" w:cs="Arial"/>
          <w:color w:val="000000"/>
          <w:sz w:val="16"/>
        </w:rPr>
        <w:tab/>
        <w:t xml:space="preserve">Pro EFRR nebo Fond soudržnosti předloží členské státy pro ukazatele výstupů kumulativní hodnoty. Pro ESF jsou kumulativní hodnoty systémem SFC2014 vypočítány automaticky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základě ročních hodnot poskytnutých členskými státy. Hodnoty pro finanční ukazatele jsou kumulativní pro všechny fondy. Hodnoty pro klíčové prováděcí kroky jsou kumulativní pro všechny fondy, pokud jsou klíčové prováděcí kroky vyjádřeny pomocí čísla nebo procentního podílu. Je-li výsledek vymezen kvalitativně, je nutno v tabulce uvést, zda jej bylo dosaženo, či nikoli.</w:t>
      </w:r>
    </w:p>
    <w:p w:rsidR="00457252" w:rsidRDefault="00697A5C" w:rsidP="004A0E17">
      <w:pPr>
        <w:pStyle w:val="Nadpis2"/>
      </w:pPr>
      <w:bookmarkStart w:id="12" w:name="_Toc512860939"/>
      <w:r>
        <w:lastRenderedPageBreak/>
        <w:t>Finanční údaje (čl. 50 odst. 2 nařízení (EU) č. 1303/2013)</w:t>
      </w:r>
      <w:bookmarkEnd w:id="12"/>
    </w:p>
    <w:p w:rsidR="00457252" w:rsidRDefault="00697A5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 xml:space="preserve">Tabulka 6: Finanční údaje </w:t>
      </w:r>
      <w:proofErr w:type="gramStart"/>
      <w:r>
        <w:rPr>
          <w:rFonts w:ascii="Arial" w:eastAsia="Arial" w:hAnsi="Arial" w:cs="Arial"/>
          <w:b/>
          <w:bCs/>
          <w:i/>
          <w:iCs/>
          <w:color w:val="000000"/>
          <w:sz w:val="20"/>
        </w:rPr>
        <w:t>na</w:t>
      </w:r>
      <w:proofErr w:type="gramEnd"/>
      <w:r>
        <w:rPr>
          <w:rFonts w:ascii="Arial" w:eastAsia="Arial" w:hAnsi="Arial" w:cs="Arial"/>
          <w:b/>
          <w:bCs/>
          <w:i/>
          <w:iCs/>
          <w:color w:val="000000"/>
          <w:sz w:val="20"/>
        </w:rPr>
        <w:t xml:space="preserve"> úrovni prioritních os a programů stanovené v tabulce 1 přílohy II prováděcího nařízení Komise (EU) č. 1011/2014</w:t>
      </w:r>
      <w:r>
        <w:rPr>
          <w:rFonts w:ascii="Arial" w:eastAsia="Arial" w:hAnsi="Arial" w:cs="Arial"/>
          <w:b/>
          <w:bCs/>
          <w:i/>
          <w:iCs/>
          <w:color w:val="000000"/>
          <w:sz w:val="16"/>
        </w:rPr>
        <w:t xml:space="preserve"> (11)</w:t>
      </w:r>
    </w:p>
    <w:p w:rsidR="00457252" w:rsidRDefault="00457252">
      <w:pPr>
        <w:keepNext/>
        <w:tabs>
          <w:tab w:val="left" w:pos="1675"/>
        </w:tabs>
        <w:ind w:left="115" w:right="106"/>
        <w:rPr>
          <w:rFonts w:ascii="Arial" w:eastAsia="Arial" w:hAnsi="Arial" w:cs="Arial"/>
          <w:color w:val="000000"/>
          <w:sz w:val="20"/>
        </w:rPr>
      </w:pPr>
    </w:p>
    <w:tbl>
      <w:tblPr>
        <w:tblW w:w="0" w:type="auto"/>
        <w:tblLayout w:type="fixed"/>
        <w:tblCellMar>
          <w:left w:w="0" w:type="dxa"/>
          <w:right w:w="0" w:type="dxa"/>
        </w:tblCellMar>
        <w:tblLook w:val="04A0" w:firstRow="1" w:lastRow="0" w:firstColumn="1" w:lastColumn="0" w:noHBand="0" w:noVBand="1"/>
      </w:tblPr>
      <w:tblGrid>
        <w:gridCol w:w="3825"/>
        <w:gridCol w:w="567"/>
        <w:gridCol w:w="992"/>
        <w:gridCol w:w="851"/>
        <w:gridCol w:w="1135"/>
        <w:gridCol w:w="1276"/>
        <w:gridCol w:w="1276"/>
        <w:gridCol w:w="1275"/>
        <w:gridCol w:w="992"/>
        <w:gridCol w:w="1265"/>
        <w:gridCol w:w="11"/>
        <w:gridCol w:w="992"/>
        <w:gridCol w:w="993"/>
      </w:tblGrid>
      <w:tr w:rsidR="004A0E17" w:rsidTr="00E74CC1">
        <w:trPr>
          <w:cantSplit/>
          <w:tblHeader/>
        </w:trPr>
        <w:tc>
          <w:tcPr>
            <w:tcW w:w="3825"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567"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992"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851"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Základ pro výpočet příspěvku Unie (CZV nebo VZV)</w:t>
            </w:r>
          </w:p>
        </w:tc>
        <w:tc>
          <w:tcPr>
            <w:tcW w:w="1135"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Celková alokace [EUR]</w:t>
            </w:r>
          </w:p>
        </w:tc>
        <w:tc>
          <w:tcPr>
            <w:tcW w:w="1276"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Míra spolufinancování [%]</w:t>
            </w:r>
          </w:p>
        </w:tc>
        <w:tc>
          <w:tcPr>
            <w:tcW w:w="1276"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výdaje ve schválených operacích [EUR]</w:t>
            </w:r>
          </w:p>
        </w:tc>
        <w:tc>
          <w:tcPr>
            <w:tcW w:w="1275"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výdaje ve schválených operacích [EUR]</w:t>
            </w:r>
          </w:p>
        </w:tc>
        <w:tc>
          <w:tcPr>
            <w:tcW w:w="992"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 alokace kryté schválenými operacemi [%]</w:t>
            </w:r>
          </w:p>
        </w:tc>
        <w:tc>
          <w:tcPr>
            <w:tcW w:w="1265"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výdaje, které vykázali příjemci řídícímu orgánu [EUR]</w:t>
            </w:r>
          </w:p>
        </w:tc>
        <w:tc>
          <w:tcPr>
            <w:tcW w:w="1003" w:type="dxa"/>
            <w:gridSpan w:val="2"/>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Podíl celkové alokace kryté způsobilými výdaji, které vykázali příjemci [%]</w:t>
            </w:r>
          </w:p>
        </w:tc>
        <w:tc>
          <w:tcPr>
            <w:tcW w:w="993" w:type="dxa"/>
            <w:tcBorders>
              <w:top w:val="single" w:sz="2" w:space="0" w:color="000000"/>
              <w:left w:val="single" w:sz="2" w:space="0" w:color="000000"/>
              <w:bottom w:val="single" w:sz="2" w:space="0" w:color="000000"/>
              <w:right w:val="single" w:sz="2"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Počet schválených operací</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07.1 Posílení výzkumu, technologického rozvoje a inovací</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EFRR</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124 985 864,00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47 872 421,08</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53 191 579,00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42,56</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694 313,88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0,56</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39</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07.2 Udržitelná mobilita a energetické úspory</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EFRR</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120 954 062,00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29 194 658,10</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33 931 816,38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28,05</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0,00</w:t>
            </w:r>
            <w:r w:rsidR="004A0E17" w:rsidRPr="00E165C7">
              <w:rPr>
                <w:rFonts w:ascii="Arial" w:hAnsi="Arial" w:cs="Arial"/>
                <w:sz w:val="14"/>
                <w:szCs w:val="14"/>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0,00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16</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07.3 Podpora sociálního začleňování a boj proti chudobě</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EFRR</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24 997 172,00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2 856 397,44</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3 264 612,12</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13,06</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237 853,10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0,95</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17</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07.3 Podpora sociálního začleňování a boj proti chudobě</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ESF</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26 609 894,00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13 375 007,11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13 419 628,63</w:t>
            </w:r>
            <w:r w:rsidR="004A0E17" w:rsidRPr="00E165C7">
              <w:rPr>
                <w:rFonts w:ascii="Arial" w:hAnsi="Arial" w:cs="Arial"/>
                <w:sz w:val="14"/>
                <w:szCs w:val="14"/>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50,43</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1 312 691,72</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4,93</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82</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07.4 Vzdělání a vzdělanost a podpora zaměstnanosti</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EFRR</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36 286 220,00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17 030 257,07</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21 204 718,35</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58,44</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2 951 963,71</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8,14</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25</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E74CC1">
            <w:pPr>
              <w:keepLines/>
              <w:ind w:left="57" w:right="57"/>
              <w:rPr>
                <w:rFonts w:ascii="Arial" w:hAnsi="Arial" w:cs="Arial"/>
                <w:sz w:val="14"/>
                <w:szCs w:val="14"/>
              </w:rPr>
            </w:pPr>
            <w:r w:rsidRPr="00E165C7">
              <w:rPr>
                <w:rFonts w:ascii="Arial" w:hAnsi="Arial" w:cs="Arial"/>
                <w:sz w:val="14"/>
                <w:szCs w:val="14"/>
              </w:rPr>
              <w:t>07.4 Vzdělání a vzdělanost a podpora zaměstnanosti</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ESF</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53 219 788,00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16 031 224,18</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16 391 377,81</w:t>
            </w:r>
            <w:r w:rsidR="004A0E17" w:rsidRPr="00E165C7">
              <w:rPr>
                <w:rFonts w:ascii="Arial" w:hAnsi="Arial" w:cs="Arial"/>
                <w:sz w:val="14"/>
                <w:szCs w:val="14"/>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30,80</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2 748 822,60</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5,17</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110</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Pr>
                <w:rFonts w:ascii="Arial" w:hAnsi="Arial" w:cs="Arial"/>
                <w:sz w:val="14"/>
                <w:szCs w:val="14"/>
              </w:rPr>
              <w:t>07.5 Technická pomoc</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Pr>
                <w:rFonts w:ascii="Arial" w:hAnsi="Arial" w:cs="Arial"/>
                <w:sz w:val="14"/>
                <w:szCs w:val="14"/>
              </w:rPr>
              <w:t>ESF</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16 127 208,00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18 408 735,93</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Default="004A0E17" w:rsidP="004A0E17">
            <w:pPr>
              <w:keepLines/>
              <w:ind w:left="57" w:right="57"/>
              <w:jc w:val="right"/>
              <w:rPr>
                <w:rFonts w:ascii="Arial" w:hAnsi="Arial" w:cs="Arial"/>
                <w:sz w:val="14"/>
                <w:szCs w:val="14"/>
              </w:rPr>
            </w:pPr>
            <w:r>
              <w:rPr>
                <w:rFonts w:ascii="Arial" w:hAnsi="Arial" w:cs="Arial"/>
                <w:sz w:val="14"/>
                <w:szCs w:val="14"/>
              </w:rPr>
              <w:t>18 408 735,93</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114,15</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2 999 546,06</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18,60</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07 Operační program Praha - pól růstu ČR</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EFRR</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307 223 318,00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96 953 733,69</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111 592 725,85</w:t>
            </w:r>
            <w:r w:rsidR="004A0E17" w:rsidRPr="00E165C7">
              <w:rPr>
                <w:rFonts w:ascii="Arial" w:hAnsi="Arial" w:cs="Arial"/>
                <w:sz w:val="14"/>
                <w:szCs w:val="14"/>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36,32</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AF7E8D">
            <w:pPr>
              <w:keepLines/>
              <w:ind w:left="57" w:right="57"/>
              <w:jc w:val="right"/>
              <w:rPr>
                <w:rFonts w:ascii="Arial" w:hAnsi="Arial" w:cs="Arial"/>
                <w:sz w:val="14"/>
                <w:szCs w:val="14"/>
              </w:rPr>
            </w:pPr>
            <w:r w:rsidRPr="00E165C7">
              <w:rPr>
                <w:rFonts w:ascii="Arial" w:hAnsi="Arial" w:cs="Arial"/>
                <w:sz w:val="14"/>
                <w:szCs w:val="14"/>
              </w:rPr>
              <w:t>3 884 130,</w:t>
            </w:r>
            <w:r w:rsidR="00AF7E8D">
              <w:rPr>
                <w:rFonts w:ascii="Arial" w:hAnsi="Arial" w:cs="Arial"/>
                <w:sz w:val="14"/>
                <w:szCs w:val="14"/>
              </w:rPr>
              <w:t>69</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1,26</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97</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07 Operační program Praha - pól růstu ČR</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Pr>
                <w:rFonts w:ascii="Arial" w:hAnsi="Arial" w:cs="Arial"/>
                <w:sz w:val="14"/>
                <w:szCs w:val="14"/>
              </w:rPr>
              <w:t>ESF</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Více rozvinuté regiony</w:t>
            </w: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95 956 890,00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47 814 967,22</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Default="003B123A" w:rsidP="004A0E17">
            <w:pPr>
              <w:keepLines/>
              <w:ind w:left="57" w:right="57"/>
              <w:jc w:val="right"/>
              <w:rPr>
                <w:rFonts w:ascii="Arial" w:hAnsi="Arial" w:cs="Arial"/>
                <w:sz w:val="14"/>
                <w:szCs w:val="14"/>
              </w:rPr>
            </w:pPr>
            <w:r>
              <w:rPr>
                <w:rFonts w:ascii="Arial" w:hAnsi="Arial" w:cs="Arial"/>
                <w:sz w:val="14"/>
                <w:szCs w:val="14"/>
              </w:rPr>
              <w:t>48 219 742,37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50,25</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7 061 060,38</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Pr>
                <w:rFonts w:ascii="Arial" w:hAnsi="Arial" w:cs="Arial"/>
                <w:sz w:val="14"/>
                <w:szCs w:val="14"/>
              </w:rPr>
              <w:t>7,36</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195</w:t>
            </w:r>
          </w:p>
        </w:tc>
      </w:tr>
      <w:tr w:rsidR="004A0E17" w:rsidRPr="00E165C7" w:rsidTr="00E74CC1">
        <w:trPr>
          <w:trHeight w:val="510"/>
        </w:trPr>
        <w:tc>
          <w:tcPr>
            <w:tcW w:w="382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r w:rsidRPr="00E165C7">
              <w:rPr>
                <w:rFonts w:ascii="Arial" w:hAnsi="Arial" w:cs="Arial"/>
                <w:sz w:val="14"/>
                <w:szCs w:val="14"/>
              </w:rPr>
              <w:t>07 Operační program Praha - pól růstu ČR</w:t>
            </w:r>
          </w:p>
        </w:tc>
        <w:tc>
          <w:tcPr>
            <w:tcW w:w="567"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rPr>
                <w:rFonts w:ascii="Arial" w:hAnsi="Arial" w:cs="Arial"/>
                <w:sz w:val="14"/>
                <w:szCs w:val="14"/>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center"/>
              <w:rPr>
                <w:rFonts w:ascii="Arial" w:hAnsi="Arial" w:cs="Arial"/>
                <w:sz w:val="14"/>
                <w:szCs w:val="14"/>
              </w:rPr>
            </w:pPr>
            <w:r w:rsidRPr="00E165C7">
              <w:rPr>
                <w:rFonts w:ascii="Arial" w:hAnsi="Arial" w:cs="Arial"/>
                <w:sz w:val="14"/>
                <w:szCs w:val="14"/>
              </w:rPr>
              <w:t>CZV</w:t>
            </w:r>
          </w:p>
        </w:tc>
        <w:tc>
          <w:tcPr>
            <w:tcW w:w="113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403 180 208,00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50,00</w:t>
            </w:r>
          </w:p>
        </w:tc>
        <w:tc>
          <w:tcPr>
            <w:tcW w:w="1276"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144 768 700,91</w:t>
            </w:r>
          </w:p>
        </w:tc>
        <w:tc>
          <w:tcPr>
            <w:tcW w:w="1275"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159 812 468,22</w:t>
            </w:r>
            <w:r w:rsidR="004A0E17" w:rsidRPr="00E165C7">
              <w:rPr>
                <w:rFonts w:ascii="Arial" w:hAnsi="Arial" w:cs="Arial"/>
                <w:sz w:val="14"/>
                <w:szCs w:val="14"/>
              </w:rPr>
              <w:t> </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39,64</w:t>
            </w:r>
          </w:p>
        </w:tc>
        <w:tc>
          <w:tcPr>
            <w:tcW w:w="1276" w:type="dxa"/>
            <w:gridSpan w:val="2"/>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3B123A">
            <w:pPr>
              <w:keepLines/>
              <w:ind w:left="57" w:right="57"/>
              <w:jc w:val="right"/>
              <w:rPr>
                <w:rFonts w:ascii="Arial" w:hAnsi="Arial" w:cs="Arial"/>
                <w:sz w:val="14"/>
                <w:szCs w:val="14"/>
              </w:rPr>
            </w:pPr>
            <w:r w:rsidRPr="00E165C7">
              <w:rPr>
                <w:rFonts w:ascii="Arial" w:hAnsi="Arial" w:cs="Arial"/>
                <w:sz w:val="14"/>
                <w:szCs w:val="14"/>
              </w:rPr>
              <w:t>10 945 191,</w:t>
            </w:r>
            <w:r w:rsidR="003B123A" w:rsidRPr="00E165C7">
              <w:rPr>
                <w:rFonts w:ascii="Arial" w:hAnsi="Arial" w:cs="Arial"/>
                <w:sz w:val="14"/>
                <w:szCs w:val="14"/>
              </w:rPr>
              <w:t>0</w:t>
            </w:r>
            <w:r w:rsidR="003B123A">
              <w:rPr>
                <w:rFonts w:ascii="Arial" w:hAnsi="Arial" w:cs="Arial"/>
                <w:sz w:val="14"/>
                <w:szCs w:val="14"/>
              </w:rPr>
              <w:t>7</w:t>
            </w:r>
          </w:p>
        </w:tc>
        <w:tc>
          <w:tcPr>
            <w:tcW w:w="992"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4A0E17" w:rsidP="004A0E17">
            <w:pPr>
              <w:keepLines/>
              <w:ind w:left="57" w:right="57"/>
              <w:jc w:val="right"/>
              <w:rPr>
                <w:rFonts w:ascii="Arial" w:hAnsi="Arial" w:cs="Arial"/>
                <w:sz w:val="14"/>
                <w:szCs w:val="14"/>
              </w:rPr>
            </w:pPr>
            <w:r w:rsidRPr="00E165C7">
              <w:rPr>
                <w:rFonts w:ascii="Arial" w:hAnsi="Arial" w:cs="Arial"/>
                <w:sz w:val="14"/>
                <w:szCs w:val="14"/>
              </w:rPr>
              <w:t>2,71</w:t>
            </w:r>
          </w:p>
        </w:tc>
        <w:tc>
          <w:tcPr>
            <w:tcW w:w="993"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4A0E17" w:rsidRPr="00E165C7" w:rsidRDefault="003B123A" w:rsidP="004A0E17">
            <w:pPr>
              <w:keepLines/>
              <w:ind w:left="57" w:right="57"/>
              <w:jc w:val="right"/>
              <w:rPr>
                <w:rFonts w:ascii="Arial" w:hAnsi="Arial" w:cs="Arial"/>
                <w:sz w:val="14"/>
                <w:szCs w:val="14"/>
              </w:rPr>
            </w:pPr>
            <w:r>
              <w:rPr>
                <w:rFonts w:ascii="Arial" w:hAnsi="Arial" w:cs="Arial"/>
                <w:sz w:val="14"/>
                <w:szCs w:val="14"/>
              </w:rPr>
              <w:t>292</w:t>
            </w:r>
          </w:p>
        </w:tc>
      </w:tr>
    </w:tbl>
    <w:p w:rsidR="00457252" w:rsidRDefault="00457252">
      <w:pPr>
        <w:tabs>
          <w:tab w:val="left" w:pos="1675"/>
        </w:tabs>
        <w:ind w:left="115" w:right="106"/>
        <w:rPr>
          <w:rFonts w:ascii="Arial" w:eastAsia="Arial" w:hAnsi="Arial" w:cs="Arial"/>
          <w:color w:val="000000"/>
          <w:sz w:val="20"/>
        </w:rPr>
      </w:pPr>
    </w:p>
    <w:p w:rsidR="00457252" w:rsidRDefault="00697A5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lastRenderedPageBreak/>
        <w:t xml:space="preserve">Tabulka 7: Rozdělení kumulativních finančních údajů podle kategorie intervencí u EFRR, ESF a Fondu soudržnosti (čl. 112 odst. 1 a 2 nařízení (EU) č. 1303/2013 </w:t>
      </w:r>
      <w:r w:rsidR="00E74CC1">
        <w:rPr>
          <w:rFonts w:ascii="Arial" w:eastAsia="Arial" w:hAnsi="Arial" w:cs="Arial"/>
          <w:b/>
          <w:bCs/>
          <w:i/>
          <w:iCs/>
          <w:color w:val="000000"/>
          <w:sz w:val="20"/>
        </w:rPr>
        <w:br/>
      </w:r>
      <w:r>
        <w:rPr>
          <w:rFonts w:ascii="Arial" w:eastAsia="Arial" w:hAnsi="Arial" w:cs="Arial"/>
          <w:b/>
          <w:bCs/>
          <w:i/>
          <w:iCs/>
          <w:color w:val="000000"/>
          <w:sz w:val="20"/>
        </w:rPr>
        <w:t>a článek 5 nařízení (EU) č. 1304/2013</w:t>
      </w:r>
      <w:proofErr w:type="gramStart"/>
      <w:r>
        <w:rPr>
          <w:rFonts w:ascii="Arial" w:eastAsia="Arial" w:hAnsi="Arial" w:cs="Arial"/>
          <w:b/>
          <w:bCs/>
          <w:i/>
          <w:iCs/>
          <w:color w:val="000000"/>
          <w:sz w:val="20"/>
        </w:rPr>
        <w:t>)(</w:t>
      </w:r>
      <w:proofErr w:type="gramEnd"/>
      <w:r>
        <w:rPr>
          <w:rFonts w:ascii="Arial" w:eastAsia="Arial" w:hAnsi="Arial" w:cs="Arial"/>
          <w:b/>
          <w:bCs/>
          <w:i/>
          <w:iCs/>
          <w:color w:val="000000"/>
          <w:sz w:val="20"/>
        </w:rPr>
        <w:t>jak je stanoveno v tabulce 2 přílohy II prováděcího nařízení Komise (EU) č. 1011/2014)</w:t>
      </w:r>
    </w:p>
    <w:p w:rsidR="00457252" w:rsidRDefault="00457252">
      <w:pPr>
        <w:keepNext/>
        <w:tabs>
          <w:tab w:val="left" w:pos="1675"/>
        </w:tabs>
        <w:ind w:left="115" w:right="106"/>
        <w:rPr>
          <w:rFonts w:ascii="Arial" w:eastAsia="Arial" w:hAnsi="Arial" w:cs="Arial"/>
          <w:color w:val="000000"/>
          <w:sz w:val="20"/>
        </w:rPr>
      </w:pPr>
    </w:p>
    <w:tbl>
      <w:tblPr>
        <w:tblW w:w="14288" w:type="dxa"/>
        <w:jc w:val="center"/>
        <w:tblLayout w:type="fixed"/>
        <w:tblCellMar>
          <w:left w:w="0" w:type="dxa"/>
          <w:right w:w="0" w:type="dxa"/>
        </w:tblCellMar>
        <w:tblLook w:val="04A0" w:firstRow="1" w:lastRow="0" w:firstColumn="1" w:lastColumn="0" w:noHBand="0" w:noVBand="1"/>
      </w:tblPr>
      <w:tblGrid>
        <w:gridCol w:w="681"/>
        <w:gridCol w:w="567"/>
        <w:gridCol w:w="849"/>
        <w:gridCol w:w="857"/>
        <w:gridCol w:w="986"/>
        <w:gridCol w:w="567"/>
        <w:gridCol w:w="1134"/>
        <w:gridCol w:w="851"/>
        <w:gridCol w:w="708"/>
        <w:gridCol w:w="992"/>
        <w:gridCol w:w="851"/>
        <w:gridCol w:w="1418"/>
        <w:gridCol w:w="1417"/>
        <w:gridCol w:w="1418"/>
        <w:gridCol w:w="992"/>
      </w:tblGrid>
      <w:tr w:rsidR="004A0E17" w:rsidTr="00E74CC1">
        <w:trPr>
          <w:cantSplit/>
          <w:tblHeader/>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Fond</w:t>
            </w:r>
          </w:p>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Kategorie regionu</w:t>
            </w:r>
          </w:p>
        </w:tc>
        <w:tc>
          <w:tcPr>
            <w:tcW w:w="8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Oblast intervence</w:t>
            </w:r>
          </w:p>
        </w:tc>
        <w:tc>
          <w:tcPr>
            <w:tcW w:w="98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Forma financování</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Typ území</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Mechanismus územního plnění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Tematický cíl (pouze pro EFRR a FS)</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Vedlejší téma ESF</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Ekonomická aktivita</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Lokalizace</w:t>
            </w:r>
          </w:p>
        </w:tc>
        <w:tc>
          <w:tcPr>
            <w:tcW w:w="14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výdaje ve schválených operacích (EUR)</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Veřejné způsobilé výdaje ve schválených operacích (EUR)</w:t>
            </w:r>
          </w:p>
        </w:tc>
        <w:tc>
          <w:tcPr>
            <w:tcW w:w="14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výdaje, které vykázali příjemci řídicímu orgánu</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Počet schválených operací</w:t>
            </w:r>
          </w:p>
        </w:tc>
      </w:tr>
      <w:tr w:rsidR="004A0E17" w:rsidTr="00E74CC1">
        <w:trPr>
          <w:cantSplit/>
          <w:tblHeader/>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84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85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98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7</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11</w:t>
            </w:r>
          </w:p>
        </w:tc>
        <w:tc>
          <w:tcPr>
            <w:tcW w:w="14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13</w:t>
            </w:r>
          </w:p>
        </w:tc>
        <w:tc>
          <w:tcPr>
            <w:tcW w:w="141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A0E17" w:rsidRDefault="004A0E17" w:rsidP="004A0E17">
            <w:pPr>
              <w:keepLines/>
              <w:ind w:left="57" w:right="57"/>
              <w:jc w:val="center"/>
              <w:rPr>
                <w:rFonts w:ascii="Arial" w:eastAsia="Arial" w:hAnsi="Arial" w:cs="Arial"/>
                <w:b/>
                <w:bCs/>
                <w:color w:val="000000"/>
                <w:sz w:val="14"/>
              </w:rPr>
            </w:pPr>
            <w:r>
              <w:rPr>
                <w:rFonts w:ascii="Arial" w:eastAsia="Arial" w:hAnsi="Arial" w:cs="Arial"/>
                <w:b/>
                <w:bCs/>
                <w:color w:val="000000"/>
                <w:sz w:val="14"/>
              </w:rPr>
              <w:t>15</w:t>
            </w:r>
          </w:p>
        </w:tc>
      </w:tr>
      <w:tr w:rsidR="00AF7E8D" w:rsidRPr="00365BE5" w:rsidTr="00AF7E8D">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1 506 548,07</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1 355 893,27</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AF7E8D">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1 234 547,46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1 111 092,71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2 269 442,91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2 042 498,63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150 471,87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135 424,68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1 323 525,46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1 191 172,91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3 106 783,12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2 796 104,81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5 499 308,32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4 949 377,48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7</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20</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2 920 857,94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2 628 772,15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2 162 225,56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1 946 003,00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245 565,63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5 794 518,83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5 215 066,93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448 748,25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2 847 413,00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2 562 671,70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064</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11 517 932,04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10 366 138,84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066</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11 517 710,50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10 365 939,45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067</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1 340 293,92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1 206 264,52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7 715 373,64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6 558 067,59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6</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19 164 159,24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16 289 535,35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8</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07.2</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04</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7 052 283,50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6 347 055,16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354 128,45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283 302,76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2 207 718,22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1 870 329,23</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137 507,13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439 414,26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439 414,26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136 534,62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136 534,62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09</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126 816,57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126 816,57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100 345,97</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341 283,74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341 283,74</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32 019,74</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196 490,97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196 490,97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57 064,42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17 463,91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17 463,91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8 605,78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197 581,89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197 581,89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24 685,30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187 505,70</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187 505,70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303 586,45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288 407,12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334 679,56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334 679,56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27 313,10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9 093 003,15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9 068 242,67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998 577,82</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53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198 268,38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198 268,38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32 870,10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07.3</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2 549 764,88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2 545 083,17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131 555,46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17</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3 488 798,57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2 791 038,87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10 136 680,71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8 160 420,76</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1 807 762,92</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1 446 210,35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881 759,83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4</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5 257 443,41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4 205 954,72</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26 729,15</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7</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lastRenderedPageBreak/>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EFRR</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052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514 032,74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426 632,37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2 043 474,73</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1 082 931,26</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1 028 784,71</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2 748 822,60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6</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105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3 667 979,85</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3 443 153,85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10 942 679,13</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10 861 498,05</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80</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494 765,18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494 765,18</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3</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07.4</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115</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02</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24</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203 022,39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203 022,39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2</w:t>
            </w:r>
          </w:p>
        </w:tc>
      </w:tr>
      <w:tr w:rsidR="00AF7E8D"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121</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AF7E8D" w:rsidRPr="00365BE5" w:rsidRDefault="00AF7E8D" w:rsidP="00AF7E8D">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7 948 381,47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7 948 381,47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2A7E25" w:rsidRDefault="00AF7E8D" w:rsidP="00AF7E8D">
            <w:pPr>
              <w:keepLines/>
              <w:ind w:left="57" w:right="57"/>
              <w:jc w:val="right"/>
              <w:rPr>
                <w:rFonts w:ascii="Arial" w:eastAsia="Arial" w:hAnsi="Arial" w:cs="Arial"/>
                <w:color w:val="000000"/>
                <w:sz w:val="14"/>
                <w:szCs w:val="14"/>
              </w:rPr>
            </w:pPr>
            <w:r w:rsidRPr="002A7E25">
              <w:rPr>
                <w:rFonts w:ascii="Arial" w:hAnsi="Arial" w:cs="Arial"/>
                <w:sz w:val="14"/>
                <w:szCs w:val="14"/>
              </w:rPr>
              <w:t>2 999 546,06</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AF7E8D" w:rsidRPr="00365BE5" w:rsidRDefault="00AF7E8D" w:rsidP="00AF7E8D">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2A7E25"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122</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E25" w:rsidRPr="00365BE5" w:rsidRDefault="002A7E25" w:rsidP="002A7E25">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7 948 381,47</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7 948 381,47</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hAnsi="Arial" w:cs="Arial"/>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r w:rsidR="002A7E25" w:rsidRPr="00365BE5" w:rsidTr="002A7E25">
        <w:trPr>
          <w:cantSplit/>
          <w:jc w:val="center"/>
        </w:trPr>
        <w:tc>
          <w:tcPr>
            <w:tcW w:w="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07.5</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ESF</w:t>
            </w:r>
          </w:p>
        </w:tc>
        <w:tc>
          <w:tcPr>
            <w:tcW w:w="84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VRR</w:t>
            </w:r>
          </w:p>
        </w:tc>
        <w:tc>
          <w:tcPr>
            <w:tcW w:w="85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123</w:t>
            </w:r>
          </w:p>
        </w:tc>
        <w:tc>
          <w:tcPr>
            <w:tcW w:w="9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07</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E25" w:rsidRPr="00365BE5" w:rsidRDefault="002A7E25" w:rsidP="002A7E25">
            <w:pPr>
              <w:keepLines/>
              <w:ind w:left="57" w:right="57"/>
              <w:jc w:val="center"/>
              <w:rPr>
                <w:rFonts w:ascii="Arial" w:eastAsia="Arial" w:hAnsi="Arial" w:cs="Arial"/>
                <w:color w:val="000000"/>
                <w:sz w:val="14"/>
                <w:szCs w:val="14"/>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08</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CZ010</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2 511 972,99</w:t>
            </w:r>
          </w:p>
        </w:tc>
        <w:tc>
          <w:tcPr>
            <w:tcW w:w="14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eastAsia="Arial" w:hAnsi="Arial" w:cs="Arial"/>
                <w:color w:val="000000"/>
                <w:sz w:val="14"/>
                <w:szCs w:val="14"/>
              </w:rPr>
              <w:t>2 511 972,99</w:t>
            </w:r>
          </w:p>
        </w:tc>
        <w:tc>
          <w:tcPr>
            <w:tcW w:w="14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2A7E25" w:rsidRDefault="002A7E25" w:rsidP="002A7E25">
            <w:pPr>
              <w:keepLines/>
              <w:ind w:left="57" w:right="57"/>
              <w:jc w:val="right"/>
              <w:rPr>
                <w:rFonts w:ascii="Arial" w:eastAsia="Arial" w:hAnsi="Arial" w:cs="Arial"/>
                <w:color w:val="000000"/>
                <w:sz w:val="14"/>
                <w:szCs w:val="14"/>
              </w:rPr>
            </w:pPr>
            <w:r w:rsidRPr="002A7E25">
              <w:rPr>
                <w:rFonts w:ascii="Arial" w:hAnsi="Arial" w:cs="Arial"/>
                <w:sz w:val="14"/>
                <w:szCs w:val="14"/>
              </w:rPr>
              <w:t>0,00</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2A7E25" w:rsidRPr="00365BE5" w:rsidRDefault="002A7E25" w:rsidP="002A7E25">
            <w:pPr>
              <w:keepLines/>
              <w:ind w:left="57" w:right="57"/>
              <w:jc w:val="center"/>
              <w:rPr>
                <w:rFonts w:ascii="Arial" w:eastAsia="Arial" w:hAnsi="Arial" w:cs="Arial"/>
                <w:color w:val="000000"/>
                <w:sz w:val="14"/>
                <w:szCs w:val="14"/>
              </w:rPr>
            </w:pPr>
            <w:r w:rsidRPr="00365BE5">
              <w:rPr>
                <w:rFonts w:ascii="Arial" w:eastAsia="Arial" w:hAnsi="Arial" w:cs="Arial"/>
                <w:color w:val="000000"/>
                <w:sz w:val="14"/>
                <w:szCs w:val="14"/>
              </w:rPr>
              <w:t>1</w:t>
            </w:r>
          </w:p>
        </w:tc>
      </w:tr>
    </w:tbl>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keepNext/>
        <w:tabs>
          <w:tab w:val="left" w:pos="1675"/>
        </w:tabs>
        <w:ind w:left="115" w:right="529"/>
        <w:rPr>
          <w:rFonts w:ascii="Arial" w:eastAsia="Arial" w:hAnsi="Arial" w:cs="Arial"/>
          <w:color w:val="000000"/>
          <w:sz w:val="16"/>
        </w:rPr>
      </w:pPr>
      <w:r>
        <w:rPr>
          <w:rFonts w:ascii="Arial" w:eastAsia="Arial" w:hAnsi="Arial" w:cs="Arial"/>
          <w:color w:val="000000"/>
          <w:sz w:val="16"/>
        </w:rPr>
        <w:t>11 - Prováděcí nařízení Komise (EU) č. 1011/2014 ze dne 22. září 2014, kterým se stanoví prováděcí pravidla k nařízení Evropského parlamentu a Rady (EU) č. 1303/2013, pokud jde o vzory pro předkládání určitých informací Komisi, a podrobná pravidla týkající se výměny informací mezi příjemci a řídicími orgány, certifikačními orgány, auditními orgány a zprostředkujícími subjekty (Úř. věst. L 286, 30.9.2014, s. 1).</w:t>
      </w:r>
    </w:p>
    <w:p w:rsidR="00457252" w:rsidRDefault="00457252"/>
    <w:p w:rsidR="00457252" w:rsidRDefault="00697A5C">
      <w:pPr>
        <w:keepNext/>
        <w:tabs>
          <w:tab w:val="left" w:pos="1675"/>
        </w:tabs>
        <w:ind w:left="115" w:right="106"/>
        <w:rPr>
          <w:rFonts w:ascii="Arial" w:eastAsia="Arial" w:hAnsi="Arial" w:cs="Arial"/>
          <w:b/>
          <w:bCs/>
          <w:i/>
          <w:iCs/>
          <w:color w:val="000000"/>
          <w:sz w:val="16"/>
        </w:rPr>
      </w:pPr>
      <w:r>
        <w:rPr>
          <w:rFonts w:ascii="Arial" w:eastAsia="Arial" w:hAnsi="Arial" w:cs="Arial"/>
          <w:b/>
          <w:bCs/>
          <w:i/>
          <w:iCs/>
          <w:color w:val="000000"/>
          <w:sz w:val="20"/>
        </w:rPr>
        <w:t xml:space="preserve">Tabulka 8: Využití křížového financování </w:t>
      </w:r>
      <w:r>
        <w:rPr>
          <w:rFonts w:ascii="Arial" w:eastAsia="Arial" w:hAnsi="Arial" w:cs="Arial"/>
          <w:b/>
          <w:bCs/>
          <w:i/>
          <w:iCs/>
          <w:color w:val="000000"/>
          <w:sz w:val="16"/>
        </w:rPr>
        <w:t>(12)</w:t>
      </w:r>
    </w:p>
    <w:tbl>
      <w:tblPr>
        <w:tblW w:w="0" w:type="auto"/>
        <w:jc w:val="center"/>
        <w:tblLayout w:type="fixed"/>
        <w:tblCellMar>
          <w:left w:w="0" w:type="dxa"/>
          <w:right w:w="0" w:type="dxa"/>
        </w:tblCellMar>
        <w:tblLook w:val="04A0" w:firstRow="1" w:lastRow="0" w:firstColumn="1" w:lastColumn="0" w:noHBand="0" w:noVBand="1"/>
      </w:tblPr>
      <w:tblGrid>
        <w:gridCol w:w="3397"/>
        <w:gridCol w:w="851"/>
        <w:gridCol w:w="2126"/>
        <w:gridCol w:w="2552"/>
        <w:gridCol w:w="2126"/>
        <w:gridCol w:w="1843"/>
      </w:tblGrid>
      <w:tr w:rsidR="00457252" w:rsidTr="00E74CC1">
        <w:trPr>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457252" w:rsidTr="00E74CC1">
        <w:trPr>
          <w:tblHeade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Využití křížového financování</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2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EU, která má být použita na křížové financování na základě vybraných operací</w:t>
            </w:r>
            <w:r>
              <w:rPr>
                <w:rFonts w:ascii="Arial" w:eastAsia="Arial" w:hAnsi="Arial" w:cs="Arial"/>
                <w:b/>
                <w:bCs/>
                <w:color w:val="000000"/>
                <w:sz w:val="9"/>
                <w:vertAlign w:val="superscript"/>
              </w:rPr>
              <w:t xml:space="preserve"> </w:t>
            </w:r>
            <w:r>
              <w:rPr>
                <w:rFonts w:ascii="Arial" w:eastAsia="Arial" w:hAnsi="Arial" w:cs="Arial"/>
                <w:b/>
                <w:bCs/>
                <w:color w:val="000000"/>
                <w:sz w:val="14"/>
              </w:rPr>
              <w:t>(2) (v EUR)</w:t>
            </w:r>
          </w:p>
        </w:tc>
        <w:tc>
          <w:tcPr>
            <w:tcW w:w="255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celkového finančního přídělu EU na prioritní osu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(3/celkový finanční příděl na prioritní osu x 100)</w:t>
            </w:r>
          </w:p>
        </w:tc>
        <w:tc>
          <w:tcPr>
            <w:tcW w:w="2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Způsobilé výdaje vynaložené v rámci křížového financování, které příjemce vykázal řídicímu orgánu (v EUR)</w:t>
            </w:r>
          </w:p>
        </w:tc>
        <w:tc>
          <w:tcPr>
            <w:tcW w:w="184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celkového finančního přídělu na prioritní osu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(5/celkový finanční příděl na prioritní osu x 100)</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07.1</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121 713,75</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0,99</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69 390,57</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0,56</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07.3</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13 613,77</w:t>
            </w: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4 109,81</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0,02</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ESF, avšak podpořené z EFRR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33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Křížové financování: náklady způsobilé pro podporu na základě EFRR, avšak podpořené z ESF (1)</w:t>
            </w:r>
          </w:p>
        </w:tc>
        <w:tc>
          <w:tcPr>
            <w:tcW w:w="85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rPr>
                <w:rFonts w:ascii="Arial" w:eastAsia="Arial" w:hAnsi="Arial" w:cs="Arial"/>
                <w:color w:val="000000"/>
                <w:sz w:val="14"/>
              </w:rPr>
            </w:pPr>
            <w:r>
              <w:rPr>
                <w:rFonts w:ascii="Arial" w:eastAsia="Arial" w:hAnsi="Arial" w:cs="Arial"/>
                <w:color w:val="000000"/>
                <w:sz w:val="14"/>
              </w:rPr>
              <w:t>07.5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55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keepNext/>
              <w:keepLines/>
              <w:tabs>
                <w:tab w:val="left" w:pos="828"/>
              </w:tabs>
              <w:ind w:left="57" w:right="57"/>
              <w:jc w:val="right"/>
              <w:rPr>
                <w:rFonts w:ascii="Arial" w:eastAsia="Arial" w:hAnsi="Arial" w:cs="Arial"/>
                <w:color w:val="000000"/>
                <w:sz w:val="1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bl>
    <w:p w:rsidR="00457252" w:rsidRDefault="00697A5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Pr>
          <w:rFonts w:ascii="Arial" w:eastAsia="Arial" w:hAnsi="Arial" w:cs="Arial"/>
          <w:color w:val="000000"/>
          <w:sz w:val="16"/>
        </w:rPr>
        <w:tab/>
        <w:t xml:space="preserve">Není-li možné stanovit přesné částky předem, před provedením operace, měla by být zpráva založena </w:t>
      </w:r>
      <w:proofErr w:type="gramStart"/>
      <w:r>
        <w:rPr>
          <w:rFonts w:ascii="Arial" w:eastAsia="Arial" w:hAnsi="Arial" w:cs="Arial"/>
          <w:color w:val="000000"/>
          <w:sz w:val="16"/>
        </w:rPr>
        <w:t>na</w:t>
      </w:r>
      <w:proofErr w:type="gramEnd"/>
      <w:r>
        <w:rPr>
          <w:rFonts w:ascii="Arial" w:eastAsia="Arial" w:hAnsi="Arial" w:cs="Arial"/>
          <w:color w:val="000000"/>
          <w:sz w:val="16"/>
        </w:rPr>
        <w:t xml:space="preserve"> stropech platných pro danou operaci, tj. </w:t>
      </w:r>
      <w:proofErr w:type="gramStart"/>
      <w:r>
        <w:rPr>
          <w:rFonts w:ascii="Arial" w:eastAsia="Arial" w:hAnsi="Arial" w:cs="Arial"/>
          <w:color w:val="000000"/>
          <w:sz w:val="16"/>
        </w:rPr>
        <w:t>pokud</w:t>
      </w:r>
      <w:proofErr w:type="gramEnd"/>
      <w:r>
        <w:rPr>
          <w:rFonts w:ascii="Arial" w:eastAsia="Arial" w:hAnsi="Arial" w:cs="Arial"/>
          <w:color w:val="000000"/>
          <w:sz w:val="16"/>
        </w:rPr>
        <w:t xml:space="preserve"> může operace EFRR zahrnovat až 20 % výdajů typu ESF, měla by zpráva vycházet z předpokladu, že za tímto účelem lze použít celých 20 %. Pokud byla operace dokončena, měly by údaje použité pro tento sloupec vycházet z reálných nákladů, které příjemci vznikly.</w:t>
      </w:r>
    </w:p>
    <w:p w:rsidR="00457252" w:rsidRDefault="00697A5C">
      <w:pPr>
        <w:keepNext/>
        <w:tabs>
          <w:tab w:val="left" w:pos="534"/>
        </w:tabs>
        <w:ind w:left="115" w:right="812"/>
        <w:rPr>
          <w:rFonts w:ascii="Arial" w:eastAsia="Arial" w:hAnsi="Arial" w:cs="Arial"/>
          <w:color w:val="000000"/>
          <w:sz w:val="16"/>
        </w:rPr>
      </w:pPr>
      <w:r>
        <w:rPr>
          <w:rFonts w:ascii="Arial" w:eastAsia="Arial" w:hAnsi="Arial" w:cs="Arial"/>
          <w:color w:val="000000"/>
          <w:sz w:val="16"/>
        </w:rPr>
        <w:t>2</w:t>
      </w:r>
      <w:r>
        <w:rPr>
          <w:rFonts w:ascii="Arial" w:eastAsia="Arial" w:hAnsi="Arial" w:cs="Arial"/>
          <w:color w:val="000000"/>
          <w:sz w:val="16"/>
        </w:rPr>
        <w:tab/>
        <w:t>Čl. 98 odst. 2 nařízení (EU) č. 1303/2013.</w:t>
      </w:r>
    </w:p>
    <w:p w:rsidR="00457252" w:rsidRDefault="00457252">
      <w:pPr>
        <w:tabs>
          <w:tab w:val="left" w:pos="1675"/>
        </w:tabs>
        <w:ind w:left="115" w:right="106"/>
        <w:rPr>
          <w:rFonts w:ascii="Arial" w:eastAsia="Arial" w:hAnsi="Arial" w:cs="Arial"/>
          <w:color w:val="000000"/>
          <w:sz w:val="20"/>
        </w:rPr>
      </w:pPr>
    </w:p>
    <w:p w:rsidR="00457252" w:rsidRDefault="00697A5C">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lastRenderedPageBreak/>
        <w:t>Tabulka 9: Náklady operací prováděných mimo programovou oblast (EFRR a Fond soudržnosti v rámci cíle Investice pro růst a zaměstnanost)</w:t>
      </w:r>
    </w:p>
    <w:tbl>
      <w:tblPr>
        <w:tblW w:w="0" w:type="auto"/>
        <w:jc w:val="center"/>
        <w:tblLayout w:type="fixed"/>
        <w:tblCellMar>
          <w:left w:w="0" w:type="dxa"/>
          <w:right w:w="0" w:type="dxa"/>
        </w:tblCellMar>
        <w:tblLook w:val="04A0" w:firstRow="1" w:lastRow="0" w:firstColumn="1" w:lastColumn="0" w:noHBand="0" w:noVBand="1"/>
      </w:tblPr>
      <w:tblGrid>
        <w:gridCol w:w="1833"/>
        <w:gridCol w:w="2273"/>
        <w:gridCol w:w="1985"/>
        <w:gridCol w:w="1842"/>
        <w:gridCol w:w="1985"/>
        <w:gridCol w:w="1984"/>
      </w:tblGrid>
      <w:tr w:rsidR="00457252" w:rsidTr="00E74CC1">
        <w:trPr>
          <w:tblHeade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227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19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184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c>
          <w:tcPr>
            <w:tcW w:w="19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w:t>
            </w:r>
          </w:p>
        </w:tc>
        <w:tc>
          <w:tcPr>
            <w:tcW w:w="198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w:t>
            </w:r>
          </w:p>
        </w:tc>
      </w:tr>
      <w:tr w:rsidR="00457252" w:rsidTr="00E74CC1">
        <w:trPr>
          <w:tblHeade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457252">
            <w:pPr>
              <w:ind w:left="57" w:right="57"/>
            </w:pPr>
          </w:p>
        </w:tc>
        <w:tc>
          <w:tcPr>
            <w:tcW w:w="227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19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podpory, která má být použita na operace prováděné mimo programovou oblast na základě vybraných operací (v EUR)</w:t>
            </w:r>
          </w:p>
        </w:tc>
        <w:tc>
          <w:tcPr>
            <w:tcW w:w="184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celkového finančního přídělu EU na prioritní osu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celkový finanční příděl na prioritní osu x 100)</w:t>
            </w:r>
          </w:p>
        </w:tc>
        <w:tc>
          <w:tcPr>
            <w:tcW w:w="198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Způsobilé výdaje vynaložené na operace prováděné mimo programovou oblast, které příjemce vykázal řídicímu orgánu (v EUR)</w:t>
            </w:r>
          </w:p>
        </w:tc>
        <w:tc>
          <w:tcPr>
            <w:tcW w:w="198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Podíl celkového finančního přídělu na prioritní osu</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w:t>
            </w:r>
            <w:proofErr w:type="gramStart"/>
            <w:r>
              <w:rPr>
                <w:rFonts w:ascii="Arial" w:eastAsia="Arial" w:hAnsi="Arial" w:cs="Arial"/>
                <w:b/>
                <w:bCs/>
                <w:color w:val="000000"/>
                <w:sz w:val="14"/>
              </w:rPr>
              <w:t>v</w:t>
            </w:r>
            <w:proofErr w:type="gramEnd"/>
            <w:r>
              <w:rPr>
                <w:rFonts w:ascii="Arial" w:eastAsia="Arial" w:hAnsi="Arial" w:cs="Arial"/>
                <w:b/>
                <w:bCs/>
                <w:color w:val="000000"/>
                <w:sz w:val="14"/>
              </w:rPr>
              <w:t xml:space="preserve">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celkový finanční příděl na prioritní osu x 100)</w:t>
            </w:r>
          </w:p>
        </w:tc>
      </w:tr>
      <w:tr w:rsidR="00457252" w:rsidTr="00E74CC1">
        <w:trP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07.1 Posílení výzkumu, technologického rozvoje a inovací</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07.2 Udržitelná mobilita </w:t>
            </w:r>
            <w:r w:rsidR="00E74CC1">
              <w:rPr>
                <w:rFonts w:ascii="Arial" w:eastAsia="Arial" w:hAnsi="Arial" w:cs="Arial"/>
                <w:color w:val="000000"/>
                <w:sz w:val="14"/>
              </w:rPr>
              <w:br/>
            </w:r>
            <w:r>
              <w:rPr>
                <w:rFonts w:ascii="Arial" w:eastAsia="Arial" w:hAnsi="Arial" w:cs="Arial"/>
                <w:color w:val="000000"/>
                <w:sz w:val="14"/>
              </w:rPr>
              <w:t>a energetické úspory</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07.3 Podpora sociálního začleňování a boj proti chudobě</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 xml:space="preserve">07.4 Vzdělání a vzdělanost </w:t>
            </w:r>
            <w:r w:rsidR="00E74CC1">
              <w:rPr>
                <w:rFonts w:ascii="Arial" w:eastAsia="Arial" w:hAnsi="Arial" w:cs="Arial"/>
                <w:color w:val="000000"/>
                <w:sz w:val="14"/>
              </w:rPr>
              <w:br/>
            </w:r>
            <w:r>
              <w:rPr>
                <w:rFonts w:ascii="Arial" w:eastAsia="Arial" w:hAnsi="Arial" w:cs="Arial"/>
                <w:color w:val="000000"/>
                <w:sz w:val="14"/>
              </w:rPr>
              <w:t>a podpora zaměstnanosti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r w:rsidR="00457252" w:rsidTr="00E74CC1">
        <w:trPr>
          <w:jc w:val="center"/>
        </w:trPr>
        <w:tc>
          <w:tcPr>
            <w:tcW w:w="183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Náklady na operace mimo programovou oblast (1)</w:t>
            </w:r>
          </w:p>
        </w:tc>
        <w:tc>
          <w:tcPr>
            <w:tcW w:w="227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rPr>
                <w:rFonts w:ascii="Arial" w:eastAsia="Arial" w:hAnsi="Arial" w:cs="Arial"/>
                <w:color w:val="000000"/>
                <w:sz w:val="14"/>
              </w:rPr>
            </w:pPr>
            <w:r>
              <w:rPr>
                <w:rFonts w:ascii="Arial" w:eastAsia="Arial" w:hAnsi="Arial" w:cs="Arial"/>
                <w:color w:val="000000"/>
                <w:sz w:val="14"/>
              </w:rPr>
              <w:t>07.5 Technická pomoc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keepNext/>
              <w:keepLines/>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c>
          <w:tcPr>
            <w:tcW w:w="198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tabs>
                <w:tab w:val="left" w:pos="828"/>
              </w:tabs>
              <w:ind w:left="57" w:right="57"/>
              <w:jc w:val="right"/>
              <w:rPr>
                <w:rFonts w:ascii="Arial" w:eastAsia="Arial" w:hAnsi="Arial" w:cs="Arial"/>
                <w:color w:val="000000"/>
                <w:sz w:val="14"/>
              </w:rPr>
            </w:pPr>
            <w:r>
              <w:rPr>
                <w:rFonts w:ascii="Arial" w:eastAsia="Arial" w:hAnsi="Arial" w:cs="Arial"/>
                <w:color w:val="000000"/>
                <w:sz w:val="14"/>
              </w:rPr>
              <w:t>0,00</w:t>
            </w:r>
          </w:p>
        </w:tc>
      </w:tr>
    </w:tbl>
    <w:p w:rsidR="00457252" w:rsidRDefault="00697A5C">
      <w:pPr>
        <w:keepNext/>
        <w:tabs>
          <w:tab w:val="left" w:pos="534"/>
        </w:tabs>
        <w:ind w:left="115" w:right="812"/>
        <w:rPr>
          <w:rFonts w:ascii="Arial" w:eastAsia="Arial" w:hAnsi="Arial" w:cs="Arial"/>
          <w:color w:val="000000"/>
          <w:sz w:val="16"/>
        </w:rPr>
      </w:pPr>
      <w:r>
        <w:rPr>
          <w:rFonts w:ascii="Arial" w:eastAsia="Arial" w:hAnsi="Arial" w:cs="Arial"/>
          <w:color w:val="000000"/>
          <w:sz w:val="16"/>
        </w:rPr>
        <w:t>1</w:t>
      </w:r>
      <w:r w:rsidR="004A0E17">
        <w:rPr>
          <w:rFonts w:ascii="Arial" w:eastAsia="Arial" w:hAnsi="Arial" w:cs="Arial"/>
          <w:color w:val="000000"/>
          <w:sz w:val="16"/>
        </w:rPr>
        <w:tab/>
      </w:r>
      <w:r>
        <w:rPr>
          <w:rFonts w:ascii="Arial" w:eastAsia="Arial" w:hAnsi="Arial" w:cs="Arial"/>
          <w:color w:val="000000"/>
          <w:sz w:val="16"/>
        </w:rPr>
        <w:t xml:space="preserve">V souladu se stropy stanovenými v čl. 70 odst. 2 nařízení (EU) č. 1303/2013 nebo článku 20 nařízení (EU) č. 1299/2013 </w:t>
      </w:r>
      <w:proofErr w:type="gramStart"/>
      <w:r>
        <w:rPr>
          <w:rFonts w:ascii="Arial" w:eastAsia="Arial" w:hAnsi="Arial" w:cs="Arial"/>
          <w:color w:val="000000"/>
          <w:sz w:val="16"/>
        </w:rPr>
        <w:t>a</w:t>
      </w:r>
      <w:proofErr w:type="gramEnd"/>
      <w:r>
        <w:rPr>
          <w:rFonts w:ascii="Arial" w:eastAsia="Arial" w:hAnsi="Arial" w:cs="Arial"/>
          <w:color w:val="000000"/>
          <w:sz w:val="16"/>
        </w:rPr>
        <w:t xml:space="preserve"> s jejich výhradou.</w:t>
      </w:r>
    </w:p>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tabs>
          <w:tab w:val="left" w:pos="1675"/>
        </w:tabs>
        <w:ind w:left="115" w:right="106"/>
        <w:rPr>
          <w:rFonts w:ascii="Arial" w:eastAsia="Arial" w:hAnsi="Arial" w:cs="Arial"/>
          <w:b/>
          <w:bCs/>
          <w:i/>
          <w:iCs/>
          <w:color w:val="000000"/>
          <w:sz w:val="20"/>
        </w:rPr>
      </w:pPr>
      <w:r>
        <w:rPr>
          <w:rFonts w:ascii="Arial" w:eastAsia="Arial" w:hAnsi="Arial" w:cs="Arial"/>
          <w:color w:val="000000"/>
          <w:sz w:val="16"/>
        </w:rPr>
        <w:t>12 - Použitelné pouze u operačních programů v rámci cíle Investice pro růst a zaměstnanost, které zahrnují ESF a/nebo EFRR.</w:t>
      </w:r>
      <w:r>
        <w:rPr>
          <w:rFonts w:ascii="Arial" w:eastAsia="Arial" w:hAnsi="Arial" w:cs="Arial"/>
          <w:b/>
          <w:bCs/>
          <w:i/>
          <w:iCs/>
          <w:color w:val="000000"/>
          <w:sz w:val="20"/>
        </w:rPr>
        <w:t xml:space="preserve"> </w:t>
      </w:r>
    </w:p>
    <w:p w:rsidR="00457252" w:rsidRDefault="00457252">
      <w:pPr>
        <w:tabs>
          <w:tab w:val="left" w:pos="1675"/>
        </w:tabs>
        <w:ind w:left="115" w:right="106"/>
        <w:rPr>
          <w:rFonts w:ascii="Arial" w:eastAsia="Arial" w:hAnsi="Arial" w:cs="Arial"/>
          <w:color w:val="000000"/>
          <w:sz w:val="8"/>
        </w:rPr>
      </w:pPr>
    </w:p>
    <w:p w:rsidR="00457252" w:rsidRDefault="00457252"/>
    <w:p w:rsidR="00457252" w:rsidRDefault="00457252">
      <w:pPr>
        <w:tabs>
          <w:tab w:val="left" w:pos="1675"/>
        </w:tabs>
        <w:ind w:left="115" w:right="106"/>
        <w:rPr>
          <w:rFonts w:ascii="Arial" w:eastAsia="Arial" w:hAnsi="Arial" w:cs="Arial"/>
          <w:color w:val="000000"/>
          <w:sz w:val="8"/>
        </w:rPr>
      </w:pPr>
    </w:p>
    <w:p w:rsidR="00457252" w:rsidRPr="00E74CC1" w:rsidRDefault="00697A5C" w:rsidP="00E74CC1">
      <w:pPr>
        <w:keepNext/>
        <w:tabs>
          <w:tab w:val="left" w:pos="1675"/>
        </w:tabs>
        <w:ind w:left="115" w:right="106"/>
        <w:rPr>
          <w:rFonts w:ascii="Arial" w:eastAsia="Arial" w:hAnsi="Arial" w:cs="Arial"/>
          <w:b/>
          <w:bCs/>
          <w:i/>
          <w:iCs/>
          <w:color w:val="000000"/>
          <w:sz w:val="20"/>
        </w:rPr>
      </w:pPr>
      <w:r>
        <w:rPr>
          <w:rFonts w:ascii="Arial" w:eastAsia="Arial" w:hAnsi="Arial" w:cs="Arial"/>
          <w:b/>
          <w:bCs/>
          <w:i/>
          <w:iCs/>
          <w:color w:val="000000"/>
          <w:sz w:val="20"/>
        </w:rPr>
        <w:t xml:space="preserve">Tabulka 10: Náklady </w:t>
      </w:r>
      <w:proofErr w:type="gramStart"/>
      <w:r>
        <w:rPr>
          <w:rFonts w:ascii="Arial" w:eastAsia="Arial" w:hAnsi="Arial" w:cs="Arial"/>
          <w:b/>
          <w:bCs/>
          <w:i/>
          <w:iCs/>
          <w:color w:val="000000"/>
          <w:sz w:val="20"/>
        </w:rPr>
        <w:t>na</w:t>
      </w:r>
      <w:proofErr w:type="gramEnd"/>
      <w:r>
        <w:rPr>
          <w:rFonts w:ascii="Arial" w:eastAsia="Arial" w:hAnsi="Arial" w:cs="Arial"/>
          <w:b/>
          <w:bCs/>
          <w:i/>
          <w:iCs/>
          <w:color w:val="000000"/>
          <w:sz w:val="20"/>
        </w:rPr>
        <w:t xml:space="preserve"> operace prováděné mimo Unii (ESF) </w:t>
      </w:r>
      <w:r w:rsidRPr="00E74CC1">
        <w:rPr>
          <w:rFonts w:ascii="Arial" w:eastAsia="Arial" w:hAnsi="Arial" w:cs="Arial"/>
          <w:b/>
          <w:bCs/>
          <w:i/>
          <w:iCs/>
          <w:color w:val="000000"/>
          <w:sz w:val="20"/>
        </w:rPr>
        <w:t>(13)</w:t>
      </w:r>
    </w:p>
    <w:tbl>
      <w:tblPr>
        <w:tblW w:w="0" w:type="auto"/>
        <w:jc w:val="center"/>
        <w:tblLayout w:type="fixed"/>
        <w:tblCellMar>
          <w:left w:w="0" w:type="dxa"/>
          <w:right w:w="0" w:type="dxa"/>
        </w:tblCellMar>
        <w:tblLook w:val="04A0" w:firstRow="1" w:lastRow="0" w:firstColumn="1" w:lastColumn="0" w:noHBand="0" w:noVBand="1"/>
      </w:tblPr>
      <w:tblGrid>
        <w:gridCol w:w="2122"/>
        <w:gridCol w:w="3827"/>
        <w:gridCol w:w="1276"/>
        <w:gridCol w:w="3827"/>
      </w:tblGrid>
      <w:tr w:rsidR="00457252" w:rsidTr="00E74CC1">
        <w:trPr>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w:t>
            </w:r>
          </w:p>
        </w:tc>
        <w:tc>
          <w:tcPr>
            <w:tcW w:w="38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w:t>
            </w:r>
          </w:p>
        </w:tc>
        <w:tc>
          <w:tcPr>
            <w:tcW w:w="38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w:t>
            </w:r>
          </w:p>
        </w:tc>
      </w:tr>
      <w:tr w:rsidR="00457252" w:rsidTr="00E74CC1">
        <w:trPr>
          <w:tblHeade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Výše výdajů, které mají být vynaloženy mimo Unii v rámci tematických cílů 8 a 10 na základě vybraných operací (v EUR)</w:t>
            </w:r>
          </w:p>
        </w:tc>
        <w:tc>
          <w:tcPr>
            <w:tcW w:w="38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 xml:space="preserve">Podíl celkového finančního přídělu (příspěvek Unie </w:t>
            </w:r>
            <w:r w:rsidR="004A0E17">
              <w:rPr>
                <w:rFonts w:ascii="Arial" w:eastAsia="Arial" w:hAnsi="Arial" w:cs="Arial"/>
                <w:b/>
                <w:bCs/>
                <w:color w:val="000000"/>
                <w:sz w:val="14"/>
              </w:rPr>
              <w:br/>
            </w:r>
            <w:r>
              <w:rPr>
                <w:rFonts w:ascii="Arial" w:eastAsia="Arial" w:hAnsi="Arial" w:cs="Arial"/>
                <w:b/>
                <w:bCs/>
                <w:color w:val="000000"/>
                <w:sz w:val="14"/>
              </w:rPr>
              <w:t>a vnitrostátní příspěvek) na program ESF nebo část programu financovaného z více fondů, která souvisí s ESF</w:t>
            </w:r>
            <w:r w:rsidR="00E74CC1">
              <w:rPr>
                <w:rFonts w:ascii="Arial" w:eastAsia="Arial" w:hAnsi="Arial" w:cs="Arial"/>
                <w:b/>
                <w:bCs/>
                <w:color w:val="000000"/>
                <w:sz w:val="14"/>
              </w:rPr>
              <w:t xml:space="preserve"> </w:t>
            </w:r>
            <w:r>
              <w:rPr>
                <w:rFonts w:ascii="Arial" w:eastAsia="Arial" w:hAnsi="Arial" w:cs="Arial"/>
                <w:b/>
                <w:bCs/>
                <w:color w:val="000000"/>
                <w:sz w:val="14"/>
              </w:rPr>
              <w:t>(v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celkový finanční (příspěvek Unie a vnitrostátní příspěvek) na program ESF nebo část programu financovaného z více fondů, která souvisí s ESF x 100)</w:t>
            </w:r>
          </w:p>
        </w:tc>
        <w:tc>
          <w:tcPr>
            <w:tcW w:w="127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Způsobilé výdaje vynaložené mimo Unii, které příjemce vykázal řídicímu orgánu (v EUR)</w:t>
            </w:r>
          </w:p>
        </w:tc>
        <w:tc>
          <w:tcPr>
            <w:tcW w:w="382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 xml:space="preserve">Podíl celkového finančního přídělu (příspěvek Unie </w:t>
            </w:r>
            <w:r w:rsidR="00E74CC1">
              <w:rPr>
                <w:rFonts w:ascii="Arial" w:eastAsia="Arial" w:hAnsi="Arial" w:cs="Arial"/>
                <w:b/>
                <w:bCs/>
                <w:color w:val="000000"/>
                <w:sz w:val="14"/>
              </w:rPr>
              <w:br/>
            </w:r>
            <w:r>
              <w:rPr>
                <w:rFonts w:ascii="Arial" w:eastAsia="Arial" w:hAnsi="Arial" w:cs="Arial"/>
                <w:b/>
                <w:bCs/>
                <w:color w:val="000000"/>
                <w:sz w:val="14"/>
              </w:rPr>
              <w:t xml:space="preserve">a vnitrostátní příspěvek) na program ESF nebo část programu financovaného z více fondů, která souvisí </w:t>
            </w:r>
            <w:r w:rsidR="00E74CC1">
              <w:rPr>
                <w:rFonts w:ascii="Arial" w:eastAsia="Arial" w:hAnsi="Arial" w:cs="Arial"/>
                <w:b/>
                <w:bCs/>
                <w:color w:val="000000"/>
                <w:sz w:val="14"/>
              </w:rPr>
              <w:br/>
            </w:r>
            <w:r>
              <w:rPr>
                <w:rFonts w:ascii="Arial" w:eastAsia="Arial" w:hAnsi="Arial" w:cs="Arial"/>
                <w:b/>
                <w:bCs/>
                <w:color w:val="000000"/>
                <w:sz w:val="14"/>
              </w:rPr>
              <w:t>s ESF</w:t>
            </w:r>
            <w:r w:rsidR="00E74CC1">
              <w:rPr>
                <w:rFonts w:ascii="Arial" w:eastAsia="Arial" w:hAnsi="Arial" w:cs="Arial"/>
                <w:b/>
                <w:bCs/>
                <w:color w:val="000000"/>
                <w:sz w:val="14"/>
              </w:rPr>
              <w:t xml:space="preserve"> </w:t>
            </w:r>
            <w:r>
              <w:rPr>
                <w:rFonts w:ascii="Arial" w:eastAsia="Arial" w:hAnsi="Arial" w:cs="Arial"/>
                <w:b/>
                <w:bCs/>
                <w:color w:val="000000"/>
                <w:sz w:val="14"/>
              </w:rPr>
              <w:t>(v %)</w:t>
            </w:r>
          </w:p>
          <w:p w:rsidR="00457252" w:rsidRDefault="00697A5C">
            <w:pPr>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celkový finanční (příspěvek Unie a vnitrostátní příspěvek) na program ESF nebo část programu financovaného z více fondů, která souvisí s ESF x 100)</w:t>
            </w:r>
          </w:p>
        </w:tc>
      </w:tr>
      <w:tr w:rsidR="00457252" w:rsidTr="00E74CC1">
        <w:trPr>
          <w:jc w:val="center"/>
        </w:trPr>
        <w:tc>
          <w:tcPr>
            <w:tcW w:w="212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jc w:val="right"/>
              <w:rPr>
                <w:rFonts w:ascii="Arial" w:eastAsia="Arial" w:hAnsi="Arial" w:cs="Arial"/>
                <w:color w:val="000000"/>
                <w:sz w:val="14"/>
              </w:rPr>
            </w:pPr>
            <w:r>
              <w:rPr>
                <w:rFonts w:ascii="Arial" w:eastAsia="Arial" w:hAnsi="Arial" w:cs="Arial"/>
                <w:color w:val="000000"/>
                <w:sz w:val="14"/>
              </w:rPr>
              <w:t>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jc w:val="right"/>
              <w:rPr>
                <w:rFonts w:ascii="Arial" w:eastAsia="Arial" w:hAnsi="Arial" w:cs="Arial"/>
                <w:color w:val="000000"/>
                <w:sz w:val="14"/>
              </w:rPr>
            </w:pPr>
            <w:r>
              <w:rPr>
                <w:rFonts w:ascii="Arial" w:eastAsia="Arial" w:hAnsi="Arial" w:cs="Arial"/>
                <w:color w:val="000000"/>
                <w:sz w:val="14"/>
              </w:rPr>
              <w:t>0,00</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jc w:val="right"/>
              <w:rPr>
                <w:rFonts w:ascii="Arial" w:eastAsia="Arial" w:hAnsi="Arial" w:cs="Arial"/>
                <w:color w:val="000000"/>
                <w:sz w:val="14"/>
              </w:rPr>
            </w:pPr>
            <w:r>
              <w:rPr>
                <w:rFonts w:ascii="Arial" w:eastAsia="Arial" w:hAnsi="Arial" w:cs="Arial"/>
                <w:color w:val="000000"/>
                <w:sz w:val="14"/>
              </w:rPr>
              <w:t>0,00</w:t>
            </w:r>
          </w:p>
        </w:tc>
        <w:tc>
          <w:tcPr>
            <w:tcW w:w="38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697A5C">
            <w:pPr>
              <w:ind w:left="57" w:right="57"/>
              <w:jc w:val="right"/>
              <w:rPr>
                <w:rFonts w:ascii="Arial" w:eastAsia="Arial" w:hAnsi="Arial" w:cs="Arial"/>
                <w:color w:val="000000"/>
                <w:sz w:val="14"/>
              </w:rPr>
            </w:pPr>
            <w:r>
              <w:rPr>
                <w:rFonts w:ascii="Arial" w:eastAsia="Arial" w:hAnsi="Arial" w:cs="Arial"/>
                <w:color w:val="000000"/>
                <w:sz w:val="14"/>
              </w:rPr>
              <w:t>0,00</w:t>
            </w:r>
          </w:p>
        </w:tc>
      </w:tr>
    </w:tbl>
    <w:p w:rsidR="00457252" w:rsidRDefault="00457252">
      <w:pPr>
        <w:tabs>
          <w:tab w:val="left" w:pos="1675"/>
        </w:tabs>
        <w:ind w:left="115" w:right="106"/>
        <w:rPr>
          <w:rFonts w:ascii="Arial" w:eastAsia="Arial" w:hAnsi="Arial" w:cs="Arial"/>
          <w:color w:val="000000"/>
          <w:sz w:val="20"/>
        </w:rPr>
      </w:pPr>
    </w:p>
    <w:p w:rsidR="00457252" w:rsidRDefault="00697A5C">
      <w:pPr>
        <w:keepNext/>
        <w:tabs>
          <w:tab w:val="left" w:pos="1675"/>
        </w:tabs>
        <w:ind w:left="115" w:right="106"/>
        <w:rPr>
          <w:rFonts w:ascii="Arial" w:eastAsia="Arial" w:hAnsi="Arial" w:cs="Arial"/>
          <w:color w:val="000000"/>
          <w:sz w:val="16"/>
        </w:rPr>
      </w:pPr>
      <w:r>
        <w:rPr>
          <w:rFonts w:ascii="Arial" w:eastAsia="Arial" w:hAnsi="Arial" w:cs="Arial"/>
          <w:color w:val="000000"/>
          <w:sz w:val="16"/>
        </w:rPr>
        <w:t>----------------------------------------------------</w:t>
      </w:r>
    </w:p>
    <w:p w:rsidR="00457252" w:rsidRDefault="00697A5C">
      <w:pPr>
        <w:keepNext/>
        <w:tabs>
          <w:tab w:val="left" w:pos="1675"/>
        </w:tabs>
        <w:ind w:left="115" w:right="529"/>
        <w:rPr>
          <w:rFonts w:ascii="Arial" w:eastAsia="Arial" w:hAnsi="Arial" w:cs="Arial"/>
          <w:color w:val="000000"/>
          <w:sz w:val="16"/>
        </w:rPr>
      </w:pPr>
      <w:r>
        <w:rPr>
          <w:rFonts w:ascii="Arial" w:eastAsia="Arial" w:hAnsi="Arial" w:cs="Arial"/>
          <w:color w:val="000000"/>
          <w:sz w:val="16"/>
        </w:rPr>
        <w:t xml:space="preserve">13 - V souladu se stropy stanovenými v článku 13 nařízení (EU) č. 1304/2013 </w:t>
      </w:r>
      <w:proofErr w:type="gramStart"/>
      <w:r>
        <w:rPr>
          <w:rFonts w:ascii="Arial" w:eastAsia="Arial" w:hAnsi="Arial" w:cs="Arial"/>
          <w:color w:val="000000"/>
          <w:sz w:val="16"/>
        </w:rPr>
        <w:t>a</w:t>
      </w:r>
      <w:proofErr w:type="gramEnd"/>
      <w:r>
        <w:rPr>
          <w:rFonts w:ascii="Arial" w:eastAsia="Arial" w:hAnsi="Arial" w:cs="Arial"/>
          <w:color w:val="000000"/>
          <w:sz w:val="16"/>
        </w:rPr>
        <w:t xml:space="preserve"> s jejich výhradou.  </w:t>
      </w:r>
    </w:p>
    <w:p w:rsidR="00457252" w:rsidRDefault="00457252">
      <w:pPr>
        <w:spacing w:after="200" w:line="276" w:lineRule="auto"/>
        <w:ind w:left="115" w:right="106"/>
        <w:rPr>
          <w:rFonts w:ascii="Calibri" w:eastAsia="Calibri" w:hAnsi="Calibri" w:cs="Calibri"/>
          <w:color w:val="000000"/>
        </w:rPr>
      </w:pPr>
    </w:p>
    <w:p w:rsidR="00457252" w:rsidRDefault="00457252">
      <w:pPr>
        <w:sectPr w:rsidR="00457252" w:rsidSect="002F03E1">
          <w:headerReference w:type="default" r:id="rId10"/>
          <w:footerReference w:type="default" r:id="rId11"/>
          <w:pgSz w:w="16820" w:h="11900" w:orient="landscape"/>
          <w:pgMar w:top="840" w:right="0" w:bottom="1540" w:left="560" w:header="601" w:footer="1077" w:gutter="0"/>
          <w:cols w:space="720"/>
          <w:noEndnote/>
        </w:sectPr>
      </w:pPr>
    </w:p>
    <w:p w:rsidR="00457252" w:rsidRDefault="00697A5C" w:rsidP="00D46935">
      <w:pPr>
        <w:pStyle w:val="Nadpis1"/>
      </w:pPr>
      <w:bookmarkStart w:id="13" w:name="_Toc512860940"/>
      <w:r>
        <w:lastRenderedPageBreak/>
        <w:t>SHRNUTÍ EVALUACÍ (čl. 50 odst. 2 nařízení (EU) č. 1303/2013)</w:t>
      </w:r>
      <w:bookmarkEnd w:id="13"/>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V roce 2017 byla realizována pouze jedna evaluační zakázka v souladu s Evaluačním plánem OP PPR (dale jen </w:t>
      </w:r>
      <w:r w:rsidR="004A0E17">
        <w:rPr>
          <w:rFonts w:ascii="Arial" w:eastAsia="Arial" w:hAnsi="Arial" w:cs="Arial"/>
          <w:color w:val="000000"/>
          <w:sz w:val="20"/>
        </w:rPr>
        <w:t>“</w:t>
      </w:r>
      <w:r>
        <w:rPr>
          <w:rFonts w:ascii="Arial" w:eastAsia="Arial" w:hAnsi="Arial" w:cs="Arial"/>
          <w:color w:val="000000"/>
          <w:sz w:val="20"/>
        </w:rPr>
        <w:t>EP</w:t>
      </w:r>
      <w:r w:rsidR="004A0E17">
        <w:rPr>
          <w:rFonts w:ascii="Arial" w:eastAsia="Arial" w:hAnsi="Arial" w:cs="Arial"/>
          <w:color w:val="000000"/>
          <w:sz w:val="20"/>
        </w:rPr>
        <w:t>”</w:t>
      </w:r>
      <w:r>
        <w:rPr>
          <w:rFonts w:ascii="Arial" w:eastAsia="Arial" w:hAnsi="Arial" w:cs="Arial"/>
          <w:color w:val="000000"/>
          <w:sz w:val="20"/>
        </w:rPr>
        <w:t>), a to První průběžná evaluace OP PPR (kód evaluace 07.001, kód etapy 07.001.01).</w:t>
      </w:r>
    </w:p>
    <w:p w:rsidR="004A0E17" w:rsidRPr="00FE46D8" w:rsidRDefault="00697A5C">
      <w:pPr>
        <w:spacing w:after="120" w:line="264" w:lineRule="auto"/>
        <w:ind w:left="119" w:right="121"/>
        <w:jc w:val="both"/>
        <w:rPr>
          <w:rFonts w:ascii="Arial" w:eastAsia="Arial" w:hAnsi="Arial" w:cs="Arial"/>
          <w:b/>
          <w:color w:val="000000"/>
          <w:sz w:val="20"/>
          <w:u w:val="single"/>
        </w:rPr>
      </w:pPr>
      <w:r w:rsidRPr="00FE46D8">
        <w:rPr>
          <w:rFonts w:ascii="Arial" w:eastAsia="Arial" w:hAnsi="Arial" w:cs="Arial"/>
          <w:b/>
          <w:color w:val="000000"/>
          <w:sz w:val="20"/>
          <w:u w:val="single"/>
        </w:rPr>
        <w:t>Předmětem První průběžné evaluace OP PPR byly čtyři evaluační úkoly:</w:t>
      </w:r>
    </w:p>
    <w:p w:rsidR="004A0E17" w:rsidRPr="004A0E17" w:rsidRDefault="00697A5C" w:rsidP="004A0E17">
      <w:pPr>
        <w:pStyle w:val="Odstavecseseznamem"/>
        <w:numPr>
          <w:ilvl w:val="0"/>
          <w:numId w:val="7"/>
        </w:numPr>
        <w:spacing w:after="120" w:line="264" w:lineRule="auto"/>
        <w:ind w:right="121"/>
        <w:jc w:val="both"/>
        <w:rPr>
          <w:rFonts w:ascii="Arial" w:eastAsia="Arial" w:hAnsi="Arial" w:cs="Arial"/>
          <w:color w:val="000000"/>
          <w:sz w:val="20"/>
        </w:rPr>
      </w:pPr>
      <w:r w:rsidRPr="004A0E17">
        <w:rPr>
          <w:rFonts w:ascii="Arial" w:eastAsia="Arial" w:hAnsi="Arial" w:cs="Arial"/>
          <w:color w:val="000000"/>
          <w:sz w:val="20"/>
        </w:rPr>
        <w:t>posouzení rozvojových potřeb region a relevance jednotlivých specifických cílů (evaluační úkol 1),</w:t>
      </w:r>
    </w:p>
    <w:p w:rsidR="004A0E17" w:rsidRPr="004A0E17" w:rsidRDefault="00697A5C" w:rsidP="004A0E17">
      <w:pPr>
        <w:pStyle w:val="Odstavecseseznamem"/>
        <w:numPr>
          <w:ilvl w:val="0"/>
          <w:numId w:val="7"/>
        </w:numPr>
        <w:spacing w:after="120" w:line="264" w:lineRule="auto"/>
        <w:ind w:right="121"/>
        <w:jc w:val="both"/>
        <w:rPr>
          <w:rFonts w:ascii="Arial" w:eastAsia="Arial" w:hAnsi="Arial" w:cs="Arial"/>
          <w:color w:val="000000"/>
          <w:sz w:val="20"/>
        </w:rPr>
      </w:pPr>
      <w:r w:rsidRPr="004A0E17">
        <w:rPr>
          <w:rFonts w:ascii="Arial" w:eastAsia="Arial" w:hAnsi="Arial" w:cs="Arial"/>
          <w:color w:val="000000"/>
          <w:sz w:val="20"/>
        </w:rPr>
        <w:t>posouzení věcného pokroku (evaluační úkol 2),</w:t>
      </w:r>
    </w:p>
    <w:p w:rsidR="004A0E17" w:rsidRPr="004A0E17" w:rsidRDefault="00697A5C" w:rsidP="004A0E17">
      <w:pPr>
        <w:pStyle w:val="Odstavecseseznamem"/>
        <w:numPr>
          <w:ilvl w:val="0"/>
          <w:numId w:val="7"/>
        </w:numPr>
        <w:spacing w:after="120" w:line="264" w:lineRule="auto"/>
        <w:ind w:right="121"/>
        <w:jc w:val="both"/>
        <w:rPr>
          <w:rFonts w:ascii="Arial" w:eastAsia="Arial" w:hAnsi="Arial" w:cs="Arial"/>
          <w:color w:val="000000"/>
          <w:sz w:val="20"/>
        </w:rPr>
      </w:pPr>
      <w:r w:rsidRPr="004A0E17">
        <w:rPr>
          <w:rFonts w:ascii="Arial" w:eastAsia="Arial" w:hAnsi="Arial" w:cs="Arial"/>
          <w:color w:val="000000"/>
          <w:sz w:val="20"/>
        </w:rPr>
        <w:t>posouzení procesu implementace (evaluační úkol 3),</w:t>
      </w:r>
    </w:p>
    <w:p w:rsidR="004A0E17" w:rsidRPr="004A0E17" w:rsidRDefault="00697A5C" w:rsidP="004A0E17">
      <w:pPr>
        <w:pStyle w:val="Odstavecseseznamem"/>
        <w:numPr>
          <w:ilvl w:val="0"/>
          <w:numId w:val="7"/>
        </w:numPr>
        <w:spacing w:after="120" w:line="264" w:lineRule="auto"/>
        <w:ind w:right="121"/>
        <w:jc w:val="both"/>
        <w:rPr>
          <w:rFonts w:ascii="Arial" w:eastAsia="Arial" w:hAnsi="Arial" w:cs="Arial"/>
          <w:color w:val="000000"/>
          <w:sz w:val="20"/>
        </w:rPr>
      </w:pPr>
      <w:proofErr w:type="gramStart"/>
      <w:r w:rsidRPr="004A0E17">
        <w:rPr>
          <w:rFonts w:ascii="Arial" w:eastAsia="Arial" w:hAnsi="Arial" w:cs="Arial"/>
          <w:color w:val="000000"/>
          <w:sz w:val="20"/>
        </w:rPr>
        <w:t>posouzení</w:t>
      </w:r>
      <w:proofErr w:type="gramEnd"/>
      <w:r w:rsidRPr="004A0E17">
        <w:rPr>
          <w:rFonts w:ascii="Arial" w:eastAsia="Arial" w:hAnsi="Arial" w:cs="Arial"/>
          <w:color w:val="000000"/>
          <w:sz w:val="20"/>
        </w:rPr>
        <w:t xml:space="preserve"> celkového řízení program (evaluační úkol 4).</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Se zhotovitelem byla podepsána smlouva o dílo dne 24. 11. 2016. V roce 2016 byla vypracována Vstupní zpráva a Průběžná zpráva k evaluačnímu úkolu č. 2. V průběhu roku 2017 byla vypracována Průběžná zpráva k evaluačním úkolům č. 1, 3 a 4, a Závěrečné zprávy byly zhotovitelem předány dne 30. 8. 2017.</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Informace o závěrech z První průběžné evaluace OP PPR - evaluační úkoly 1 a 2 byla prezentována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6. </w:t>
      </w:r>
      <w:proofErr w:type="gramStart"/>
      <w:r>
        <w:rPr>
          <w:rFonts w:ascii="Arial" w:eastAsia="Arial" w:hAnsi="Arial" w:cs="Arial"/>
          <w:color w:val="000000"/>
          <w:sz w:val="20"/>
        </w:rPr>
        <w:t>zasedání</w:t>
      </w:r>
      <w:proofErr w:type="gramEnd"/>
      <w:r>
        <w:rPr>
          <w:rFonts w:ascii="Arial" w:eastAsia="Arial" w:hAnsi="Arial" w:cs="Arial"/>
          <w:color w:val="000000"/>
          <w:sz w:val="20"/>
        </w:rPr>
        <w:t xml:space="preserve"> MV OP PPR dne 14. 6. 2017. Informace o závěrech z První průběžné evaluace OP PPR - evaluační úkoly 3 a 4 byla projednána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3. </w:t>
      </w:r>
      <w:proofErr w:type="gramStart"/>
      <w:r>
        <w:rPr>
          <w:rFonts w:ascii="Arial" w:eastAsia="Arial" w:hAnsi="Arial" w:cs="Arial"/>
          <w:color w:val="000000"/>
          <w:sz w:val="20"/>
        </w:rPr>
        <w:t>jednání</w:t>
      </w:r>
      <w:proofErr w:type="gramEnd"/>
      <w:r>
        <w:rPr>
          <w:rFonts w:ascii="Arial" w:eastAsia="Arial" w:hAnsi="Arial" w:cs="Arial"/>
          <w:color w:val="000000"/>
          <w:sz w:val="20"/>
        </w:rPr>
        <w:t xml:space="preserve"> Pracovní skupiny pro evaluace OP PPR dne </w:t>
      </w:r>
      <w:r w:rsidR="004A0E17">
        <w:rPr>
          <w:rFonts w:ascii="Arial" w:eastAsia="Arial" w:hAnsi="Arial" w:cs="Arial"/>
          <w:color w:val="000000"/>
          <w:sz w:val="20"/>
        </w:rPr>
        <w:br/>
      </w:r>
      <w:r>
        <w:rPr>
          <w:rFonts w:ascii="Arial" w:eastAsia="Arial" w:hAnsi="Arial" w:cs="Arial"/>
          <w:color w:val="000000"/>
          <w:sz w:val="20"/>
        </w:rPr>
        <w:t xml:space="preserve">27. 10. 2017 a zároveň byla prezentována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8. </w:t>
      </w:r>
      <w:proofErr w:type="gramStart"/>
      <w:r>
        <w:rPr>
          <w:rFonts w:ascii="Arial" w:eastAsia="Arial" w:hAnsi="Arial" w:cs="Arial"/>
          <w:color w:val="000000"/>
          <w:sz w:val="20"/>
        </w:rPr>
        <w:t>zasedání</w:t>
      </w:r>
      <w:proofErr w:type="gramEnd"/>
      <w:r>
        <w:rPr>
          <w:rFonts w:ascii="Arial" w:eastAsia="Arial" w:hAnsi="Arial" w:cs="Arial"/>
          <w:color w:val="000000"/>
          <w:sz w:val="20"/>
        </w:rPr>
        <w:t xml:space="preserve"> MV OP PPR dne 4. 12. 2017.</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První průběžná evaluace OP PPR byla ukončena dne 30. 8. 2017 a následně byly zahájeny práce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reflektování přijatých doporučení do konkrétních úkolů, které byly poté zahrnuty do Přehledu využití doporučení z evaluací. ŘO OP PPR obdržel celkem 30 doporučení, z nichž 29 přijal jako relevantní </w:t>
      </w:r>
      <w:r w:rsidR="004A0E17">
        <w:rPr>
          <w:rFonts w:ascii="Arial" w:eastAsia="Arial" w:hAnsi="Arial" w:cs="Arial"/>
          <w:color w:val="000000"/>
          <w:sz w:val="20"/>
        </w:rPr>
        <w:br/>
      </w:r>
      <w:r>
        <w:rPr>
          <w:rFonts w:ascii="Arial" w:eastAsia="Arial" w:hAnsi="Arial" w:cs="Arial"/>
          <w:color w:val="000000"/>
          <w:sz w:val="20"/>
        </w:rPr>
        <w:t>a ke každému přiřadil konkrétní úkol.</w:t>
      </w:r>
    </w:p>
    <w:p w:rsidR="004A0E17" w:rsidRDefault="00697A5C">
      <w:pPr>
        <w:spacing w:after="120" w:line="264" w:lineRule="auto"/>
        <w:ind w:left="119" w:right="121"/>
        <w:jc w:val="both"/>
        <w:rPr>
          <w:rFonts w:ascii="Arial" w:eastAsia="Arial" w:hAnsi="Arial" w:cs="Arial"/>
          <w:color w:val="000000"/>
          <w:sz w:val="20"/>
        </w:rPr>
      </w:pPr>
      <w:r w:rsidRPr="00FE46D8">
        <w:rPr>
          <w:rFonts w:ascii="Arial" w:eastAsia="Arial" w:hAnsi="Arial" w:cs="Arial"/>
          <w:b/>
          <w:color w:val="000000"/>
          <w:sz w:val="20"/>
          <w:u w:val="single"/>
        </w:rPr>
        <w:t>ŘO OP PPR obdržel v rámci První průběžné evaluace OP PPR především následující doporučení:</w:t>
      </w:r>
      <w:r w:rsidRPr="00FE46D8">
        <w:rPr>
          <w:b/>
          <w:u w:val="single"/>
        </w:rPr>
        <w:br/>
      </w:r>
      <w:r>
        <w:rPr>
          <w:rFonts w:ascii="Arial" w:eastAsia="Arial" w:hAnsi="Arial" w:cs="Arial"/>
          <w:color w:val="000000"/>
          <w:sz w:val="20"/>
        </w:rPr>
        <w:t xml:space="preserve">Spolupracovat s oprávněnými žadateli (převážně organizace s vlastnickými právy HMP) na přípravě projektů na úrovni vedení organizací; Zmírnění podmínek pro projekty zacílené na přeměnu městských budov na budovy s téměř nulovou spotřebou energie; Zvážit snížení cílových hodnot milníků k r. 2018; Zahrnout do dalších výzev náklady na rekonstrukci a/nebo zhodnocení stávajících objektů azylových domů, nízkoprahových center a dalších sociálních služeb; Informovat o vyhlášení a podrobnostech výzvy min. 3 měsíce před vyhlášením; Podporovat inovativní metody práce s CS využívajících komunitních center, která zapojují i rizikovější CS (osoby bez přístřeší, osoby závislé a ohrožené závislostí, ad.); Zvážit dvoukolový systém hodnocení (předběžná a plná žádost o podporu) u aktivit SC 3.3; Systematicky sledovat a vyhodnocovat vybrané procesní a uživatelské metriky; Zkrátit dobu pro získání zpětné vazby od schvalovatele hodnocení; Omezit vracení odevzdaných posudků; Průběžně informovat žadatele při předpokládaném nedodržení termínů schvalování žádostí; Usilovat o větší předvídatelnost procesu </w:t>
      </w:r>
      <w:r w:rsidR="004A0E17">
        <w:rPr>
          <w:rFonts w:ascii="Arial" w:eastAsia="Arial" w:hAnsi="Arial" w:cs="Arial"/>
          <w:color w:val="000000"/>
          <w:sz w:val="20"/>
        </w:rPr>
        <w:br/>
      </w:r>
      <w:r>
        <w:rPr>
          <w:rFonts w:ascii="Arial" w:eastAsia="Arial" w:hAnsi="Arial" w:cs="Arial"/>
          <w:color w:val="000000"/>
          <w:sz w:val="20"/>
        </w:rPr>
        <w:t>z pohledu hodnotitelů; Poskytnout hodnotitelům prostor pro výměnu zkušeností a zvážit poskytnutí větší časové dotace pro samotné hodnocení; Zvážit dvoukolový způsob vyhlašování výzvy (u PO 3); Poskytnout vedoucím pracovníkům podporu při předávání úkolů, a pracovních informací a sdílení znalostí; Koncepčně realizovat aktivity interních PR; Stabilizovat fluktuaci pracovníků, především na seniorní úrovni; Pravidelně hodnotit spokojenost zaměstnanců a hodnocení vedoucích pracovníků.</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Vzhledem k délce trvání První průběžné evaluace OP PPR bylo již 15 úkolů splněno ještě před obdržením finální verze závěrečné zprávy, dalších 11 úkolů je v realizaci a 3 v přípravě. Všechny úkoly mají předpoklad být splněny do konce roku 2018.</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ŘO OP PPR zváží realizaci následného a průběžného ověření výsledků evaluace stran spokojenosti zaměstnanců s cílem ověření dopadů zrealizovaných opatření vyplývajících z První průběžné evaluace OP PPR, a případně jej poté doplní do Evaluačního plánu OP PPR.</w:t>
      </w:r>
    </w:p>
    <w:p w:rsidR="004A0E17"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Přehled využití doporučení z výše uvedené evaluace byl projednán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3. </w:t>
      </w:r>
      <w:proofErr w:type="gramStart"/>
      <w:r>
        <w:rPr>
          <w:rFonts w:ascii="Arial" w:eastAsia="Arial" w:hAnsi="Arial" w:cs="Arial"/>
          <w:color w:val="000000"/>
          <w:sz w:val="20"/>
        </w:rPr>
        <w:t>jednání</w:t>
      </w:r>
      <w:proofErr w:type="gramEnd"/>
      <w:r>
        <w:rPr>
          <w:rFonts w:ascii="Arial" w:eastAsia="Arial" w:hAnsi="Arial" w:cs="Arial"/>
          <w:color w:val="000000"/>
          <w:sz w:val="20"/>
        </w:rPr>
        <w:t xml:space="preserve"> Pracovní skupiny pro evaluace OP PPR dne 27. 10. 2017.</w:t>
      </w:r>
    </w:p>
    <w:p w:rsidR="00457252"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lastRenderedPageBreak/>
        <w:t xml:space="preserve">Evaluační plán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informace o evaluačních aktivitách OP PPR jsou vloženy do MS2014+. Výstupy </w:t>
      </w:r>
      <w:r w:rsidR="004A0E17">
        <w:rPr>
          <w:rFonts w:ascii="Arial" w:eastAsia="Arial" w:hAnsi="Arial" w:cs="Arial"/>
          <w:color w:val="000000"/>
          <w:sz w:val="20"/>
        </w:rPr>
        <w:br/>
      </w:r>
      <w:r>
        <w:rPr>
          <w:rFonts w:ascii="Arial" w:eastAsia="Arial" w:hAnsi="Arial" w:cs="Arial"/>
          <w:color w:val="000000"/>
          <w:sz w:val="20"/>
        </w:rPr>
        <w:t xml:space="preserve">z provedených evaluací OP PPR jsou volně dostupné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http://penizeproprahu.cz/evaluace/.</w:t>
      </w:r>
    </w:p>
    <w:p w:rsidR="00457252" w:rsidRDefault="00697A5C" w:rsidP="00D46935">
      <w:pPr>
        <w:pStyle w:val="Nadpis1"/>
      </w:pPr>
      <w:bookmarkStart w:id="14" w:name="_Toc512860941"/>
      <w:r>
        <w:t>INFORMACE O IMPLEMENTACI INICIATIVY NA PODPORU ZAMĚSTNANOSTI MLADÝCH LIDÍ, JE-LI POUŽITELNÉ (čl. 19 odst. 2 a 4 nařízení (EU) č. 1304/2013)</w:t>
      </w:r>
      <w:bookmarkEnd w:id="14"/>
    </w:p>
    <w:p w:rsidR="00457252"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Nerelevantní pro tento program.</w:t>
      </w:r>
    </w:p>
    <w:p w:rsidR="00457252" w:rsidRDefault="00697A5C">
      <w:pPr>
        <w:numPr>
          <w:ilvl w:val="0"/>
          <w:numId w:val="3"/>
        </w:numPr>
        <w:tabs>
          <w:tab w:val="left" w:pos="675"/>
        </w:tabs>
        <w:spacing w:before="360" w:after="120"/>
        <w:jc w:val="both"/>
        <w:rPr>
          <w:rFonts w:ascii="Arial" w:eastAsia="Arial" w:hAnsi="Arial" w:cs="Arial"/>
          <w:b/>
          <w:bCs/>
          <w:color w:val="000000"/>
          <w:sz w:val="20"/>
        </w:rPr>
      </w:pPr>
      <w:bookmarkStart w:id="15" w:name="_Toc512860942"/>
      <w:r w:rsidRPr="00D46935">
        <w:rPr>
          <w:rStyle w:val="Nadpis1Char"/>
        </w:rPr>
        <w:t>ZÁLEŽITOSTI</w:t>
      </w:r>
      <w:bookmarkEnd w:id="15"/>
      <w:r>
        <w:rPr>
          <w:rFonts w:ascii="Arial" w:eastAsia="Arial" w:hAnsi="Arial" w:cs="Arial"/>
          <w:b/>
          <w:bCs/>
          <w:color w:val="000000"/>
          <w:sz w:val="24"/>
        </w:rPr>
        <w:t xml:space="preserve"> OVLIVŇUJÍCÍ VÝKONNOST PROGRAMU A PŘIJATÁ OPATŘENÍ (čl. 50 odst. 2 nařízení (EU) č. 1303/2013)</w:t>
      </w:r>
      <w:r>
        <w:rPr>
          <w:rFonts w:ascii="Arial" w:eastAsia="Arial" w:hAnsi="Arial" w:cs="Arial"/>
          <w:b/>
          <w:bCs/>
          <w:color w:val="000000"/>
          <w:sz w:val="20"/>
        </w:rPr>
        <w:t xml:space="preserve"> </w:t>
      </w:r>
    </w:p>
    <w:p w:rsidR="00457252" w:rsidRPr="00D46935" w:rsidRDefault="00697A5C">
      <w:pPr>
        <w:spacing w:after="120" w:line="264" w:lineRule="auto"/>
        <w:ind w:left="119" w:right="121"/>
        <w:jc w:val="both"/>
        <w:rPr>
          <w:rFonts w:ascii="Arial" w:eastAsia="Arial" w:hAnsi="Arial" w:cs="Arial"/>
          <w:b/>
          <w:color w:val="000000"/>
          <w:sz w:val="20"/>
          <w:u w:val="single"/>
        </w:rPr>
      </w:pPr>
      <w:r w:rsidRPr="00D46935">
        <w:rPr>
          <w:rFonts w:ascii="Arial" w:eastAsia="Arial" w:hAnsi="Arial" w:cs="Arial"/>
          <w:b/>
          <w:color w:val="000000"/>
          <w:sz w:val="20"/>
          <w:u w:val="single"/>
        </w:rPr>
        <w:t>a) Záležitosti, které ovlivňují výkonnost programu a přijatých opatření</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V lednu a v červenci 2017 proběhla aktualizace katalogu rizik, v 13 rizikových oblastech bylo specifikováno 26 dílčích rizik. Oproti předchozím obdobím byla rizika zredukována tak, aby bylo možno je co nejefektivněji řídit. Katalog rizik byl výchozím podkladem pro reportování do MS 2014+ v únoru a v srpnu 2017. </w:t>
      </w:r>
    </w:p>
    <w:p w:rsidR="00D46935" w:rsidRPr="00D46935" w:rsidRDefault="00697A5C">
      <w:pPr>
        <w:spacing w:after="120" w:line="264" w:lineRule="auto"/>
        <w:ind w:left="119" w:right="121"/>
        <w:jc w:val="both"/>
        <w:rPr>
          <w:rFonts w:ascii="Arial" w:eastAsia="Arial" w:hAnsi="Arial" w:cs="Arial"/>
          <w:b/>
          <w:color w:val="000000"/>
          <w:sz w:val="20"/>
          <w:u w:val="single"/>
        </w:rPr>
      </w:pPr>
      <w:r w:rsidRPr="00D46935">
        <w:rPr>
          <w:rFonts w:ascii="Arial" w:eastAsia="Arial" w:hAnsi="Arial" w:cs="Arial"/>
          <w:b/>
          <w:color w:val="000000"/>
          <w:sz w:val="20"/>
          <w:u w:val="single"/>
        </w:rPr>
        <w:t>Problémy a přijatá opatření k jejich odstranění v PO</w:t>
      </w:r>
    </w:p>
    <w:p w:rsidR="00D46935" w:rsidRPr="00D46935" w:rsidRDefault="00697A5C">
      <w:pPr>
        <w:spacing w:after="120" w:line="264" w:lineRule="auto"/>
        <w:ind w:left="119" w:right="121"/>
        <w:jc w:val="both"/>
        <w:rPr>
          <w:rFonts w:ascii="Arial" w:eastAsia="Arial" w:hAnsi="Arial" w:cs="Arial"/>
          <w:b/>
          <w:color w:val="000000"/>
          <w:sz w:val="20"/>
        </w:rPr>
      </w:pPr>
      <w:r w:rsidRPr="00D46935">
        <w:rPr>
          <w:rFonts w:ascii="Arial" w:eastAsia="Arial" w:hAnsi="Arial" w:cs="Arial"/>
          <w:b/>
          <w:color w:val="000000"/>
          <w:sz w:val="20"/>
        </w:rPr>
        <w:t xml:space="preserve">Prioritní </w:t>
      </w:r>
      <w:proofErr w:type="gramStart"/>
      <w:r w:rsidRPr="00D46935">
        <w:rPr>
          <w:rFonts w:ascii="Arial" w:eastAsia="Arial" w:hAnsi="Arial" w:cs="Arial"/>
          <w:b/>
          <w:color w:val="000000"/>
          <w:sz w:val="20"/>
        </w:rPr>
        <w:t>osa</w:t>
      </w:r>
      <w:proofErr w:type="gramEnd"/>
      <w:r w:rsidRPr="00D46935">
        <w:rPr>
          <w:rFonts w:ascii="Arial" w:eastAsia="Arial" w:hAnsi="Arial" w:cs="Arial"/>
          <w:b/>
          <w:color w:val="000000"/>
          <w:sz w:val="20"/>
        </w:rPr>
        <w:t xml:space="preserve"> 1</w:t>
      </w:r>
    </w:p>
    <w:p w:rsidR="006B37DA"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Klíčovým problém ovlivňující výkonnost PO1 v roce 2017 bylo zdržení při přípravě voucherových programů ze strany žadatele. Jde o voucherovou podporu, která je klíčová pro naplnění milníků PO1 v roce 2018. Konkrétně se jedná o projekty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podporu inovačních voucherů (9. výzva) a na podporu služeb pro začínající podnikatele (11. výzva). ŘO neobržel žádosti v avizovaném termínu a po jednáních přistopil </w:t>
      </w:r>
      <w:r w:rsidR="00D46935">
        <w:rPr>
          <w:rFonts w:ascii="Arial" w:eastAsia="Arial" w:hAnsi="Arial" w:cs="Arial"/>
          <w:color w:val="000000"/>
          <w:sz w:val="20"/>
        </w:rPr>
        <w:br/>
      </w:r>
      <w:r>
        <w:rPr>
          <w:rFonts w:ascii="Arial" w:eastAsia="Arial" w:hAnsi="Arial" w:cs="Arial"/>
          <w:color w:val="000000"/>
          <w:sz w:val="20"/>
        </w:rPr>
        <w:t xml:space="preserve">k prodloužení dotčených výzev o 2 měsíce. ŘO v těchto případech zintenzivnil práci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schvalovacím procesu těchto projektů, aby zajistil co nejrychlejší rozjezd podpory podniků na území hl. m. Prahy. Oproti původnímu harmonogramu výzev 2017 bylo take posunuto vyhlášení výzvy č. 39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leden 2018, kde nastavení a vyhlášení této výzvy čekalo na výsledky výzvy předcházející (26. výzvy).</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ŘO samozřejmě i nadále kontinuálně pracoval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podpůrných opatřeních, která měla zacíl zjednodušit metodické prostředí pro žadatele, zajistit srozumitelnost požadavků na žadatele a zvýšit tak jejich absorpční kapacitu. Přijatá opatření vycházela ze výsledků vyhlášených výzev, jednání pracovních skupin i zpětné vazby z workshopů s žadateli. K takovým opatřením patří revize Pravidel pro žadatele a příjemce, revizi a zjednodušení Metodiky zpracování Studie proveditelnosti včetně jasných instrukcí pro žadatele na problematických místech, zveřejňování revizních verzí metodických dokumentů pro snadnější přehlednost a orientaci žadatelů a příjemců v upravených a aktualizovaných oblastech, vytvoření vzoru pro zpracování analýzy proveditelnosti, která je jedním z výstupů 1. fáze projektů PoC, zveřejňování často kladených dotazů na webových stránkách programu, úpravy nastavení připravovaných a vyhlašovaných výzev, zpracování Metodiky pro využití řízení o inovačním partnerství, využití právních poradců při seminářích </w:t>
      </w:r>
      <w:r w:rsidR="00D46935">
        <w:rPr>
          <w:rFonts w:ascii="Arial" w:eastAsia="Arial" w:hAnsi="Arial" w:cs="Arial"/>
          <w:color w:val="000000"/>
          <w:sz w:val="20"/>
        </w:rPr>
        <w:br/>
      </w:r>
      <w:r>
        <w:rPr>
          <w:rFonts w:ascii="Arial" w:eastAsia="Arial" w:hAnsi="Arial" w:cs="Arial"/>
          <w:color w:val="000000"/>
          <w:sz w:val="20"/>
        </w:rPr>
        <w:t>v odborných oblastech jeko je právě inovační partnerství dle zákona č. 134/2016 Sb. o zadávání veřejných zakázek apod.</w:t>
      </w:r>
    </w:p>
    <w:p w:rsidR="00D46935" w:rsidRDefault="00697A5C">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V rámci PO1 se ŘO take začal zabývat problematikou podpory projektů, které nemohly být financovány </w:t>
      </w:r>
      <w:r w:rsidR="00D46935" w:rsidRPr="006B37DA">
        <w:rPr>
          <w:rFonts w:ascii="Arial" w:eastAsia="Arial" w:hAnsi="Arial" w:cs="Arial"/>
          <w:color w:val="000000"/>
          <w:sz w:val="20"/>
        </w:rPr>
        <w:br/>
      </w:r>
      <w:r w:rsidRPr="006B37DA">
        <w:rPr>
          <w:rFonts w:ascii="Arial" w:eastAsia="Arial" w:hAnsi="Arial" w:cs="Arial"/>
          <w:color w:val="000000"/>
          <w:sz w:val="20"/>
        </w:rPr>
        <w:t xml:space="preserve">z prostředků Unijního programu (např. se Seal of excellence, apod.). V rámci Akčního plánu Regionální inovační strategie hlavního </w:t>
      </w:r>
      <w:proofErr w:type="gramStart"/>
      <w:r w:rsidRPr="006B37DA">
        <w:rPr>
          <w:rFonts w:ascii="Arial" w:eastAsia="Arial" w:hAnsi="Arial" w:cs="Arial"/>
          <w:color w:val="000000"/>
          <w:sz w:val="20"/>
        </w:rPr>
        <w:t>města</w:t>
      </w:r>
      <w:proofErr w:type="gramEnd"/>
      <w:r w:rsidRPr="006B37DA">
        <w:rPr>
          <w:rFonts w:ascii="Arial" w:eastAsia="Arial" w:hAnsi="Arial" w:cs="Arial"/>
          <w:color w:val="000000"/>
          <w:sz w:val="20"/>
        </w:rPr>
        <w:t xml:space="preserve"> Prahy na období 2017-2018 Institut plánování a rozvoje hlavního města Prahy zpracoval analýzu možnosti využití institutu Seal of Excellence a související absorpční kapacity. Možnost financování takové podpory z OP PPR bude předmětem řešení v příštích měsících.</w:t>
      </w:r>
      <w:r w:rsidRPr="006B37DA">
        <w:br/>
      </w:r>
      <w:r w:rsidRPr="006B37DA">
        <w:rPr>
          <w:rFonts w:ascii="Arial" w:eastAsia="Arial" w:hAnsi="Arial" w:cs="Arial"/>
          <w:color w:val="000000"/>
          <w:sz w:val="20"/>
        </w:rPr>
        <w:t xml:space="preserve">V průběhu roku 2017 ŘO také přistoupil k úpravě Programového dokumentu OP PPR. V rámci PO1 se jednalo pouze o drobné textové úpravy activity 1.2.1 Zvyšování kvality </w:t>
      </w:r>
      <w:proofErr w:type="gramStart"/>
      <w:r w:rsidRPr="006B37DA">
        <w:rPr>
          <w:rFonts w:ascii="Arial" w:eastAsia="Arial" w:hAnsi="Arial" w:cs="Arial"/>
          <w:color w:val="000000"/>
          <w:sz w:val="20"/>
        </w:rPr>
        <w:t>a</w:t>
      </w:r>
      <w:proofErr w:type="gramEnd"/>
      <w:r w:rsidRPr="006B37DA">
        <w:rPr>
          <w:rFonts w:ascii="Arial" w:eastAsia="Arial" w:hAnsi="Arial" w:cs="Arial"/>
          <w:color w:val="000000"/>
          <w:sz w:val="20"/>
        </w:rPr>
        <w:t xml:space="preserve"> efektivity fungování podpůrné inovační infrastruktury.</w:t>
      </w:r>
    </w:p>
    <w:p w:rsidR="00D46935" w:rsidRPr="00D46935" w:rsidRDefault="00697A5C" w:rsidP="00D46935">
      <w:pPr>
        <w:keepNext/>
        <w:spacing w:after="120" w:line="264" w:lineRule="auto"/>
        <w:ind w:left="119" w:right="119"/>
        <w:jc w:val="both"/>
        <w:rPr>
          <w:rFonts w:ascii="Arial" w:eastAsia="Arial" w:hAnsi="Arial" w:cs="Arial"/>
          <w:b/>
          <w:color w:val="000000"/>
          <w:sz w:val="20"/>
        </w:rPr>
      </w:pPr>
      <w:r w:rsidRPr="00D46935">
        <w:rPr>
          <w:rFonts w:ascii="Arial" w:eastAsia="Arial" w:hAnsi="Arial" w:cs="Arial"/>
          <w:b/>
          <w:color w:val="000000"/>
          <w:sz w:val="20"/>
        </w:rPr>
        <w:lastRenderedPageBreak/>
        <w:t xml:space="preserve">Prioritní </w:t>
      </w:r>
      <w:proofErr w:type="gramStart"/>
      <w:r w:rsidRPr="00D46935">
        <w:rPr>
          <w:rFonts w:ascii="Arial" w:eastAsia="Arial" w:hAnsi="Arial" w:cs="Arial"/>
          <w:b/>
          <w:color w:val="000000"/>
          <w:sz w:val="20"/>
        </w:rPr>
        <w:t>osa</w:t>
      </w:r>
      <w:proofErr w:type="gramEnd"/>
      <w:r w:rsidRPr="00D46935">
        <w:rPr>
          <w:rFonts w:ascii="Arial" w:eastAsia="Arial" w:hAnsi="Arial" w:cs="Arial"/>
          <w:b/>
          <w:color w:val="000000"/>
          <w:sz w:val="20"/>
        </w:rPr>
        <w:t xml:space="preserve"> 2</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ŘO i nadále přistupoval k podpůrným opatřením, mezi které patřilo např. </w:t>
      </w:r>
      <w:proofErr w:type="gramStart"/>
      <w:r>
        <w:rPr>
          <w:rFonts w:ascii="Arial" w:eastAsia="Arial" w:hAnsi="Arial" w:cs="Arial"/>
          <w:color w:val="000000"/>
          <w:sz w:val="20"/>
        </w:rPr>
        <w:t>vyhlášení</w:t>
      </w:r>
      <w:proofErr w:type="gramEnd"/>
      <w:r>
        <w:rPr>
          <w:rFonts w:ascii="Arial" w:eastAsia="Arial" w:hAnsi="Arial" w:cs="Arial"/>
          <w:color w:val="000000"/>
          <w:sz w:val="20"/>
        </w:rPr>
        <w:t xml:space="preserve"> výzvy č. 30 po schválení revize č. 1, která spočívala v zapojení městských částí a jimi zřízených organizací mezi oprávněné žadatele v rámci aktivity 2.1.3 Energetické úspory v městských objektech - Realizace pilotních projektů přeměny energeticky náročných městských budov na budovy s téměř nulovou spotřebou energie. V průběhu roku 2017 zároveň došlo po zhodnocení stavu přípravy záchytných parkovišť P+R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území hlavního města Prahy k rozhodnutí nadále nepodporovat výstavbu záchytných parkovišť, a podpořit pouze předložený projekt "Vybudování záchytného parkoviště systému P+R v Radotíně" a rozpracovaný projekt "Výstavba P+R Černý Most", který bude předložen do výzvy č. 16, jejíž ukončení je stanoveno na 30. </w:t>
      </w:r>
      <w:proofErr w:type="gramStart"/>
      <w:r>
        <w:rPr>
          <w:rFonts w:ascii="Arial" w:eastAsia="Arial" w:hAnsi="Arial" w:cs="Arial"/>
          <w:color w:val="000000"/>
          <w:sz w:val="20"/>
        </w:rPr>
        <w:t>března</w:t>
      </w:r>
      <w:proofErr w:type="gramEnd"/>
      <w:r>
        <w:rPr>
          <w:rFonts w:ascii="Arial" w:eastAsia="Arial" w:hAnsi="Arial" w:cs="Arial"/>
          <w:color w:val="000000"/>
          <w:sz w:val="20"/>
        </w:rPr>
        <w:t xml:space="preserve"> 2018. V návrhu revize č. 2, jejíž předložení ke schválení je předpokládáno v 1. </w:t>
      </w:r>
      <w:proofErr w:type="gramStart"/>
      <w:r>
        <w:rPr>
          <w:rFonts w:ascii="Arial" w:eastAsia="Arial" w:hAnsi="Arial" w:cs="Arial"/>
          <w:color w:val="000000"/>
          <w:sz w:val="20"/>
        </w:rPr>
        <w:t>čtvrtletí</w:t>
      </w:r>
      <w:proofErr w:type="gramEnd"/>
      <w:r>
        <w:rPr>
          <w:rFonts w:ascii="Arial" w:eastAsia="Arial" w:hAnsi="Arial" w:cs="Arial"/>
          <w:color w:val="000000"/>
          <w:sz w:val="20"/>
        </w:rPr>
        <w:t xml:space="preserve"> roku 2018, je plánován přesun nevyčerpaných 610 mil. Kč jednak do prioritní osy 4, jednak do nového specifického cíle v prioritní ose 2. Specifický cíl 2.3 Rozvoj nízkoemisní mobility v oblasti městské dopravy v uličním provozu je navržen v celkové alokaci 410 mil. Kč a jeho cílem je rozvoj elektrobusů a elektromobility </w:t>
      </w:r>
      <w:r w:rsidR="00D46935">
        <w:rPr>
          <w:rFonts w:ascii="Arial" w:eastAsia="Arial" w:hAnsi="Arial" w:cs="Arial"/>
          <w:color w:val="000000"/>
          <w:sz w:val="20"/>
        </w:rPr>
        <w:br/>
      </w:r>
      <w:r>
        <w:rPr>
          <w:rFonts w:ascii="Arial" w:eastAsia="Arial" w:hAnsi="Arial" w:cs="Arial"/>
          <w:color w:val="000000"/>
          <w:sz w:val="20"/>
        </w:rPr>
        <w:t xml:space="preserve">v Praze, přičemž tento cíl zapadá do kontextu evropských snah o rozvoj nízkouhlíkových technologií, konceptu budování smart cities a pružné multimodální dopravy a zároveň přispívá ke snižování vysoké emisní zátěže ve městě. V rámci SC 2.1 byly předloženy a schváleny projekty v aktivitách 2.1.1 a 2.1.2, </w:t>
      </w:r>
      <w:r w:rsidR="00D46935">
        <w:rPr>
          <w:rFonts w:ascii="Arial" w:eastAsia="Arial" w:hAnsi="Arial" w:cs="Arial"/>
          <w:color w:val="000000"/>
          <w:sz w:val="20"/>
        </w:rPr>
        <w:br/>
      </w:r>
      <w:r>
        <w:rPr>
          <w:rFonts w:ascii="Arial" w:eastAsia="Arial" w:hAnsi="Arial" w:cs="Arial"/>
          <w:color w:val="000000"/>
          <w:sz w:val="20"/>
        </w:rPr>
        <w:t>v aktivitě 2.1.3, která se zabývá přeměnou energeticky náročných budov na budovy s nulovou spotřebou energie, byla výzva vyhlášena v červnu 2017, přičemž první projekt byl přijat v lednu 2018, a další projekty jsou předpokládány.</w:t>
      </w:r>
    </w:p>
    <w:p w:rsidR="00D46935" w:rsidRPr="00D46935" w:rsidRDefault="00697A5C">
      <w:pPr>
        <w:spacing w:after="120" w:line="264" w:lineRule="auto"/>
        <w:ind w:left="119" w:right="121"/>
        <w:jc w:val="both"/>
        <w:rPr>
          <w:rFonts w:ascii="Arial" w:eastAsia="Arial" w:hAnsi="Arial" w:cs="Arial"/>
          <w:b/>
          <w:color w:val="000000"/>
          <w:sz w:val="20"/>
        </w:rPr>
      </w:pPr>
      <w:r w:rsidRPr="00D46935">
        <w:rPr>
          <w:rFonts w:ascii="Arial" w:eastAsia="Arial" w:hAnsi="Arial" w:cs="Arial"/>
          <w:b/>
          <w:color w:val="000000"/>
          <w:sz w:val="20"/>
        </w:rPr>
        <w:t xml:space="preserve">Prioritní </w:t>
      </w:r>
      <w:proofErr w:type="gramStart"/>
      <w:r w:rsidRPr="00D46935">
        <w:rPr>
          <w:rFonts w:ascii="Arial" w:eastAsia="Arial" w:hAnsi="Arial" w:cs="Arial"/>
          <w:b/>
          <w:color w:val="000000"/>
          <w:sz w:val="20"/>
        </w:rPr>
        <w:t>osa</w:t>
      </w:r>
      <w:proofErr w:type="gramEnd"/>
      <w:r w:rsidRPr="00D46935">
        <w:rPr>
          <w:rFonts w:ascii="Arial" w:eastAsia="Arial" w:hAnsi="Arial" w:cs="Arial"/>
          <w:b/>
          <w:color w:val="000000"/>
          <w:sz w:val="20"/>
        </w:rPr>
        <w:t xml:space="preserve"> 3</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V rámci výzvy č. 34 došlo k navýšení alokace ze 100 mil. Kč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200 mil. Kč. Příjem žádostí o podporu byl dne 23. </w:t>
      </w:r>
      <w:proofErr w:type="gramStart"/>
      <w:r>
        <w:rPr>
          <w:rFonts w:ascii="Arial" w:eastAsia="Arial" w:hAnsi="Arial" w:cs="Arial"/>
          <w:color w:val="000000"/>
          <w:sz w:val="20"/>
        </w:rPr>
        <w:t>ledna</w:t>
      </w:r>
      <w:proofErr w:type="gramEnd"/>
      <w:r>
        <w:rPr>
          <w:rFonts w:ascii="Arial" w:eastAsia="Arial" w:hAnsi="Arial" w:cs="Arial"/>
          <w:color w:val="000000"/>
          <w:sz w:val="20"/>
        </w:rPr>
        <w:t xml:space="preserve"> 2018 ukončen. Řídicí orgán v této výzvě evidoval výrazný převis požadovaných prostředků </w:t>
      </w:r>
      <w:proofErr w:type="gramStart"/>
      <w:r>
        <w:rPr>
          <w:rFonts w:ascii="Arial" w:eastAsia="Arial" w:hAnsi="Arial" w:cs="Arial"/>
          <w:color w:val="000000"/>
          <w:sz w:val="20"/>
        </w:rPr>
        <w:t>nad</w:t>
      </w:r>
      <w:proofErr w:type="gramEnd"/>
      <w:r>
        <w:rPr>
          <w:rFonts w:ascii="Arial" w:eastAsia="Arial" w:hAnsi="Arial" w:cs="Arial"/>
          <w:color w:val="000000"/>
          <w:sz w:val="20"/>
        </w:rPr>
        <w:t xml:space="preserve"> celkovou alokací výzvy. Možnost navýšení alokace výzvy bylo již uvedeno přímo v textu výzvy. </w:t>
      </w:r>
      <w:r w:rsidR="00D46935">
        <w:rPr>
          <w:rFonts w:ascii="Arial" w:eastAsia="Arial" w:hAnsi="Arial" w:cs="Arial"/>
          <w:color w:val="000000"/>
          <w:sz w:val="20"/>
        </w:rPr>
        <w:br/>
      </w:r>
      <w:r>
        <w:rPr>
          <w:rFonts w:ascii="Arial" w:eastAsia="Arial" w:hAnsi="Arial" w:cs="Arial"/>
          <w:color w:val="000000"/>
          <w:sz w:val="20"/>
        </w:rPr>
        <w:t xml:space="preserve">Z tohoto důvodu bylo navrhnuto navýšení alokace této výzvy, které povede k vyššímu čerpání prostředků z operačního programu a zároveň dopomůže realizací projektů v oblasti sociálního začleňování ke zvýšení kvality života obyvatel hlavního </w:t>
      </w:r>
      <w:proofErr w:type="gramStart"/>
      <w:r>
        <w:rPr>
          <w:rFonts w:ascii="Arial" w:eastAsia="Arial" w:hAnsi="Arial" w:cs="Arial"/>
          <w:color w:val="000000"/>
          <w:sz w:val="20"/>
        </w:rPr>
        <w:t>města</w:t>
      </w:r>
      <w:proofErr w:type="gramEnd"/>
      <w:r>
        <w:rPr>
          <w:rFonts w:ascii="Arial" w:eastAsia="Arial" w:hAnsi="Arial" w:cs="Arial"/>
          <w:color w:val="000000"/>
          <w:sz w:val="20"/>
        </w:rPr>
        <w:t xml:space="preserve"> Prahy. </w:t>
      </w:r>
    </w:p>
    <w:p w:rsidR="004A0E17" w:rsidRDefault="00697A5C" w:rsidP="004A0E17">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Vzhledem k nízkému vyčerpání alokace u výzvy č. 27, SC 3.1, byla do následné výzvy č. 35 v témž SC, přidána, kromě možnosti vzniku sociálních služeb, také možnost rozvoje sociálních služeb. Tento způsob podpory byl ze strany potenciálních žadatelů hodnocen kladně. Výzva č. 35 byla rovněž velmi propagována, ať už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seminářích pro žadatele, pro městké části, poskytovatele sociálních služeb nebo v rámci inzerce v deníku Metro, inzerce na webových stránkách určených pro řídící orgány operačních programů.</w:t>
      </w:r>
      <w:r w:rsidR="004A0E17">
        <w:rPr>
          <w:rFonts w:ascii="Arial" w:eastAsia="Arial" w:hAnsi="Arial" w:cs="Arial"/>
          <w:color w:val="000000"/>
          <w:sz w:val="20"/>
        </w:rPr>
        <w:t xml:space="preserve"> </w:t>
      </w:r>
      <w:r>
        <w:rPr>
          <w:rFonts w:ascii="Arial" w:eastAsia="Arial" w:hAnsi="Arial" w:cs="Arial"/>
          <w:color w:val="000000"/>
          <w:sz w:val="20"/>
        </w:rPr>
        <w:t xml:space="preserve">I přes vstřícné kroky řídícího orgánu (zjednodušní administrativy, snížení počtu předkládaných příloh, zrušení omezení počtu a délky osobních konzultací) velká část žadatelů nebyla v rámci výzev č. 25 a 27 schopna, ani po opakované výzvě, splnit požadavky jednotlivých výzev a tudíž byla jejich žádost </w:t>
      </w:r>
      <w:r w:rsidR="004A0E17">
        <w:rPr>
          <w:rFonts w:ascii="Arial" w:eastAsia="Arial" w:hAnsi="Arial" w:cs="Arial"/>
          <w:color w:val="000000"/>
          <w:sz w:val="20"/>
        </w:rPr>
        <w:br/>
      </w:r>
      <w:r>
        <w:rPr>
          <w:rFonts w:ascii="Arial" w:eastAsia="Arial" w:hAnsi="Arial" w:cs="Arial"/>
          <w:color w:val="000000"/>
          <w:sz w:val="20"/>
        </w:rPr>
        <w:t xml:space="preserve">v rámci hodnocení vyřazena z dalšího schvalovacího procesu. Řídící orgán se bude i nadále snažit žadatelům, příjemcům, co nejvíce vycházet vstříc 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ně kladené požadavky minimalizovat.</w:t>
      </w:r>
    </w:p>
    <w:p w:rsidR="004A0E17" w:rsidRPr="004A0E17" w:rsidRDefault="00697A5C" w:rsidP="004A0E17">
      <w:pPr>
        <w:spacing w:after="120" w:line="264" w:lineRule="auto"/>
        <w:ind w:left="119" w:right="121"/>
        <w:jc w:val="both"/>
        <w:rPr>
          <w:rFonts w:ascii="Arial" w:eastAsia="Arial" w:hAnsi="Arial" w:cs="Arial"/>
          <w:b/>
          <w:color w:val="000000"/>
          <w:sz w:val="20"/>
        </w:rPr>
      </w:pPr>
      <w:r w:rsidRPr="004A0E17">
        <w:rPr>
          <w:rFonts w:ascii="Arial" w:eastAsia="Arial" w:hAnsi="Arial" w:cs="Arial"/>
          <w:b/>
          <w:color w:val="000000"/>
          <w:sz w:val="20"/>
        </w:rPr>
        <w:t xml:space="preserve">Prioritní </w:t>
      </w:r>
      <w:proofErr w:type="gramStart"/>
      <w:r w:rsidRPr="004A0E17">
        <w:rPr>
          <w:rFonts w:ascii="Arial" w:eastAsia="Arial" w:hAnsi="Arial" w:cs="Arial"/>
          <w:b/>
          <w:color w:val="000000"/>
          <w:sz w:val="20"/>
        </w:rPr>
        <w:t>osa</w:t>
      </w:r>
      <w:proofErr w:type="gramEnd"/>
      <w:r w:rsidRPr="004A0E17">
        <w:rPr>
          <w:rFonts w:ascii="Arial" w:eastAsia="Arial" w:hAnsi="Arial" w:cs="Arial"/>
          <w:b/>
          <w:color w:val="000000"/>
          <w:sz w:val="20"/>
        </w:rPr>
        <w:t xml:space="preserve"> 4</w:t>
      </w:r>
    </w:p>
    <w:p w:rsidR="004A0E17" w:rsidRDefault="00697A5C" w:rsidP="004A0E17">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Absorpční kapacita: V roce 2017 vyhlášené výzvy neprovázelo tak významné riziko nízké absorpční kapacity. O výzvy vyhlášené ve specifickém cíli 4.1 (ERDF) byl registrován velký zájem. Do výzvy č. 23 </w:t>
      </w:r>
      <w:r w:rsidR="004A0E17">
        <w:rPr>
          <w:rFonts w:ascii="Arial" w:eastAsia="Arial" w:hAnsi="Arial" w:cs="Arial"/>
          <w:color w:val="000000"/>
          <w:sz w:val="20"/>
        </w:rPr>
        <w:br/>
      </w:r>
      <w:r>
        <w:rPr>
          <w:rFonts w:ascii="Arial" w:eastAsia="Arial" w:hAnsi="Arial" w:cs="Arial"/>
          <w:color w:val="000000"/>
          <w:sz w:val="20"/>
        </w:rPr>
        <w:t>s alokací 300 mil. Kč byly předloženy žádosti za 648</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mil. Kč. Do výzvy č. 20 s alokací 200 mil. Kč byly podány žádosti v celkovém objemu za 387</w:t>
      </w:r>
      <w:proofErr w:type="gramStart"/>
      <w:r>
        <w:rPr>
          <w:rFonts w:ascii="Arial" w:eastAsia="Arial" w:hAnsi="Arial" w:cs="Arial"/>
          <w:color w:val="000000"/>
          <w:sz w:val="20"/>
        </w:rPr>
        <w:t>,3</w:t>
      </w:r>
      <w:proofErr w:type="gramEnd"/>
      <w:r>
        <w:rPr>
          <w:rFonts w:ascii="Arial" w:eastAsia="Arial" w:hAnsi="Arial" w:cs="Arial"/>
          <w:color w:val="000000"/>
          <w:sz w:val="20"/>
        </w:rPr>
        <w:t xml:space="preserve"> mil. Kč. S ohledem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významný zájem o tyto výzvy byly alokace navýšeny pro projednání v Plánovací komisi pro PO 4 OP PPR a schválení v Radě hl. m. Prahy </w:t>
      </w:r>
      <w:r w:rsidR="004A0E17">
        <w:rPr>
          <w:rFonts w:ascii="Arial" w:eastAsia="Arial" w:hAnsi="Arial" w:cs="Arial"/>
          <w:color w:val="000000"/>
          <w:sz w:val="20"/>
        </w:rPr>
        <w:t>-</w:t>
      </w:r>
      <w:r>
        <w:rPr>
          <w:rFonts w:ascii="Arial" w:eastAsia="Arial" w:hAnsi="Arial" w:cs="Arial"/>
          <w:color w:val="000000"/>
          <w:sz w:val="20"/>
        </w:rPr>
        <w:t xml:space="preserve"> výzva č. 23 byla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výšena na 400 mil. Kč, výzva č. 20 byla navýšena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300 mil. Kč. </w:t>
      </w:r>
      <w:r>
        <w:br/>
      </w:r>
      <w:r>
        <w:rPr>
          <w:rFonts w:ascii="Arial" w:eastAsia="Arial" w:hAnsi="Arial" w:cs="Arial"/>
          <w:color w:val="000000"/>
          <w:sz w:val="20"/>
        </w:rPr>
        <w:t>Ve výzvě č. 21 vyhlášené v rámci specifického cíle 4.2 (ESF) s alokací 360 mil. Kč byly podány žádosti za 311</w:t>
      </w:r>
      <w:proofErr w:type="gramStart"/>
      <w:r>
        <w:rPr>
          <w:rFonts w:ascii="Arial" w:eastAsia="Arial" w:hAnsi="Arial" w:cs="Arial"/>
          <w:color w:val="000000"/>
          <w:sz w:val="20"/>
        </w:rPr>
        <w:t>,6</w:t>
      </w:r>
      <w:proofErr w:type="gramEnd"/>
      <w:r>
        <w:rPr>
          <w:rFonts w:ascii="Arial" w:eastAsia="Arial" w:hAnsi="Arial" w:cs="Arial"/>
          <w:color w:val="000000"/>
          <w:sz w:val="20"/>
        </w:rPr>
        <w:t xml:space="preserve"> mil. Kč, což považujeme za odpovídající a dostatečný zájem o podporované aktivity, přestože nebyla naplněna alokace výzvy. Podobně jako v předchozí výzvě č. 2 byly registrovány žádosti v dostatečném objemu, nicméně část z nich neprošla úspěšně procesem hodnocení a výběru, případně někteří žadatelé odstoupili </w:t>
      </w:r>
      <w:proofErr w:type="gramStart"/>
      <w:r>
        <w:rPr>
          <w:rFonts w:ascii="Arial" w:eastAsia="Arial" w:hAnsi="Arial" w:cs="Arial"/>
          <w:color w:val="000000"/>
          <w:sz w:val="20"/>
        </w:rPr>
        <w:t>od</w:t>
      </w:r>
      <w:proofErr w:type="gramEnd"/>
      <w:r>
        <w:rPr>
          <w:rFonts w:ascii="Arial" w:eastAsia="Arial" w:hAnsi="Arial" w:cs="Arial"/>
          <w:color w:val="000000"/>
          <w:sz w:val="20"/>
        </w:rPr>
        <w:t xml:space="preserve"> podpisu smlouvy. </w:t>
      </w:r>
    </w:p>
    <w:p w:rsidR="004A0E17" w:rsidRPr="006B37DA" w:rsidRDefault="00697A5C" w:rsidP="004A0E17">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lastRenderedPageBreak/>
        <w:t xml:space="preserve">Administrativní zátěž: Vysoký počet administrovaných žádostí vedl k významnému zatížení administrativní kapacity projektových manažerek. ŘO se potýkal také s nedostatečným počtem hodnotitelů ve věcném hodnocení a bylo nutné provést výběr a proškolení další skupiny hodnotitelů. To vše vedlo ke zdržení procesu výběru a hodnocení projektů. ŘO průběžně informoval žadatele o stavu administrace projektů. </w:t>
      </w:r>
      <w:r w:rsidR="004A0E17" w:rsidRPr="006B37DA">
        <w:rPr>
          <w:rFonts w:ascii="Arial" w:eastAsia="Arial" w:hAnsi="Arial" w:cs="Arial"/>
          <w:color w:val="000000"/>
          <w:sz w:val="20"/>
        </w:rPr>
        <w:br/>
      </w:r>
      <w:r w:rsidRPr="006B37DA">
        <w:rPr>
          <w:rFonts w:ascii="Arial" w:eastAsia="Arial" w:hAnsi="Arial" w:cs="Arial"/>
          <w:color w:val="000000"/>
          <w:sz w:val="20"/>
        </w:rPr>
        <w:t xml:space="preserve">K 20. </w:t>
      </w:r>
      <w:proofErr w:type="gramStart"/>
      <w:r w:rsidRPr="006B37DA">
        <w:rPr>
          <w:rFonts w:ascii="Arial" w:eastAsia="Arial" w:hAnsi="Arial" w:cs="Arial"/>
          <w:color w:val="000000"/>
          <w:sz w:val="20"/>
        </w:rPr>
        <w:t>výzvě</w:t>
      </w:r>
      <w:proofErr w:type="gramEnd"/>
      <w:r w:rsidRPr="006B37DA">
        <w:rPr>
          <w:rFonts w:ascii="Arial" w:eastAsia="Arial" w:hAnsi="Arial" w:cs="Arial"/>
          <w:color w:val="000000"/>
          <w:sz w:val="20"/>
        </w:rPr>
        <w:t xml:space="preserve"> byly na webových stránkách uveřejňovány aktuální stavy hodnocení projektů včetně stavu disponibilní alokace výzvy. Tým projektových manažerek PO 4 byl </w:t>
      </w:r>
      <w:proofErr w:type="gramStart"/>
      <w:r w:rsidRPr="006B37DA">
        <w:rPr>
          <w:rFonts w:ascii="Arial" w:eastAsia="Arial" w:hAnsi="Arial" w:cs="Arial"/>
          <w:color w:val="000000"/>
          <w:sz w:val="20"/>
        </w:rPr>
        <w:t>od</w:t>
      </w:r>
      <w:proofErr w:type="gramEnd"/>
      <w:r w:rsidRPr="006B37DA">
        <w:rPr>
          <w:rFonts w:ascii="Arial" w:eastAsia="Arial" w:hAnsi="Arial" w:cs="Arial"/>
          <w:color w:val="000000"/>
          <w:sz w:val="20"/>
        </w:rPr>
        <w:t xml:space="preserve"> listopadu posílen o jednu projektovou manažerku.</w:t>
      </w:r>
    </w:p>
    <w:p w:rsidR="004A0E17" w:rsidRPr="006B37DA" w:rsidRDefault="00697A5C" w:rsidP="004A0E17">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Z důvodu velkého počtu administrovaných Zpráv o realizaci a Žádostí o platbu v rámci oddelění finančního řízení a kontrol došlo k prodloužení lhůty stanovené pro administraci zpráv. Dalším důvodem byly personální změny v rámci oddělení mezi prioritními osami, nízký počet finančních manažerů v oddělení </w:t>
      </w:r>
      <w:r w:rsidR="004A0E17" w:rsidRPr="006B37DA">
        <w:rPr>
          <w:rFonts w:ascii="Arial" w:eastAsia="Arial" w:hAnsi="Arial" w:cs="Arial"/>
          <w:color w:val="000000"/>
          <w:sz w:val="20"/>
        </w:rPr>
        <w:br/>
      </w:r>
      <w:r w:rsidRPr="006B37DA">
        <w:rPr>
          <w:rFonts w:ascii="Arial" w:eastAsia="Arial" w:hAnsi="Arial" w:cs="Arial"/>
          <w:color w:val="000000"/>
          <w:sz w:val="20"/>
        </w:rPr>
        <w:t xml:space="preserve">a další pracovní činnosti, jako je např. </w:t>
      </w:r>
      <w:proofErr w:type="gramStart"/>
      <w:r w:rsidRPr="006B37DA">
        <w:rPr>
          <w:rFonts w:ascii="Arial" w:eastAsia="Arial" w:hAnsi="Arial" w:cs="Arial"/>
          <w:color w:val="000000"/>
          <w:sz w:val="20"/>
        </w:rPr>
        <w:t>pořádání</w:t>
      </w:r>
      <w:proofErr w:type="gramEnd"/>
      <w:r w:rsidRPr="006B37DA">
        <w:rPr>
          <w:rFonts w:ascii="Arial" w:eastAsia="Arial" w:hAnsi="Arial" w:cs="Arial"/>
          <w:color w:val="000000"/>
          <w:sz w:val="20"/>
        </w:rPr>
        <w:t xml:space="preserve"> seminářů pro žadatele a příjemce, kontroly na místě, </w:t>
      </w:r>
      <w:r w:rsidR="004A0E17" w:rsidRPr="006B37DA">
        <w:rPr>
          <w:rFonts w:ascii="Arial" w:eastAsia="Arial" w:hAnsi="Arial" w:cs="Arial"/>
          <w:color w:val="000000"/>
          <w:sz w:val="20"/>
        </w:rPr>
        <w:br/>
      </w:r>
      <w:r w:rsidRPr="006B37DA">
        <w:rPr>
          <w:rFonts w:ascii="Arial" w:eastAsia="Arial" w:hAnsi="Arial" w:cs="Arial"/>
          <w:color w:val="000000"/>
          <w:sz w:val="20"/>
        </w:rPr>
        <w:t xml:space="preserve">ex-ante kontrola žádostí o podporu v rámci 19., 21., 22. </w:t>
      </w:r>
      <w:proofErr w:type="gramStart"/>
      <w:r w:rsidRPr="006B37DA">
        <w:rPr>
          <w:rFonts w:ascii="Arial" w:eastAsia="Arial" w:hAnsi="Arial" w:cs="Arial"/>
          <w:color w:val="000000"/>
          <w:sz w:val="20"/>
        </w:rPr>
        <w:t>a</w:t>
      </w:r>
      <w:proofErr w:type="gramEnd"/>
      <w:r w:rsidRPr="006B37DA">
        <w:rPr>
          <w:rFonts w:ascii="Arial" w:eastAsia="Arial" w:hAnsi="Arial" w:cs="Arial"/>
          <w:color w:val="000000"/>
          <w:sz w:val="20"/>
        </w:rPr>
        <w:t xml:space="preserve"> 23. </w:t>
      </w:r>
      <w:proofErr w:type="gramStart"/>
      <w:r w:rsidRPr="006B37DA">
        <w:rPr>
          <w:rFonts w:ascii="Arial" w:eastAsia="Arial" w:hAnsi="Arial" w:cs="Arial"/>
          <w:color w:val="000000"/>
          <w:sz w:val="20"/>
        </w:rPr>
        <w:t>výzvě</w:t>
      </w:r>
      <w:proofErr w:type="gramEnd"/>
      <w:r w:rsidRPr="006B37DA">
        <w:rPr>
          <w:rFonts w:ascii="Arial" w:eastAsia="Arial" w:hAnsi="Arial" w:cs="Arial"/>
          <w:color w:val="000000"/>
          <w:sz w:val="20"/>
        </w:rPr>
        <w:t xml:space="preserve"> a následné uzavírání Smluv </w:t>
      </w:r>
      <w:r w:rsidR="004A0E17" w:rsidRPr="006B37DA">
        <w:rPr>
          <w:rFonts w:ascii="Arial" w:eastAsia="Arial" w:hAnsi="Arial" w:cs="Arial"/>
          <w:color w:val="000000"/>
          <w:sz w:val="20"/>
        </w:rPr>
        <w:br/>
      </w:r>
      <w:r w:rsidRPr="006B37DA">
        <w:rPr>
          <w:rFonts w:ascii="Arial" w:eastAsia="Arial" w:hAnsi="Arial" w:cs="Arial"/>
          <w:color w:val="000000"/>
          <w:sz w:val="20"/>
        </w:rPr>
        <w:t>o financování.</w:t>
      </w:r>
    </w:p>
    <w:p w:rsidR="00457252" w:rsidRDefault="00697A5C" w:rsidP="004A0E17">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Jednotkové náklady: V PO 4 jsou </w:t>
      </w:r>
      <w:proofErr w:type="gramStart"/>
      <w:r w:rsidRPr="006B37DA">
        <w:rPr>
          <w:rFonts w:ascii="Arial" w:eastAsia="Arial" w:hAnsi="Arial" w:cs="Arial"/>
          <w:color w:val="000000"/>
          <w:sz w:val="20"/>
        </w:rPr>
        <w:t>od</w:t>
      </w:r>
      <w:proofErr w:type="gramEnd"/>
      <w:r w:rsidRPr="006B37DA">
        <w:rPr>
          <w:rFonts w:ascii="Arial" w:eastAsia="Arial" w:hAnsi="Arial" w:cs="Arial"/>
          <w:color w:val="000000"/>
          <w:sz w:val="20"/>
        </w:rPr>
        <w:t xml:space="preserve"> roku 2016 využívány zjednodušené metody vykazování formou </w:t>
      </w:r>
      <w:r w:rsidR="004A0E17" w:rsidRPr="006B37DA">
        <w:rPr>
          <w:rFonts w:ascii="Arial" w:eastAsia="Arial" w:hAnsi="Arial" w:cs="Arial"/>
          <w:color w:val="000000"/>
          <w:sz w:val="20"/>
        </w:rPr>
        <w:br/>
      </w:r>
      <w:r w:rsidRPr="006B37DA">
        <w:rPr>
          <w:rFonts w:ascii="Arial" w:eastAsia="Arial" w:hAnsi="Arial" w:cs="Arial"/>
          <w:color w:val="000000"/>
          <w:sz w:val="20"/>
        </w:rPr>
        <w:t xml:space="preserve">tzv. </w:t>
      </w:r>
      <w:proofErr w:type="gramStart"/>
      <w:r w:rsidRPr="006B37DA">
        <w:rPr>
          <w:rFonts w:ascii="Arial" w:eastAsia="Arial" w:hAnsi="Arial" w:cs="Arial"/>
          <w:color w:val="000000"/>
          <w:sz w:val="20"/>
        </w:rPr>
        <w:t>jednotkových</w:t>
      </w:r>
      <w:proofErr w:type="gramEnd"/>
      <w:r w:rsidRPr="006B37DA">
        <w:rPr>
          <w:rFonts w:ascii="Arial" w:eastAsia="Arial" w:hAnsi="Arial" w:cs="Arial"/>
          <w:color w:val="000000"/>
          <w:sz w:val="20"/>
        </w:rPr>
        <w:t xml:space="preserve"> nákladů (výzva č. 22 a 42 v SC 4.3). Ve specifickém cíli 4.2 bylo vyhlášení výzvy č. 28 s využitím jednotkových nákladů původně plánováno na březen 2017, nicméně příprava a nastavení jednotkových nákladů v kombinaci s dalšími činnostmi projektového oddělení si vyžádala více času </w:t>
      </w:r>
      <w:r w:rsidR="004A0E17" w:rsidRPr="006B37DA">
        <w:rPr>
          <w:rFonts w:ascii="Arial" w:eastAsia="Arial" w:hAnsi="Arial" w:cs="Arial"/>
          <w:color w:val="000000"/>
          <w:sz w:val="20"/>
        </w:rPr>
        <w:br/>
      </w:r>
      <w:r w:rsidRPr="006B37DA">
        <w:rPr>
          <w:rFonts w:ascii="Arial" w:eastAsia="Arial" w:hAnsi="Arial" w:cs="Arial"/>
          <w:color w:val="000000"/>
          <w:sz w:val="20"/>
        </w:rPr>
        <w:t xml:space="preserve">a výzva č. 28 byla vyhlášena v listopadu 2017. Změny harmonogramu výzev byly projednány průběžně Plánovací komisí PO 4 OP PPR a aktualizovaný harmonogram byl uveřejněn s předstihem </w:t>
      </w:r>
      <w:proofErr w:type="gramStart"/>
      <w:r w:rsidRPr="006B37DA">
        <w:rPr>
          <w:rFonts w:ascii="Arial" w:eastAsia="Arial" w:hAnsi="Arial" w:cs="Arial"/>
          <w:color w:val="000000"/>
          <w:sz w:val="20"/>
        </w:rPr>
        <w:t>na</w:t>
      </w:r>
      <w:proofErr w:type="gramEnd"/>
      <w:r w:rsidRPr="006B37DA">
        <w:rPr>
          <w:rFonts w:ascii="Arial" w:eastAsia="Arial" w:hAnsi="Arial" w:cs="Arial"/>
          <w:color w:val="000000"/>
          <w:sz w:val="20"/>
        </w:rPr>
        <w:t xml:space="preserve"> webových stránkách OP PPR. O výzvy s využitím jednotkových nákladů je zájem ze strany žadatelů, nicméně vyhodnocení finančního dopadu bude předmětem analýzy v dalších měsících. Je pravděpodobné, že ve specifickém cíli 4.2 budou kromě výzev s využitím jednotkových nákladů zařazeny do harmonogramu také další otevřené výzvy zaměřené </w:t>
      </w:r>
      <w:proofErr w:type="gramStart"/>
      <w:r w:rsidRPr="006B37DA">
        <w:rPr>
          <w:rFonts w:ascii="Arial" w:eastAsia="Arial" w:hAnsi="Arial" w:cs="Arial"/>
          <w:color w:val="000000"/>
          <w:sz w:val="20"/>
        </w:rPr>
        <w:t>na</w:t>
      </w:r>
      <w:proofErr w:type="gramEnd"/>
      <w:r w:rsidRPr="006B37DA">
        <w:rPr>
          <w:rFonts w:ascii="Arial" w:eastAsia="Arial" w:hAnsi="Arial" w:cs="Arial"/>
          <w:color w:val="000000"/>
          <w:sz w:val="20"/>
        </w:rPr>
        <w:t xml:space="preserve"> jiné aktivity se standardním vykazováním nákladů.</w:t>
      </w:r>
    </w:p>
    <w:p w:rsidR="00457252" w:rsidRPr="00D46935" w:rsidRDefault="00697A5C">
      <w:pPr>
        <w:spacing w:after="120" w:line="264" w:lineRule="auto"/>
        <w:ind w:left="119" w:right="121"/>
        <w:jc w:val="both"/>
        <w:rPr>
          <w:rFonts w:ascii="Arial" w:eastAsia="Arial" w:hAnsi="Arial" w:cs="Arial"/>
          <w:b/>
          <w:color w:val="000000"/>
          <w:sz w:val="20"/>
          <w:u w:val="single"/>
        </w:rPr>
      </w:pPr>
      <w:r w:rsidRPr="00D46935">
        <w:rPr>
          <w:rFonts w:ascii="Arial" w:eastAsia="Arial" w:hAnsi="Arial" w:cs="Arial"/>
          <w:b/>
          <w:color w:val="000000"/>
          <w:sz w:val="20"/>
          <w:u w:val="single"/>
        </w:rPr>
        <w:t xml:space="preserve">b) Posouzení, zda pokrok při dosahování cílů postačuje k zajištění jejich splnění, s uvedením případných přijatých nebo </w:t>
      </w:r>
      <w:r w:rsidR="00D46935" w:rsidRPr="00D46935">
        <w:rPr>
          <w:rFonts w:ascii="Arial" w:eastAsia="Arial" w:hAnsi="Arial" w:cs="Arial"/>
          <w:b/>
          <w:color w:val="000000"/>
          <w:sz w:val="20"/>
          <w:u w:val="single"/>
        </w:rPr>
        <w:t>plánovaných nápravných opatření</w:t>
      </w:r>
    </w:p>
    <w:p w:rsidR="00D46935" w:rsidRPr="00D46935" w:rsidRDefault="00697A5C">
      <w:pPr>
        <w:spacing w:after="120" w:line="264" w:lineRule="auto"/>
        <w:ind w:left="119" w:right="121"/>
        <w:jc w:val="both"/>
        <w:rPr>
          <w:rFonts w:ascii="Arial" w:eastAsia="Arial" w:hAnsi="Arial" w:cs="Arial"/>
          <w:b/>
          <w:color w:val="000000"/>
          <w:sz w:val="20"/>
        </w:rPr>
      </w:pPr>
      <w:r w:rsidRPr="00D46935">
        <w:rPr>
          <w:rFonts w:ascii="Arial" w:eastAsia="Arial" w:hAnsi="Arial" w:cs="Arial"/>
          <w:b/>
          <w:color w:val="000000"/>
          <w:sz w:val="20"/>
        </w:rPr>
        <w:t>Celkové posouzení dopadu splněných opatření:</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Ke zvýšení absorpční kapacity OP PPR, by měla přispět Revize program č.2, která byla schválena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MV 7 a nyní probíhá process schválení EK. Do konce roku 2017 bylo v rámci OP PPR vykázáno ve stavu finančních prostředků v právních aktech o poskytnutí / převodu podpory více než 40 % hlavní alokace </w:t>
      </w:r>
      <w:proofErr w:type="gramStart"/>
      <w:r>
        <w:rPr>
          <w:rFonts w:ascii="Arial" w:eastAsia="Arial" w:hAnsi="Arial" w:cs="Arial"/>
          <w:color w:val="000000"/>
          <w:sz w:val="20"/>
        </w:rPr>
        <w:t>program(</w:t>
      </w:r>
      <w:proofErr w:type="gramEnd"/>
      <w:r>
        <w:rPr>
          <w:rFonts w:ascii="Arial" w:eastAsia="Arial" w:hAnsi="Arial" w:cs="Arial"/>
          <w:color w:val="000000"/>
          <w:sz w:val="20"/>
        </w:rPr>
        <w:t>což bylo jedním z opatření stanovených MMR NOK v rámci Zesíleného řízení rizik). V OP PPR bylo ke konci roku 2017 zasmluněno 42</w:t>
      </w:r>
      <w:proofErr w:type="gramStart"/>
      <w:r>
        <w:rPr>
          <w:rFonts w:ascii="Arial" w:eastAsia="Arial" w:hAnsi="Arial" w:cs="Arial"/>
          <w:color w:val="000000"/>
          <w:sz w:val="20"/>
        </w:rPr>
        <w:t>,4</w:t>
      </w:r>
      <w:proofErr w:type="gramEnd"/>
      <w:r>
        <w:rPr>
          <w:rFonts w:ascii="Arial" w:eastAsia="Arial" w:hAnsi="Arial" w:cs="Arial"/>
          <w:color w:val="000000"/>
          <w:sz w:val="20"/>
        </w:rPr>
        <w:t xml:space="preserve"> % hlavní alokace programu. Byla aktualizována metodika výpočtu predikcí (zaslána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MMR - NOK i na EK). V lednu 2018, tj. </w:t>
      </w:r>
      <w:proofErr w:type="gramStart"/>
      <w:r>
        <w:rPr>
          <w:rFonts w:ascii="Arial" w:eastAsia="Arial" w:hAnsi="Arial" w:cs="Arial"/>
          <w:color w:val="000000"/>
          <w:sz w:val="20"/>
        </w:rPr>
        <w:t>po</w:t>
      </w:r>
      <w:proofErr w:type="gramEnd"/>
      <w:r>
        <w:rPr>
          <w:rFonts w:ascii="Arial" w:eastAsia="Arial" w:hAnsi="Arial" w:cs="Arial"/>
          <w:color w:val="000000"/>
          <w:sz w:val="20"/>
        </w:rPr>
        <w:t xml:space="preserve"> třech kvartálech uplatňování aktualizované metodiky predikcí, bylo provedeno vyhodnocení. Průměrná hodnota naplnění predikcí dosahuje 93 %. Řídící organ toto vyhodnotil jako dostatečné. </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ŘO v maximální možné míře zjednodušuje požadavky pro předkládání projektových žádostí a usiluje </w:t>
      </w:r>
      <w:r w:rsidR="00D46935">
        <w:rPr>
          <w:rFonts w:ascii="Arial" w:eastAsia="Arial" w:hAnsi="Arial" w:cs="Arial"/>
          <w:color w:val="000000"/>
          <w:sz w:val="20"/>
        </w:rPr>
        <w:br/>
      </w:r>
      <w:r>
        <w:rPr>
          <w:rFonts w:ascii="Arial" w:eastAsia="Arial" w:hAnsi="Arial" w:cs="Arial"/>
          <w:color w:val="000000"/>
          <w:sz w:val="20"/>
        </w:rPr>
        <w:t xml:space="preserve">o celkové snížení administrativní zátěže potenciálních žadatelů. Do této skupiny patří i průběžné revize Pravidel pro žadatele/příjemce reagující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aktuální podněty a zjištění. V roce 2017 proběhla revize pravidel, která přinesla jak zkrácení pravidel, tak zjednodušení požadavků a lepší porozumění textu.</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Souběžně byla podniknuta řada kroků ke zvýšení informovanosti potenciálních žadatelů ve vazbě jejich potřeb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možnosti OP PPR a k včasné informovanosti o zaměření vyhlašovaných výzev. Jedná se </w:t>
      </w:r>
      <w:r w:rsidR="00D46935">
        <w:rPr>
          <w:rFonts w:ascii="Arial" w:eastAsia="Arial" w:hAnsi="Arial" w:cs="Arial"/>
          <w:color w:val="000000"/>
          <w:sz w:val="20"/>
        </w:rPr>
        <w:br/>
      </w:r>
      <w:r>
        <w:rPr>
          <w:rFonts w:ascii="Arial" w:eastAsia="Arial" w:hAnsi="Arial" w:cs="Arial"/>
          <w:color w:val="000000"/>
          <w:sz w:val="20"/>
        </w:rPr>
        <w:t xml:space="preserve">o intenzivní adresnou komunikaci s potenciálními žadateli (městské části, organizace sdružující potenciální žadatele) i celkové posílení informačních nástrojů. V současnosti pracujeme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vyhlášení zakázky na kampaň zaměřenou na publicitu programu.Velká pozornost je věnována přípravě výzev, vyhlášení každé výzvy předchází pečlivá práce na jejím znění, aby oprávnění žadatelé mohli projektové žádosti připravit co nejsnáze. Pracovníci projektového oddělení připravují pravidelné semináře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účastní se osobních konzultací se žadateli. Potenciální žadatelé jsou dále formou oznámení o vyhlašované výzvě s příklady podporovaných aktivit adresně informováni jak v předstihu, tak neprodleně po vyhlášení výzev adresnými dopisy s příklady podporovaných aktivit a tiskovou zprávou.</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lastRenderedPageBreak/>
        <w:t>Pro příjemce dotací následně oddělení finančního řízení a kontrol organizuje semináře, které usnadní realizaci projektů a zamezí chybám ve finančním řízení.</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Je posilováno odborné zázemí ŘO a v případě potřeby je zesilována expertní spolupráce k specifickým okruhům. Jsou realizovány pravidelné schůzky s odborem PRI, s vedením HMP a také pracovní schůzky se zpracovateli žádostí o podporu.</w:t>
      </w:r>
    </w:p>
    <w:p w:rsidR="00457252"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Opatření k zefektivnění implementace OP PPR byla realizována jak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základě naplňování Plánu opatření OP PPR pro r. 2017, tak na základě průběžného vlastního vyhodnocování fází implementačního procesu. Veškerá realizovaná opatření v září 2017 vyústila k přehodnocení rizikovosti OP PPR, který i přes úspěšné plnění opatření zůstal v kategorii programů s vysokým rizikem. Do konce roku se podařilo splnit všechna opatření, s vyjímkou těch, jejichž plnění probíhá i v roce 2018. Zrealizovaná opatření maji kumulativní efekt, a jejich dopady se mohou projevit až po určitém čase. </w:t>
      </w:r>
    </w:p>
    <w:p w:rsidR="00457252" w:rsidRDefault="00697A5C" w:rsidP="00D46935">
      <w:pPr>
        <w:pStyle w:val="Nadpis1"/>
        <w:rPr>
          <w:sz w:val="20"/>
        </w:rPr>
      </w:pPr>
      <w:bookmarkStart w:id="16" w:name="_Toc512860943"/>
      <w:r>
        <w:t>SHRNUTÍ PRO VEŘEJNOST (čl. 50 odst. 9 nařízení (EU) č. 1303/2013)</w:t>
      </w:r>
      <w:bookmarkEnd w:id="16"/>
      <w:r>
        <w:rPr>
          <w:sz w:val="20"/>
        </w:rPr>
        <w:t xml:space="preserve"> </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Rok 2017 byl třetím rokem implementace OP PPR. Ke konci roku 2017 bylo zaregistrováno 669 projektů o celkovém objemu 7</w:t>
      </w:r>
      <w:proofErr w:type="gramStart"/>
      <w:r>
        <w:rPr>
          <w:rFonts w:ascii="Arial" w:eastAsia="Arial" w:hAnsi="Arial" w:cs="Arial"/>
          <w:color w:val="000000"/>
          <w:sz w:val="20"/>
        </w:rPr>
        <w:t>,1</w:t>
      </w:r>
      <w:proofErr w:type="gramEnd"/>
      <w:r>
        <w:rPr>
          <w:rFonts w:ascii="Arial" w:eastAsia="Arial" w:hAnsi="Arial" w:cs="Arial"/>
          <w:color w:val="000000"/>
          <w:sz w:val="20"/>
        </w:rPr>
        <w:t xml:space="preserve"> mld. Kč (0</w:t>
      </w:r>
      <w:proofErr w:type="gramStart"/>
      <w:r>
        <w:rPr>
          <w:rFonts w:ascii="Arial" w:eastAsia="Arial" w:hAnsi="Arial" w:cs="Arial"/>
          <w:color w:val="000000"/>
          <w:sz w:val="20"/>
        </w:rPr>
        <w:t>,27</w:t>
      </w:r>
      <w:proofErr w:type="gramEnd"/>
      <w:r>
        <w:rPr>
          <w:rFonts w:ascii="Arial" w:eastAsia="Arial" w:hAnsi="Arial" w:cs="Arial"/>
          <w:color w:val="000000"/>
          <w:sz w:val="20"/>
        </w:rPr>
        <w:t xml:space="preserve"> mld. EUR) </w:t>
      </w:r>
      <w:proofErr w:type="gramStart"/>
      <w:r>
        <w:rPr>
          <w:rFonts w:ascii="Arial" w:eastAsia="Arial" w:hAnsi="Arial" w:cs="Arial"/>
          <w:color w:val="000000"/>
          <w:sz w:val="20"/>
        </w:rPr>
        <w:t>a  uzavřeny</w:t>
      </w:r>
      <w:proofErr w:type="gramEnd"/>
      <w:r>
        <w:rPr>
          <w:rFonts w:ascii="Arial" w:eastAsia="Arial" w:hAnsi="Arial" w:cs="Arial"/>
          <w:color w:val="000000"/>
          <w:sz w:val="20"/>
        </w:rPr>
        <w:t xml:space="preserve"> smlouvy u 292 projektů o objemu celkových způsobilých výdajů objemu  4,1 mld. Kč (0</w:t>
      </w:r>
      <w:proofErr w:type="gramStart"/>
      <w:r>
        <w:rPr>
          <w:rFonts w:ascii="Arial" w:eastAsia="Arial" w:hAnsi="Arial" w:cs="Arial"/>
          <w:color w:val="000000"/>
          <w:sz w:val="20"/>
        </w:rPr>
        <w:t>,16</w:t>
      </w:r>
      <w:proofErr w:type="gramEnd"/>
      <w:r>
        <w:rPr>
          <w:rFonts w:ascii="Arial" w:eastAsia="Arial" w:hAnsi="Arial" w:cs="Arial"/>
          <w:color w:val="000000"/>
          <w:sz w:val="20"/>
        </w:rPr>
        <w:t xml:space="preserve"> mld. EUR), tj. 42</w:t>
      </w:r>
      <w:proofErr w:type="gramStart"/>
      <w:r>
        <w:rPr>
          <w:rFonts w:ascii="Arial" w:eastAsia="Arial" w:hAnsi="Arial" w:cs="Arial"/>
          <w:color w:val="000000"/>
          <w:sz w:val="20"/>
        </w:rPr>
        <w:t>,5</w:t>
      </w:r>
      <w:proofErr w:type="gramEnd"/>
      <w:r>
        <w:rPr>
          <w:rFonts w:ascii="Arial" w:eastAsia="Arial" w:hAnsi="Arial" w:cs="Arial"/>
          <w:color w:val="000000"/>
          <w:sz w:val="20"/>
        </w:rPr>
        <w:t xml:space="preserve"> % hlavní alokace programu.</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Prioritní osa 1 Posílení výzkumu, technologického rozvoje a inovací je zaměřena na podporu aktivit vedoucích k posílení výzkumných činností, technologického rozvoje a inovačních aktivit a jejím prostřednictvím by mělo dojít k zintenzivnění podpory podnikových investic do výzkumu a inovací </w:t>
      </w:r>
      <w:r w:rsidR="00D46935">
        <w:rPr>
          <w:rFonts w:ascii="Arial" w:eastAsia="Arial" w:hAnsi="Arial" w:cs="Arial"/>
          <w:color w:val="000000"/>
          <w:sz w:val="20"/>
        </w:rPr>
        <w:br/>
      </w:r>
      <w:r>
        <w:rPr>
          <w:rFonts w:ascii="Arial" w:eastAsia="Arial" w:hAnsi="Arial" w:cs="Arial"/>
          <w:color w:val="000000"/>
          <w:sz w:val="20"/>
        </w:rPr>
        <w:t>a vytvoření nových vazeb a součinností mezi podniky, středisky výzkumu a vývoje a odvětvím vysokoškolského vzdělávání. Celková alokace na Prioritní osu 1 je 3</w:t>
      </w:r>
      <w:proofErr w:type="gramStart"/>
      <w:r>
        <w:rPr>
          <w:rFonts w:ascii="Arial" w:eastAsia="Arial" w:hAnsi="Arial" w:cs="Arial"/>
          <w:color w:val="000000"/>
          <w:sz w:val="20"/>
        </w:rPr>
        <w:t>,37</w:t>
      </w:r>
      <w:proofErr w:type="gramEnd"/>
      <w:r>
        <w:rPr>
          <w:rFonts w:ascii="Arial" w:eastAsia="Arial" w:hAnsi="Arial" w:cs="Arial"/>
          <w:color w:val="000000"/>
          <w:sz w:val="20"/>
        </w:rPr>
        <w:t xml:space="preserve"> mld. Kč. V roce 2017 byly vyhlášeny 2 výzvy v PO1 v souladu s harmonogramem výzev.</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V rámci prioritní osy 2 Udržitelná mobilita dojde k energetickým úsporám v městských objektech dosažených využitím vhodných obnovitelných zdrojů energie, energeticky efektivních zařízení </w:t>
      </w:r>
      <w:r w:rsidR="00D46935">
        <w:rPr>
          <w:rFonts w:ascii="Arial" w:eastAsia="Arial" w:hAnsi="Arial" w:cs="Arial"/>
          <w:color w:val="000000"/>
          <w:sz w:val="20"/>
        </w:rPr>
        <w:br/>
      </w:r>
      <w:r>
        <w:rPr>
          <w:rFonts w:ascii="Arial" w:eastAsia="Arial" w:hAnsi="Arial" w:cs="Arial"/>
          <w:color w:val="000000"/>
          <w:sz w:val="20"/>
        </w:rPr>
        <w:t xml:space="preserve">a inteligentních systémů řízení a ke zvýšení atraktivity užívání městské veřejné dopravy podporou realizace záchytných parkovišť Park and Ride u stanic a zastávek drážní dopravy a podporou opatření pro preferenci povrchové městské veřejné dopravy v uličním provozu. Oba uvedené typy opatření mají nadregionální rozměr, směřují ke snižování objemu vnější automobilové dopravy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území hl. </w:t>
      </w:r>
      <w:proofErr w:type="gramStart"/>
      <w:r>
        <w:rPr>
          <w:rFonts w:ascii="Arial" w:eastAsia="Arial" w:hAnsi="Arial" w:cs="Arial"/>
          <w:color w:val="000000"/>
          <w:sz w:val="20"/>
        </w:rPr>
        <w:t>města</w:t>
      </w:r>
      <w:proofErr w:type="gramEnd"/>
      <w:r>
        <w:rPr>
          <w:rFonts w:ascii="Arial" w:eastAsia="Arial" w:hAnsi="Arial" w:cs="Arial"/>
          <w:color w:val="000000"/>
          <w:sz w:val="20"/>
        </w:rPr>
        <w:t xml:space="preserve"> Prahy, ke snižování produkce hluku a emisí z automobilů, a tím k udržitelné mobilitě. K čerpání je určeno </w:t>
      </w:r>
      <w:r w:rsidR="00D46935">
        <w:rPr>
          <w:rFonts w:ascii="Arial" w:eastAsia="Arial" w:hAnsi="Arial" w:cs="Arial"/>
          <w:color w:val="000000"/>
          <w:sz w:val="20"/>
        </w:rPr>
        <w:br/>
      </w:r>
      <w:r>
        <w:rPr>
          <w:rFonts w:ascii="Arial" w:eastAsia="Arial" w:hAnsi="Arial" w:cs="Arial"/>
          <w:color w:val="000000"/>
          <w:sz w:val="20"/>
        </w:rPr>
        <w:t>3</w:t>
      </w:r>
      <w:proofErr w:type="gramStart"/>
      <w:r>
        <w:rPr>
          <w:rFonts w:ascii="Arial" w:eastAsia="Arial" w:hAnsi="Arial" w:cs="Arial"/>
          <w:color w:val="000000"/>
          <w:sz w:val="20"/>
        </w:rPr>
        <w:t>,27</w:t>
      </w:r>
      <w:proofErr w:type="gramEnd"/>
      <w:r>
        <w:rPr>
          <w:rFonts w:ascii="Arial" w:eastAsia="Arial" w:hAnsi="Arial" w:cs="Arial"/>
          <w:color w:val="000000"/>
          <w:sz w:val="20"/>
        </w:rPr>
        <w:t xml:space="preserve"> mld. Kč. V PO2 byly v roce 2017 vyhlášeny 3 výzvy v souladu s harmonogramem výzev.</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Prioritní </w:t>
      </w:r>
      <w:proofErr w:type="gramStart"/>
      <w:r>
        <w:rPr>
          <w:rFonts w:ascii="Arial" w:eastAsia="Arial" w:hAnsi="Arial" w:cs="Arial"/>
          <w:color w:val="000000"/>
          <w:sz w:val="20"/>
        </w:rPr>
        <w:t>osa</w:t>
      </w:r>
      <w:proofErr w:type="gramEnd"/>
      <w:r>
        <w:rPr>
          <w:rFonts w:ascii="Arial" w:eastAsia="Arial" w:hAnsi="Arial" w:cs="Arial"/>
          <w:color w:val="000000"/>
          <w:sz w:val="20"/>
        </w:rPr>
        <w:t xml:space="preserve"> 3 Podpora sociálního začleňování a boj proti chudobě je zaměřena na oblasti sociálního začleňování, sociálního podnikání a na posílení soudržnosti na úrovni místních komunit. V tematické rovině je kladen důraz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lokální začleňování a posílení komunit v Praze jako základního stavebního kamene sociální soudržnosti města. Na tyto aktivity navazuje podpora sociálního podnikání jako sociálně inovativního přístupu ke skupinám osob vyloučených, ohrožených a marginalizovaných. Celková alokace je 1</w:t>
      </w:r>
      <w:proofErr w:type="gramStart"/>
      <w:r>
        <w:rPr>
          <w:rFonts w:ascii="Arial" w:eastAsia="Arial" w:hAnsi="Arial" w:cs="Arial"/>
          <w:color w:val="000000"/>
          <w:sz w:val="20"/>
        </w:rPr>
        <w:t>,39</w:t>
      </w:r>
      <w:proofErr w:type="gramEnd"/>
      <w:r>
        <w:rPr>
          <w:rFonts w:ascii="Arial" w:eastAsia="Arial" w:hAnsi="Arial" w:cs="Arial"/>
          <w:color w:val="000000"/>
          <w:sz w:val="20"/>
        </w:rPr>
        <w:t xml:space="preserve"> mld. Kč. V roce 2017 byly v rámci PO 3 vyhlášeny 2 výzvy v souladu s harmonogramem výzev.</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Prioritní </w:t>
      </w:r>
      <w:proofErr w:type="gramStart"/>
      <w:r>
        <w:rPr>
          <w:rFonts w:ascii="Arial" w:eastAsia="Arial" w:hAnsi="Arial" w:cs="Arial"/>
          <w:color w:val="000000"/>
          <w:sz w:val="20"/>
        </w:rPr>
        <w:t>osa</w:t>
      </w:r>
      <w:proofErr w:type="gramEnd"/>
      <w:r>
        <w:rPr>
          <w:rFonts w:ascii="Arial" w:eastAsia="Arial" w:hAnsi="Arial" w:cs="Arial"/>
          <w:color w:val="000000"/>
          <w:sz w:val="20"/>
        </w:rPr>
        <w:t xml:space="preserve"> 4 Vzdělání a vzdělanost a podpora zaměstnanosti se prostřednictvím rozvoje školských zařízení a rozvoje zaměstnanosti zaměřuje na udržitelnost soudržnosti obyvatel, prevenci vzniku sociálně patologických jevů a vzniku nebo prohloubení vyloučených lokalit. Dojde ke zvýšení dostupnosti zařízení péče o děti do 3 let, resp. do zahájení povinné školní docházky, tak aby se rodiče s malými dětmi mohli lépe uplatnit na trhu práce, dále pak k rovnoměrnému rozvoji vzdělávacích zařízení v Praze a podpoře inkluzivního přístupu s ohledem na multikulturní potenciál města a specifika heterogenních skupin dětí </w:t>
      </w:r>
      <w:r w:rsidR="00D46935">
        <w:rPr>
          <w:rFonts w:ascii="Arial" w:eastAsia="Arial" w:hAnsi="Arial" w:cs="Arial"/>
          <w:color w:val="000000"/>
          <w:sz w:val="20"/>
        </w:rPr>
        <w:br/>
      </w:r>
      <w:r>
        <w:rPr>
          <w:rFonts w:ascii="Arial" w:eastAsia="Arial" w:hAnsi="Arial" w:cs="Arial"/>
          <w:color w:val="000000"/>
          <w:sz w:val="20"/>
        </w:rPr>
        <w:t>a žáků.  Celková alokace je 2</w:t>
      </w:r>
      <w:proofErr w:type="gramStart"/>
      <w:r>
        <w:rPr>
          <w:rFonts w:ascii="Arial" w:eastAsia="Arial" w:hAnsi="Arial" w:cs="Arial"/>
          <w:color w:val="000000"/>
          <w:sz w:val="20"/>
        </w:rPr>
        <w:t>,41</w:t>
      </w:r>
      <w:proofErr w:type="gramEnd"/>
      <w:r>
        <w:rPr>
          <w:rFonts w:ascii="Arial" w:eastAsia="Arial" w:hAnsi="Arial" w:cs="Arial"/>
          <w:color w:val="000000"/>
          <w:sz w:val="20"/>
        </w:rPr>
        <w:t xml:space="preserve"> mld. Kč. V PO 4 bylo v průběhu roku 2017 vyhlášeny celkem 4 výzev </w:t>
      </w:r>
      <w:r w:rsidR="00D46935">
        <w:rPr>
          <w:rFonts w:ascii="Arial" w:eastAsia="Arial" w:hAnsi="Arial" w:cs="Arial"/>
          <w:color w:val="000000"/>
          <w:sz w:val="20"/>
        </w:rPr>
        <w:br/>
      </w:r>
      <w:r>
        <w:rPr>
          <w:rFonts w:ascii="Arial" w:eastAsia="Arial" w:hAnsi="Arial" w:cs="Arial"/>
          <w:color w:val="000000"/>
          <w:sz w:val="20"/>
        </w:rPr>
        <w:t>v souladu s harmonogramem výzev.</w:t>
      </w:r>
    </w:p>
    <w:p w:rsidR="00D46935" w:rsidRDefault="00697A5C">
      <w:pPr>
        <w:spacing w:after="120" w:line="264" w:lineRule="auto"/>
        <w:ind w:left="119" w:right="121"/>
        <w:jc w:val="both"/>
      </w:pPr>
      <w:r>
        <w:rPr>
          <w:rFonts w:ascii="Arial" w:eastAsia="Arial" w:hAnsi="Arial" w:cs="Arial"/>
          <w:color w:val="000000"/>
          <w:sz w:val="20"/>
        </w:rPr>
        <w:t xml:space="preserve">Plnění hodnot věcných indikátorů úzce koreluje s úspěšností jednotlivých výzev. Výjimkou jsou kvantitativní ukazatele v PO4, kde se navzdory celkově menšímu objemu rozdaných prostředků podařilo vysoce přeplňovat ukazatele (podpořené osoby, produkty atd.), a to patrně zejména díky většímu počtu </w:t>
      </w:r>
      <w:r>
        <w:rPr>
          <w:rFonts w:ascii="Arial" w:eastAsia="Arial" w:hAnsi="Arial" w:cs="Arial"/>
          <w:color w:val="000000"/>
          <w:sz w:val="20"/>
        </w:rPr>
        <w:lastRenderedPageBreak/>
        <w:t xml:space="preserve">menších projektů. Ukazatele, které nejsou plněny, jsou ŘO vyhodnocovány a rozplánovány do dalších navazujících výzev; naplňování se očekává částečně z projektů schválených ve III. </w:t>
      </w:r>
      <w:proofErr w:type="gramStart"/>
      <w:r>
        <w:rPr>
          <w:rFonts w:ascii="Arial" w:eastAsia="Arial" w:hAnsi="Arial" w:cs="Arial"/>
          <w:color w:val="000000"/>
          <w:sz w:val="20"/>
        </w:rPr>
        <w:t>a</w:t>
      </w:r>
      <w:proofErr w:type="gramEnd"/>
      <w:r>
        <w:rPr>
          <w:rFonts w:ascii="Arial" w:eastAsia="Arial" w:hAnsi="Arial" w:cs="Arial"/>
          <w:color w:val="000000"/>
          <w:sz w:val="20"/>
        </w:rPr>
        <w:t xml:space="preserve"> IV. </w:t>
      </w:r>
      <w:proofErr w:type="gramStart"/>
      <w:r>
        <w:rPr>
          <w:rFonts w:ascii="Arial" w:eastAsia="Arial" w:hAnsi="Arial" w:cs="Arial"/>
          <w:color w:val="000000"/>
          <w:sz w:val="20"/>
        </w:rPr>
        <w:t>kvartálu</w:t>
      </w:r>
      <w:proofErr w:type="gramEnd"/>
      <w:r>
        <w:rPr>
          <w:rFonts w:ascii="Arial" w:eastAsia="Arial" w:hAnsi="Arial" w:cs="Arial"/>
          <w:color w:val="000000"/>
          <w:sz w:val="20"/>
        </w:rPr>
        <w:t xml:space="preserve"> roku 2017 a z výzev roku 2018. V některý případech došlo jen k časovému posunu v přípravě projektů </w:t>
      </w:r>
      <w:r w:rsidR="00D46935">
        <w:rPr>
          <w:rFonts w:ascii="Arial" w:eastAsia="Arial" w:hAnsi="Arial" w:cs="Arial"/>
          <w:color w:val="000000"/>
          <w:sz w:val="20"/>
        </w:rPr>
        <w:br/>
      </w:r>
      <w:r>
        <w:rPr>
          <w:rFonts w:ascii="Arial" w:eastAsia="Arial" w:hAnsi="Arial" w:cs="Arial"/>
          <w:color w:val="000000"/>
          <w:sz w:val="20"/>
        </w:rPr>
        <w:t>(např. PO1 a 2, výzvy 9, 11, 15).</w:t>
      </w:r>
    </w:p>
    <w:p w:rsidR="00D46935"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ŘO realizoval následující opatření:</w:t>
      </w:r>
    </w:p>
    <w:p w:rsidR="00D46935" w:rsidRPr="00D46935" w:rsidRDefault="00697A5C" w:rsidP="00D46935">
      <w:pPr>
        <w:pStyle w:val="Odstavecseseznamem"/>
        <w:numPr>
          <w:ilvl w:val="0"/>
          <w:numId w:val="5"/>
        </w:numPr>
        <w:spacing w:after="120" w:line="264" w:lineRule="auto"/>
        <w:ind w:right="121"/>
        <w:jc w:val="both"/>
        <w:rPr>
          <w:rFonts w:ascii="Arial" w:eastAsia="Arial" w:hAnsi="Arial" w:cs="Arial"/>
          <w:color w:val="000000"/>
          <w:sz w:val="20"/>
        </w:rPr>
      </w:pPr>
      <w:r w:rsidRPr="00D46935">
        <w:rPr>
          <w:rFonts w:ascii="Arial" w:eastAsia="Arial" w:hAnsi="Arial" w:cs="Arial"/>
          <w:color w:val="000000"/>
          <w:sz w:val="20"/>
        </w:rPr>
        <w:t>Pravidelné zpřesňování predikcí na základě právě ukončených výzev, projektů předložených do ZHMP, kontrahovaných výdajů a aktuálních finančních plánů</w:t>
      </w:r>
    </w:p>
    <w:p w:rsidR="00D46935" w:rsidRPr="00D46935" w:rsidRDefault="00697A5C" w:rsidP="00D46935">
      <w:pPr>
        <w:pStyle w:val="Odstavecseseznamem"/>
        <w:numPr>
          <w:ilvl w:val="0"/>
          <w:numId w:val="5"/>
        </w:numPr>
        <w:spacing w:after="120" w:line="264" w:lineRule="auto"/>
        <w:ind w:right="121"/>
        <w:jc w:val="both"/>
        <w:rPr>
          <w:rFonts w:ascii="Arial" w:eastAsia="Arial" w:hAnsi="Arial" w:cs="Arial"/>
          <w:color w:val="000000"/>
          <w:sz w:val="20"/>
        </w:rPr>
      </w:pPr>
      <w:r w:rsidRPr="00D46935">
        <w:rPr>
          <w:rFonts w:ascii="Arial" w:eastAsia="Arial" w:hAnsi="Arial" w:cs="Arial"/>
          <w:color w:val="000000"/>
          <w:sz w:val="20"/>
        </w:rPr>
        <w:t xml:space="preserve">Vyhlašování nových výzev </w:t>
      </w:r>
      <w:proofErr w:type="gramStart"/>
      <w:r w:rsidRPr="00D46935">
        <w:rPr>
          <w:rFonts w:ascii="Arial" w:eastAsia="Arial" w:hAnsi="Arial" w:cs="Arial"/>
          <w:color w:val="000000"/>
          <w:sz w:val="20"/>
        </w:rPr>
        <w:t>na</w:t>
      </w:r>
      <w:proofErr w:type="gramEnd"/>
      <w:r w:rsidRPr="00D46935">
        <w:rPr>
          <w:rFonts w:ascii="Arial" w:eastAsia="Arial" w:hAnsi="Arial" w:cs="Arial"/>
          <w:color w:val="000000"/>
          <w:sz w:val="20"/>
        </w:rPr>
        <w:t xml:space="preserve"> základě zbytkových alokací, popř. prodlužování průběžných výzev</w:t>
      </w:r>
    </w:p>
    <w:p w:rsidR="00D46935" w:rsidRPr="00D46935" w:rsidRDefault="00697A5C" w:rsidP="00D46935">
      <w:pPr>
        <w:pStyle w:val="Odstavecseseznamem"/>
        <w:numPr>
          <w:ilvl w:val="0"/>
          <w:numId w:val="5"/>
        </w:numPr>
        <w:spacing w:after="120" w:line="264" w:lineRule="auto"/>
        <w:ind w:right="121"/>
        <w:jc w:val="both"/>
        <w:rPr>
          <w:rFonts w:ascii="Arial" w:eastAsia="Arial" w:hAnsi="Arial" w:cs="Arial"/>
          <w:color w:val="000000"/>
          <w:sz w:val="20"/>
        </w:rPr>
      </w:pPr>
      <w:r w:rsidRPr="00D46935">
        <w:rPr>
          <w:rFonts w:ascii="Arial" w:eastAsia="Arial" w:hAnsi="Arial" w:cs="Arial"/>
          <w:color w:val="000000"/>
          <w:sz w:val="20"/>
        </w:rPr>
        <w:t>Optimalizace činností oddělení finančního řízení a kontroly.</w:t>
      </w:r>
    </w:p>
    <w:p w:rsidR="00457252" w:rsidRDefault="00697A5C">
      <w:pPr>
        <w:spacing w:after="120" w:line="264" w:lineRule="auto"/>
        <w:ind w:left="119" w:right="121"/>
        <w:jc w:val="both"/>
        <w:rPr>
          <w:rFonts w:ascii="Arial" w:eastAsia="Arial" w:hAnsi="Arial" w:cs="Arial"/>
          <w:color w:val="000000"/>
          <w:sz w:val="20"/>
        </w:rPr>
      </w:pPr>
      <w:r>
        <w:rPr>
          <w:rFonts w:ascii="Arial" w:eastAsia="Arial" w:hAnsi="Arial" w:cs="Arial"/>
          <w:color w:val="000000"/>
          <w:sz w:val="20"/>
        </w:rPr>
        <w:t xml:space="preserve">Webový portál OP PPR www.penizeproprahu.cz je zaměřen </w:t>
      </w:r>
      <w:proofErr w:type="gramStart"/>
      <w:r>
        <w:rPr>
          <w:rFonts w:ascii="Arial" w:eastAsia="Arial" w:hAnsi="Arial" w:cs="Arial"/>
          <w:color w:val="000000"/>
          <w:sz w:val="20"/>
        </w:rPr>
        <w:t>na</w:t>
      </w:r>
      <w:proofErr w:type="gramEnd"/>
      <w:r>
        <w:rPr>
          <w:rFonts w:ascii="Arial" w:eastAsia="Arial" w:hAnsi="Arial" w:cs="Arial"/>
          <w:color w:val="000000"/>
          <w:sz w:val="20"/>
        </w:rPr>
        <w:t xml:space="preserve"> všechny cílové skupiny, zejména širokou a odbornou veřejnost - žadatele, příjemce, partnery, média. Poskytované informace jsou přehledně zpracovávány a jsou průběžně aktualizovány. </w:t>
      </w:r>
    </w:p>
    <w:p w:rsidR="00457252" w:rsidRDefault="00697A5C" w:rsidP="00D46935">
      <w:pPr>
        <w:pStyle w:val="Nadpis1"/>
      </w:pPr>
      <w:bookmarkStart w:id="17" w:name="_Toc512860944"/>
      <w:r>
        <w:t>ZPRÁVA O IMPLEMENTACI FINANČNÍCH NÁSTROJŮ (článek 46 nařízení (EU) č. 1303/2013)</w:t>
      </w:r>
      <w:bookmarkEnd w:id="17"/>
    </w:p>
    <w:p w:rsidR="00D46935" w:rsidRPr="006B37DA" w:rsidRDefault="00697A5C">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V květnu 2017 proběhla aktualizace ex-ante </w:t>
      </w:r>
      <w:proofErr w:type="gramStart"/>
      <w:r w:rsidRPr="006B37DA">
        <w:rPr>
          <w:rFonts w:ascii="Arial" w:eastAsia="Arial" w:hAnsi="Arial" w:cs="Arial"/>
          <w:color w:val="000000"/>
          <w:sz w:val="20"/>
        </w:rPr>
        <w:t>posouzení ?</w:t>
      </w:r>
      <w:proofErr w:type="gramEnd"/>
      <w:r w:rsidRPr="006B37DA">
        <w:rPr>
          <w:rFonts w:ascii="Arial" w:eastAsia="Arial" w:hAnsi="Arial" w:cs="Arial"/>
          <w:color w:val="000000"/>
          <w:sz w:val="20"/>
        </w:rPr>
        <w:t xml:space="preserve"> </w:t>
      </w:r>
      <w:proofErr w:type="gramStart"/>
      <w:r w:rsidRPr="006B37DA">
        <w:rPr>
          <w:rFonts w:ascii="Arial" w:eastAsia="Arial" w:hAnsi="Arial" w:cs="Arial"/>
          <w:color w:val="000000"/>
          <w:sz w:val="20"/>
        </w:rPr>
        <w:t>viz</w:t>
      </w:r>
      <w:proofErr w:type="gramEnd"/>
      <w:r w:rsidRPr="006B37DA">
        <w:rPr>
          <w:rFonts w:ascii="Arial" w:eastAsia="Arial" w:hAnsi="Arial" w:cs="Arial"/>
          <w:color w:val="000000"/>
          <w:sz w:val="20"/>
        </w:rPr>
        <w:t xml:space="preserve"> přiložená Zpráva o provádění FN v OP PPR. Důvodem byly:</w:t>
      </w:r>
    </w:p>
    <w:p w:rsidR="00D46935" w:rsidRPr="006B37DA" w:rsidRDefault="00697A5C" w:rsidP="00D46935">
      <w:pPr>
        <w:pStyle w:val="Odstavecseseznamem"/>
        <w:numPr>
          <w:ilvl w:val="0"/>
          <w:numId w:val="6"/>
        </w:numPr>
        <w:spacing w:after="120" w:line="264" w:lineRule="auto"/>
        <w:ind w:right="121"/>
        <w:jc w:val="both"/>
        <w:rPr>
          <w:rFonts w:ascii="Arial" w:eastAsia="Arial" w:hAnsi="Arial" w:cs="Arial"/>
          <w:color w:val="000000"/>
          <w:sz w:val="20"/>
        </w:rPr>
      </w:pPr>
      <w:proofErr w:type="gramStart"/>
      <w:r w:rsidRPr="006B37DA">
        <w:rPr>
          <w:rFonts w:ascii="Arial" w:eastAsia="Arial" w:hAnsi="Arial" w:cs="Arial"/>
          <w:color w:val="000000"/>
          <w:sz w:val="20"/>
        </w:rPr>
        <w:t>existence</w:t>
      </w:r>
      <w:proofErr w:type="gramEnd"/>
      <w:r w:rsidRPr="006B37DA">
        <w:rPr>
          <w:rFonts w:ascii="Arial" w:eastAsia="Arial" w:hAnsi="Arial" w:cs="Arial"/>
          <w:color w:val="000000"/>
          <w:sz w:val="20"/>
        </w:rPr>
        <w:t xml:space="preserve"> suboptimální investiční situace v segmentu inovačních malých a středních podniků na území hl. m. Prahy,</w:t>
      </w:r>
    </w:p>
    <w:p w:rsidR="00D46935" w:rsidRPr="006B37DA" w:rsidRDefault="00697A5C" w:rsidP="00D46935">
      <w:pPr>
        <w:pStyle w:val="Odstavecseseznamem"/>
        <w:numPr>
          <w:ilvl w:val="0"/>
          <w:numId w:val="6"/>
        </w:numPr>
        <w:spacing w:after="120" w:line="264" w:lineRule="auto"/>
        <w:ind w:right="121"/>
        <w:jc w:val="both"/>
        <w:rPr>
          <w:rFonts w:ascii="Arial" w:eastAsia="Arial" w:hAnsi="Arial" w:cs="Arial"/>
          <w:color w:val="000000"/>
          <w:sz w:val="20"/>
        </w:rPr>
      </w:pPr>
      <w:r w:rsidRPr="006B37DA">
        <w:rPr>
          <w:rFonts w:ascii="Arial" w:eastAsia="Arial" w:hAnsi="Arial" w:cs="Arial"/>
          <w:color w:val="000000"/>
          <w:sz w:val="20"/>
        </w:rPr>
        <w:t>nesoulad dosavadních výsledků finančních nástrojů s očekávanými výsledky,</w:t>
      </w:r>
    </w:p>
    <w:p w:rsidR="00D46935" w:rsidRPr="006B37DA" w:rsidRDefault="00697A5C" w:rsidP="00D46935">
      <w:pPr>
        <w:pStyle w:val="Odstavecseseznamem"/>
        <w:numPr>
          <w:ilvl w:val="0"/>
          <w:numId w:val="6"/>
        </w:numPr>
        <w:spacing w:after="120" w:line="264" w:lineRule="auto"/>
        <w:ind w:right="121"/>
        <w:jc w:val="both"/>
        <w:rPr>
          <w:rFonts w:ascii="Arial" w:eastAsia="Arial" w:hAnsi="Arial" w:cs="Arial"/>
          <w:color w:val="000000"/>
          <w:sz w:val="20"/>
        </w:rPr>
      </w:pPr>
      <w:proofErr w:type="gramStart"/>
      <w:r w:rsidRPr="006B37DA">
        <w:rPr>
          <w:rFonts w:ascii="Arial" w:eastAsia="Arial" w:hAnsi="Arial" w:cs="Arial"/>
          <w:color w:val="000000"/>
          <w:sz w:val="20"/>
        </w:rPr>
        <w:t>předpokládaná</w:t>
      </w:r>
      <w:proofErr w:type="gramEnd"/>
      <w:r w:rsidRPr="006B37DA">
        <w:rPr>
          <w:rFonts w:ascii="Arial" w:eastAsia="Arial" w:hAnsi="Arial" w:cs="Arial"/>
          <w:color w:val="000000"/>
          <w:sz w:val="20"/>
        </w:rPr>
        <w:t xml:space="preserve"> změna na úvěrovém trhu, která má potenciál dále zhoršit možnosti financování pražských malých a středních podniků.</w:t>
      </w:r>
    </w:p>
    <w:p w:rsidR="00D46935" w:rsidRPr="006B37DA" w:rsidRDefault="00697A5C">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Hlavními změnami bylo rozšíření portfolia navrhovaných finančních nástrojů v rámci PO 1 o zvýhodněné úvěry pro inovační pražské malé a střední podniky Bylo doporučeno svěřit správu tohoto úvěrového finančního nástroje Českomoravské záruční a rozvojové bance (ČMZRB). V rámci této aktualizace </w:t>
      </w:r>
      <w:r w:rsidR="00D46935" w:rsidRPr="006B37DA">
        <w:rPr>
          <w:rFonts w:ascii="Arial" w:eastAsia="Arial" w:hAnsi="Arial" w:cs="Arial"/>
          <w:color w:val="000000"/>
          <w:sz w:val="20"/>
        </w:rPr>
        <w:br/>
      </w:r>
      <w:r w:rsidRPr="006B37DA">
        <w:rPr>
          <w:rFonts w:ascii="Arial" w:eastAsia="Arial" w:hAnsi="Arial" w:cs="Arial"/>
          <w:color w:val="000000"/>
          <w:sz w:val="20"/>
        </w:rPr>
        <w:t xml:space="preserve">ex-ante posouzení využití finančních nástrojů v rámci OP PPR nedošlo ke změně kritérií pro výběr operací v případě finančních nástrojů. </w:t>
      </w:r>
    </w:p>
    <w:p w:rsidR="00D46935" w:rsidRPr="006B37DA" w:rsidRDefault="00697A5C">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V průběhu roku došlo k setkání za účasti primátorky hlavního </w:t>
      </w:r>
      <w:proofErr w:type="gramStart"/>
      <w:r w:rsidRPr="006B37DA">
        <w:rPr>
          <w:rFonts w:ascii="Arial" w:eastAsia="Arial" w:hAnsi="Arial" w:cs="Arial"/>
          <w:color w:val="000000"/>
          <w:sz w:val="20"/>
        </w:rPr>
        <w:t>města</w:t>
      </w:r>
      <w:proofErr w:type="gramEnd"/>
      <w:r w:rsidRPr="006B37DA">
        <w:rPr>
          <w:rFonts w:ascii="Arial" w:eastAsia="Arial" w:hAnsi="Arial" w:cs="Arial"/>
          <w:color w:val="000000"/>
          <w:sz w:val="20"/>
        </w:rPr>
        <w:t xml:space="preserve"> Prahy, náměstkyně primátorky hlavního města Prahy, radní hlavního města Prahy a zástupci ŘO OP PPR s představenstvem Národního inovačního fondu (NIF) a zástupců Ministerstva průmyslu a obchodu. ŘO OP PPR očekával obdržení oficiálního stanoviska </w:t>
      </w:r>
      <w:proofErr w:type="gramStart"/>
      <w:r w:rsidRPr="006B37DA">
        <w:rPr>
          <w:rFonts w:ascii="Arial" w:eastAsia="Arial" w:hAnsi="Arial" w:cs="Arial"/>
          <w:color w:val="000000"/>
          <w:sz w:val="20"/>
        </w:rPr>
        <w:t>od</w:t>
      </w:r>
      <w:proofErr w:type="gramEnd"/>
      <w:r w:rsidRPr="006B37DA">
        <w:rPr>
          <w:rFonts w:ascii="Arial" w:eastAsia="Arial" w:hAnsi="Arial" w:cs="Arial"/>
          <w:color w:val="000000"/>
          <w:sz w:val="20"/>
        </w:rPr>
        <w:t xml:space="preserve"> EK k možnosti přímého zadání finančních nástrojů NIF.  V případě negativního stanovisko EK měla by být možnost přímého zadání umožněna vydáním omnibusu (všeobecná aktualizace zejména Obecného nařízení). Zástupci MPO očekávali, že do konce roku 2017 bude ČNB vydána licence pro činnost NIF. </w:t>
      </w:r>
    </w:p>
    <w:p w:rsidR="00457252" w:rsidRDefault="00697A5C">
      <w:pPr>
        <w:spacing w:after="120" w:line="264" w:lineRule="auto"/>
        <w:ind w:left="119" w:right="121"/>
        <w:jc w:val="both"/>
        <w:rPr>
          <w:rFonts w:ascii="Arial" w:eastAsia="Arial" w:hAnsi="Arial" w:cs="Arial"/>
          <w:color w:val="000000"/>
          <w:sz w:val="20"/>
        </w:rPr>
      </w:pPr>
      <w:r w:rsidRPr="006B37DA">
        <w:rPr>
          <w:rFonts w:ascii="Arial" w:eastAsia="Arial" w:hAnsi="Arial" w:cs="Arial"/>
          <w:color w:val="000000"/>
          <w:sz w:val="20"/>
        </w:rPr>
        <w:t xml:space="preserve">Stejně jako v případě NIF proběhlo v průběhu roku několik setkání se zástupci ČMZRB ohledně možné budoucí spolupráce. I v případě spolupráce s ČMZRB ŘO OP PPR očekával jasné stanovisko </w:t>
      </w:r>
      <w:proofErr w:type="gramStart"/>
      <w:r w:rsidRPr="006B37DA">
        <w:rPr>
          <w:rFonts w:ascii="Arial" w:eastAsia="Arial" w:hAnsi="Arial" w:cs="Arial"/>
          <w:color w:val="000000"/>
          <w:sz w:val="20"/>
        </w:rPr>
        <w:t>od</w:t>
      </w:r>
      <w:proofErr w:type="gramEnd"/>
      <w:r w:rsidRPr="006B37DA">
        <w:rPr>
          <w:rFonts w:ascii="Arial" w:eastAsia="Arial" w:hAnsi="Arial" w:cs="Arial"/>
          <w:color w:val="000000"/>
          <w:sz w:val="20"/>
        </w:rPr>
        <w:t xml:space="preserve"> EK </w:t>
      </w:r>
      <w:r w:rsidR="00D46935" w:rsidRPr="006B37DA">
        <w:rPr>
          <w:rFonts w:ascii="Arial" w:eastAsia="Arial" w:hAnsi="Arial" w:cs="Arial"/>
          <w:color w:val="000000"/>
          <w:sz w:val="20"/>
        </w:rPr>
        <w:br/>
      </w:r>
      <w:r w:rsidRPr="006B37DA">
        <w:rPr>
          <w:rFonts w:ascii="Arial" w:eastAsia="Arial" w:hAnsi="Arial" w:cs="Arial"/>
          <w:color w:val="000000"/>
          <w:sz w:val="20"/>
        </w:rPr>
        <w:t>k možnosti přímého zadání této instituci. V případě negativního stanovisko EK, měla by být možnost přímého zadání taktéž umožněna vydáním omnibusu.</w:t>
      </w:r>
      <w:r>
        <w:rPr>
          <w:rFonts w:ascii="Arial" w:eastAsia="Arial" w:hAnsi="Arial" w:cs="Arial"/>
          <w:color w:val="000000"/>
          <w:sz w:val="20"/>
        </w:rPr>
        <w:t xml:space="preserve"> </w:t>
      </w:r>
    </w:p>
    <w:p w:rsidR="00457252" w:rsidRDefault="00697A5C" w:rsidP="00D46935">
      <w:pPr>
        <w:pStyle w:val="Nadpis1"/>
      </w:pPr>
      <w:bookmarkStart w:id="18" w:name="_Toc512860945"/>
      <w:r>
        <w:t>OPATŘENÍ PŘIJATÁ ZA ÚČELEM SPLNĚNÍ PŘEDBĚŽNÝCH PODMÍNEK (čl. 50 odst. 2 nařízení (EU) č. 1303/2013)</w:t>
      </w:r>
      <w:bookmarkEnd w:id="18"/>
    </w:p>
    <w:p w:rsidR="00457252" w:rsidRDefault="00457252">
      <w:pPr>
        <w:spacing w:after="120" w:line="264" w:lineRule="auto"/>
        <w:ind w:left="119" w:right="121"/>
        <w:jc w:val="both"/>
        <w:rPr>
          <w:rFonts w:ascii="Arial" w:eastAsia="Arial" w:hAnsi="Arial" w:cs="Arial"/>
          <w:color w:val="000000"/>
          <w:sz w:val="20"/>
        </w:rPr>
      </w:pPr>
    </w:p>
    <w:p w:rsidR="00457252" w:rsidRDefault="00457252">
      <w:pPr>
        <w:sectPr w:rsidR="00457252">
          <w:headerReference w:type="default" r:id="rId12"/>
          <w:footerReference w:type="default" r:id="rId13"/>
          <w:pgSz w:w="11900" w:h="16820"/>
          <w:pgMar w:top="520" w:right="1540" w:bottom="560" w:left="840" w:header="539" w:footer="567" w:gutter="0"/>
          <w:cols w:space="720"/>
          <w:noEndnote/>
        </w:sectPr>
      </w:pPr>
    </w:p>
    <w:p w:rsidR="00457252" w:rsidRDefault="00697A5C" w:rsidP="00DA591F">
      <w:pPr>
        <w:pStyle w:val="Nadpis1"/>
      </w:pPr>
      <w:bookmarkStart w:id="19" w:name="_Toc512860946"/>
      <w:r>
        <w:lastRenderedPageBreak/>
        <w:t>POKROK PŘI PŘÍPRAVĚ A IMPLEMENTACI VELKÝCH PROJEKTŮ A SPOLEČNÝCH AKČNÍCH PLÁNŮ (čl. 101 písm. h) a čl. 111 odst. 3 nařízení (EU) č. 1303/2013)</w:t>
      </w:r>
      <w:bookmarkEnd w:id="19"/>
    </w:p>
    <w:p w:rsidR="00457252" w:rsidRDefault="00697A5C" w:rsidP="00DA591F">
      <w:pPr>
        <w:pStyle w:val="Nadpis2"/>
      </w:pPr>
      <w:bookmarkStart w:id="20" w:name="_Toc512860947"/>
      <w:r>
        <w:t>Velké projekty</w:t>
      </w:r>
      <w:bookmarkEnd w:id="20"/>
    </w:p>
    <w:p w:rsidR="00457252" w:rsidRDefault="00697A5C">
      <w:pPr>
        <w:keepNext/>
        <w:tabs>
          <w:tab w:val="left" w:pos="1675"/>
        </w:tabs>
        <w:ind w:left="115" w:right="109"/>
        <w:rPr>
          <w:rFonts w:ascii="Arial" w:eastAsia="Arial" w:hAnsi="Arial" w:cs="Arial"/>
          <w:b/>
          <w:bCs/>
          <w:i/>
          <w:iCs/>
          <w:color w:val="000000"/>
          <w:sz w:val="20"/>
        </w:rPr>
      </w:pPr>
      <w:r>
        <w:rPr>
          <w:rFonts w:ascii="Arial" w:eastAsia="Arial" w:hAnsi="Arial" w:cs="Arial"/>
          <w:b/>
          <w:bCs/>
          <w:i/>
          <w:iCs/>
          <w:color w:val="000000"/>
          <w:sz w:val="20"/>
        </w:rPr>
        <w:t>Tabulka 12: Velké projekty</w:t>
      </w:r>
    </w:p>
    <w:tbl>
      <w:tblPr>
        <w:tblW w:w="0" w:type="auto"/>
        <w:jc w:val="center"/>
        <w:shd w:val="clear" w:color="auto" w:fill="F2DBDB" w:themeFill="accent2" w:themeFillTint="33"/>
        <w:tblLayout w:type="fixed"/>
        <w:tblCellMar>
          <w:left w:w="0" w:type="dxa"/>
          <w:right w:w="0" w:type="dxa"/>
        </w:tblCellMar>
        <w:tblLook w:val="04A0" w:firstRow="1" w:lastRow="0" w:firstColumn="1" w:lastColumn="0" w:noHBand="0" w:noVBand="1"/>
      </w:tblPr>
      <w:tblGrid>
        <w:gridCol w:w="1225"/>
        <w:gridCol w:w="567"/>
        <w:gridCol w:w="851"/>
        <w:gridCol w:w="1134"/>
        <w:gridCol w:w="1134"/>
        <w:gridCol w:w="992"/>
        <w:gridCol w:w="992"/>
        <w:gridCol w:w="992"/>
        <w:gridCol w:w="993"/>
        <w:gridCol w:w="992"/>
        <w:gridCol w:w="992"/>
        <w:gridCol w:w="1010"/>
        <w:gridCol w:w="1126"/>
        <w:gridCol w:w="992"/>
        <w:gridCol w:w="1029"/>
      </w:tblGrid>
      <w:tr w:rsidR="00457252" w:rsidTr="00E74CC1">
        <w:trPr>
          <w:cantSplit/>
          <w:tblHeader/>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Projekt</w:t>
            </w:r>
          </w:p>
        </w:tc>
        <w:tc>
          <w:tcPr>
            <w:tcW w:w="567"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85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Stav velkého projektu</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2. schválen</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3. předložen</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4. plánuje se oznámení / předložení Komisi</w:t>
            </w:r>
          </w:p>
          <w:p w:rsidR="00457252" w:rsidRDefault="00457252">
            <w:pPr>
              <w:keepLines/>
              <w:ind w:left="57" w:right="57"/>
              <w:jc w:val="center"/>
              <w:rPr>
                <w:rFonts w:ascii="Arial" w:eastAsia="Arial" w:hAnsi="Arial" w:cs="Arial"/>
                <w:color w:val="000000"/>
                <w:sz w:val="14"/>
              </w:rPr>
            </w:pP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investice</w:t>
            </w:r>
          </w:p>
        </w:tc>
        <w:tc>
          <w:tcPr>
            <w:tcW w:w="113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oznámení / předložení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Datum automatického schválení Komisí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zahájení realizace</w:t>
            </w:r>
          </w:p>
          <w:p w:rsidR="00457252" w:rsidRDefault="00457252">
            <w:pPr>
              <w:keepLines/>
              <w:ind w:left="57" w:right="57"/>
              <w:jc w:val="center"/>
              <w:rPr>
                <w:rFonts w:ascii="Arial" w:eastAsia="Arial" w:hAnsi="Arial" w:cs="Arial"/>
                <w:color w:val="000000"/>
                <w:sz w:val="14"/>
              </w:rPr>
            </w:pP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3"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Plánované datum dokončení</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(rok, čtvrtletí)</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Priorita / osa / investiční priority</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finanční pokrok</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 výdajů certifikovaných Komisi v porovnání s celkovými způsobilými náklady)</w:t>
            </w:r>
          </w:p>
        </w:tc>
        <w:tc>
          <w:tcPr>
            <w:tcW w:w="1010"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Současný stav realizace – fyzický pokrok</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Hlavní fáze provádění projektu</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1. dokončeno / v provozu;</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2. pokročilá výstavba;</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3. výstavba;</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4. zadávání zakázek</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5. návrh</w:t>
            </w:r>
          </w:p>
        </w:tc>
        <w:tc>
          <w:tcPr>
            <w:tcW w:w="112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Hlavní výstupy</w:t>
            </w:r>
          </w:p>
        </w:tc>
        <w:tc>
          <w:tcPr>
            <w:tcW w:w="99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6"/>
              </w:rPr>
            </w:pPr>
            <w:r>
              <w:rPr>
                <w:rFonts w:ascii="Arial" w:eastAsia="Arial" w:hAnsi="Arial" w:cs="Arial"/>
                <w:b/>
                <w:bCs/>
                <w:color w:val="000000"/>
                <w:sz w:val="14"/>
              </w:rPr>
              <w:t xml:space="preserve">Datum podpisu první smlouvy </w:t>
            </w:r>
            <w:r w:rsidR="00DA591F">
              <w:rPr>
                <w:rFonts w:ascii="Arial" w:eastAsia="Arial" w:hAnsi="Arial" w:cs="Arial"/>
                <w:b/>
                <w:bCs/>
                <w:color w:val="000000"/>
                <w:sz w:val="14"/>
              </w:rPr>
              <w:br/>
            </w:r>
            <w:r>
              <w:rPr>
                <w:rFonts w:ascii="Arial" w:eastAsia="Arial" w:hAnsi="Arial" w:cs="Arial"/>
                <w:b/>
                <w:bCs/>
                <w:color w:val="000000"/>
                <w:sz w:val="14"/>
              </w:rPr>
              <w:t>o dílo</w:t>
            </w:r>
            <w:r w:rsidRPr="00DA591F">
              <w:rPr>
                <w:rFonts w:ascii="Arial" w:eastAsia="Arial" w:hAnsi="Arial" w:cs="Arial"/>
                <w:b/>
                <w:bCs/>
                <w:color w:val="000000"/>
                <w:sz w:val="16"/>
                <w:vertAlign w:val="superscript"/>
              </w:rPr>
              <w:t>1</w:t>
            </w:r>
          </w:p>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(je-li použitelné)</w:t>
            </w:r>
          </w:p>
        </w:tc>
        <w:tc>
          <w:tcPr>
            <w:tcW w:w="1029"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pPr>
              <w:keepLines/>
              <w:ind w:left="57" w:right="57"/>
              <w:jc w:val="center"/>
              <w:rPr>
                <w:rFonts w:ascii="Arial" w:eastAsia="Arial" w:hAnsi="Arial" w:cs="Arial"/>
                <w:b/>
                <w:bCs/>
                <w:color w:val="000000"/>
                <w:sz w:val="14"/>
              </w:rPr>
            </w:pPr>
            <w:r>
              <w:rPr>
                <w:rFonts w:ascii="Arial" w:eastAsia="Arial" w:hAnsi="Arial" w:cs="Arial"/>
                <w:b/>
                <w:bCs/>
                <w:color w:val="000000"/>
                <w:sz w:val="14"/>
              </w:rPr>
              <w:t>Připomínky (v případě potřeby)</w:t>
            </w:r>
          </w:p>
        </w:tc>
      </w:tr>
    </w:tbl>
    <w:p w:rsidR="00457252" w:rsidRPr="00DA591F" w:rsidRDefault="00697A5C" w:rsidP="00DA591F">
      <w:pPr>
        <w:spacing w:before="120"/>
        <w:ind w:left="113" w:right="108"/>
        <w:rPr>
          <w:rFonts w:ascii="Arial" w:hAnsi="Arial" w:cs="Arial"/>
          <w:color w:val="000000"/>
          <w:sz w:val="16"/>
        </w:rPr>
      </w:pPr>
      <w:r w:rsidRPr="004A0E17">
        <w:rPr>
          <w:rFonts w:ascii="Arial" w:hAnsi="Arial" w:cs="Arial"/>
          <w:color w:val="000000"/>
          <w:sz w:val="16"/>
        </w:rPr>
        <w:t>1</w:t>
      </w:r>
      <w:r w:rsidR="004A0E17">
        <w:rPr>
          <w:rFonts w:ascii="Arial" w:hAnsi="Arial" w:cs="Arial"/>
          <w:color w:val="000000"/>
          <w:sz w:val="16"/>
        </w:rPr>
        <w:tab/>
      </w:r>
      <w:r w:rsidRPr="00DA591F">
        <w:rPr>
          <w:rFonts w:ascii="Arial" w:hAnsi="Arial" w:cs="Arial"/>
          <w:color w:val="000000"/>
          <w:sz w:val="16"/>
        </w:rPr>
        <w:t>U operací prováděných v rámci struktur partnerství veřejného a soukromého sektoru podpis dohody o partnerství mezi veřejným a soukromým subjektem (čl. 102 odst. 3 nařízení (EU) č. 1303/2013).</w:t>
      </w:r>
    </w:p>
    <w:p w:rsidR="00457252" w:rsidRDefault="00457252">
      <w:pPr>
        <w:tabs>
          <w:tab w:val="left" w:pos="1675"/>
        </w:tabs>
        <w:ind w:left="115" w:right="109"/>
        <w:rPr>
          <w:rFonts w:ascii="Arial" w:eastAsia="Arial" w:hAnsi="Arial" w:cs="Arial"/>
          <w:color w:val="000000"/>
          <w:sz w:val="20"/>
        </w:rPr>
      </w:pPr>
    </w:p>
    <w:p w:rsidR="00457252" w:rsidRPr="00DA591F" w:rsidRDefault="00697A5C">
      <w:pPr>
        <w:keepNext/>
        <w:spacing w:before="120" w:after="120"/>
        <w:ind w:left="115" w:right="109"/>
        <w:jc w:val="both"/>
        <w:rPr>
          <w:rFonts w:ascii="Arial" w:eastAsia="Arial" w:hAnsi="Arial" w:cs="Arial"/>
          <w:b/>
          <w:color w:val="000000"/>
          <w:sz w:val="20"/>
          <w:u w:val="single"/>
        </w:rPr>
      </w:pPr>
      <w:r w:rsidRPr="00DA591F">
        <w:rPr>
          <w:rFonts w:ascii="Arial" w:eastAsia="Arial" w:hAnsi="Arial" w:cs="Arial"/>
          <w:b/>
          <w:color w:val="000000"/>
          <w:sz w:val="20"/>
          <w:u w:val="single"/>
        </w:rPr>
        <w:t xml:space="preserve">Významné problémy, které se vyskytly při implementaci velkých projektů, </w:t>
      </w:r>
      <w:proofErr w:type="gramStart"/>
      <w:r w:rsidRPr="00DA591F">
        <w:rPr>
          <w:rFonts w:ascii="Arial" w:eastAsia="Arial" w:hAnsi="Arial" w:cs="Arial"/>
          <w:b/>
          <w:color w:val="000000"/>
          <w:sz w:val="20"/>
          <w:u w:val="single"/>
        </w:rPr>
        <w:t>a</w:t>
      </w:r>
      <w:proofErr w:type="gramEnd"/>
      <w:r w:rsidRPr="00DA591F">
        <w:rPr>
          <w:rFonts w:ascii="Arial" w:eastAsia="Arial" w:hAnsi="Arial" w:cs="Arial"/>
          <w:b/>
          <w:color w:val="000000"/>
          <w:sz w:val="20"/>
          <w:u w:val="single"/>
        </w:rPr>
        <w:t xml:space="preserve"> opatření přijatá k jejich odstranění.</w:t>
      </w:r>
    </w:p>
    <w:p w:rsidR="00457252" w:rsidRDefault="00697A5C">
      <w:pPr>
        <w:spacing w:after="120" w:line="264" w:lineRule="auto"/>
        <w:ind w:left="115" w:right="109"/>
        <w:jc w:val="both"/>
        <w:rPr>
          <w:rFonts w:ascii="Arial" w:eastAsia="Arial" w:hAnsi="Arial" w:cs="Arial"/>
          <w:color w:val="000000"/>
          <w:sz w:val="20"/>
        </w:rPr>
      </w:pPr>
      <w:r>
        <w:rPr>
          <w:rFonts w:ascii="Arial" w:eastAsia="Arial" w:hAnsi="Arial" w:cs="Arial"/>
          <w:color w:val="000000"/>
          <w:sz w:val="20"/>
        </w:rPr>
        <w:t>Nerelevantní pro OP PPR.</w:t>
      </w:r>
    </w:p>
    <w:p w:rsidR="00DA591F" w:rsidRDefault="00DA591F">
      <w:pPr>
        <w:spacing w:after="120" w:line="264" w:lineRule="auto"/>
        <w:ind w:left="115" w:right="109"/>
        <w:jc w:val="both"/>
        <w:rPr>
          <w:rFonts w:ascii="Arial" w:eastAsia="Arial" w:hAnsi="Arial" w:cs="Arial"/>
          <w:color w:val="000000"/>
          <w:sz w:val="20"/>
        </w:rPr>
      </w:pPr>
    </w:p>
    <w:p w:rsidR="00457252" w:rsidRPr="00DA591F" w:rsidRDefault="00697A5C">
      <w:pPr>
        <w:keepNext/>
        <w:spacing w:after="120"/>
        <w:ind w:left="115" w:right="109"/>
        <w:jc w:val="both"/>
        <w:rPr>
          <w:rFonts w:ascii="Arial" w:eastAsia="Arial" w:hAnsi="Arial" w:cs="Arial"/>
          <w:b/>
          <w:color w:val="000000"/>
          <w:sz w:val="20"/>
          <w:u w:val="single"/>
        </w:rPr>
      </w:pPr>
      <w:r w:rsidRPr="00DA591F">
        <w:rPr>
          <w:rFonts w:ascii="Arial" w:eastAsia="Arial" w:hAnsi="Arial" w:cs="Arial"/>
          <w:b/>
          <w:color w:val="000000"/>
          <w:sz w:val="20"/>
          <w:u w:val="single"/>
        </w:rPr>
        <w:t>Případná plánovaná změna v seznamu velkých projektů v rámci operačního programu.</w:t>
      </w:r>
    </w:p>
    <w:p w:rsidR="00457252" w:rsidRDefault="00697A5C">
      <w:pPr>
        <w:spacing w:after="120" w:line="264" w:lineRule="auto"/>
        <w:ind w:left="115" w:right="109"/>
        <w:jc w:val="both"/>
        <w:rPr>
          <w:rFonts w:ascii="Arial" w:eastAsia="Arial" w:hAnsi="Arial" w:cs="Arial"/>
          <w:color w:val="000000"/>
          <w:sz w:val="20"/>
        </w:rPr>
      </w:pPr>
      <w:r>
        <w:rPr>
          <w:rFonts w:ascii="Arial" w:eastAsia="Arial" w:hAnsi="Arial" w:cs="Arial"/>
          <w:color w:val="000000"/>
          <w:sz w:val="20"/>
        </w:rPr>
        <w:t>Nerelevantní pro OP PPR.</w:t>
      </w:r>
    </w:p>
    <w:p w:rsidR="00DA591F" w:rsidRDefault="00DA591F">
      <w:pPr>
        <w:spacing w:after="120" w:line="264" w:lineRule="auto"/>
        <w:ind w:left="115" w:right="109"/>
        <w:jc w:val="both"/>
        <w:rPr>
          <w:rFonts w:ascii="Arial" w:eastAsia="Arial" w:hAnsi="Arial" w:cs="Arial"/>
          <w:color w:val="000000"/>
          <w:sz w:val="20"/>
        </w:rPr>
      </w:pPr>
    </w:p>
    <w:p w:rsidR="00457252" w:rsidRDefault="00697A5C" w:rsidP="00FE46D8">
      <w:pPr>
        <w:pStyle w:val="Nadpis2"/>
      </w:pPr>
      <w:bookmarkStart w:id="21" w:name="_Toc512860948"/>
      <w:r>
        <w:lastRenderedPageBreak/>
        <w:t>Společné akční plány</w:t>
      </w:r>
      <w:bookmarkEnd w:id="21"/>
    </w:p>
    <w:p w:rsidR="00457252" w:rsidRPr="00DA591F" w:rsidRDefault="00697A5C">
      <w:pPr>
        <w:keepNext/>
        <w:spacing w:after="120"/>
        <w:ind w:left="115" w:right="109"/>
        <w:jc w:val="both"/>
        <w:rPr>
          <w:rFonts w:ascii="Arial" w:eastAsia="Arial" w:hAnsi="Arial" w:cs="Arial"/>
          <w:b/>
          <w:color w:val="000000"/>
          <w:sz w:val="20"/>
          <w:u w:val="single"/>
        </w:rPr>
      </w:pPr>
      <w:r w:rsidRPr="00DA591F">
        <w:rPr>
          <w:rFonts w:ascii="Arial" w:eastAsia="Arial" w:hAnsi="Arial" w:cs="Arial"/>
          <w:b/>
          <w:color w:val="000000"/>
          <w:sz w:val="20"/>
          <w:u w:val="single"/>
        </w:rPr>
        <w:t>Pokrok při implementaci jednotlivých fází společných akčních plánů.</w:t>
      </w:r>
    </w:p>
    <w:p w:rsidR="00457252" w:rsidRDefault="00697A5C">
      <w:pPr>
        <w:spacing w:after="120" w:line="264" w:lineRule="auto"/>
        <w:ind w:left="115" w:right="109"/>
        <w:jc w:val="both"/>
        <w:rPr>
          <w:rFonts w:ascii="Arial" w:eastAsia="Arial" w:hAnsi="Arial" w:cs="Arial"/>
          <w:color w:val="000000"/>
          <w:sz w:val="20"/>
        </w:rPr>
      </w:pPr>
      <w:r>
        <w:rPr>
          <w:rFonts w:ascii="Arial" w:eastAsia="Arial" w:hAnsi="Arial" w:cs="Arial"/>
          <w:color w:val="000000"/>
          <w:sz w:val="20"/>
        </w:rPr>
        <w:t>Nerelevantní pro OP PPR.</w:t>
      </w:r>
    </w:p>
    <w:p w:rsidR="00457252" w:rsidRDefault="00697A5C">
      <w:pPr>
        <w:keepNext/>
        <w:tabs>
          <w:tab w:val="left" w:pos="1675"/>
        </w:tabs>
        <w:ind w:left="115" w:right="109"/>
        <w:rPr>
          <w:rFonts w:ascii="Arial" w:eastAsia="Arial" w:hAnsi="Arial" w:cs="Arial"/>
          <w:b/>
          <w:bCs/>
          <w:i/>
          <w:iCs/>
          <w:color w:val="000000"/>
          <w:sz w:val="20"/>
        </w:rPr>
      </w:pPr>
      <w:r>
        <w:rPr>
          <w:rFonts w:ascii="Arial" w:eastAsia="Arial" w:hAnsi="Arial" w:cs="Arial"/>
          <w:b/>
          <w:bCs/>
          <w:i/>
          <w:iCs/>
          <w:color w:val="000000"/>
          <w:sz w:val="20"/>
        </w:rPr>
        <w:t>Tabulka 13: Společné akční plány (SAP)</w:t>
      </w:r>
    </w:p>
    <w:tbl>
      <w:tblPr>
        <w:tblW w:w="0" w:type="auto"/>
        <w:jc w:val="center"/>
        <w:tblLayout w:type="fixed"/>
        <w:tblCellMar>
          <w:left w:w="0" w:type="dxa"/>
          <w:right w:w="0" w:type="dxa"/>
        </w:tblCellMar>
        <w:tblLook w:val="04A0" w:firstRow="1" w:lastRow="0" w:firstColumn="1" w:lastColumn="0" w:noHBand="0" w:noVBand="1"/>
      </w:tblPr>
      <w:tblGrid>
        <w:gridCol w:w="916"/>
        <w:gridCol w:w="604"/>
        <w:gridCol w:w="1364"/>
        <w:gridCol w:w="941"/>
        <w:gridCol w:w="1062"/>
        <w:gridCol w:w="1146"/>
        <w:gridCol w:w="1146"/>
        <w:gridCol w:w="1146"/>
        <w:gridCol w:w="1131"/>
        <w:gridCol w:w="1361"/>
        <w:gridCol w:w="1358"/>
        <w:gridCol w:w="1212"/>
        <w:gridCol w:w="1012"/>
        <w:gridCol w:w="1174"/>
      </w:tblGrid>
      <w:tr w:rsidR="00457252" w:rsidTr="00E74CC1">
        <w:trPr>
          <w:cantSplit/>
          <w:tblHeade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Název SAP</w:t>
            </w:r>
          </w:p>
        </w:tc>
        <w:tc>
          <w:tcPr>
            <w:tcW w:w="60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CCI</w:t>
            </w:r>
          </w:p>
        </w:tc>
        <w:tc>
          <w:tcPr>
            <w:tcW w:w="136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Fáze provádění SAP</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dokončen</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provedeno &gt; 50 %</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zahájen</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4. schválen</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5. předložen</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6. plánuje se</w:t>
            </w:r>
          </w:p>
        </w:tc>
        <w:tc>
          <w:tcPr>
            <w:tcW w:w="94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w:t>
            </w:r>
          </w:p>
        </w:tc>
        <w:tc>
          <w:tcPr>
            <w:tcW w:w="106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Celková podpora z veřejných zdrojů</w:t>
            </w:r>
          </w:p>
        </w:tc>
        <w:tc>
          <w:tcPr>
            <w:tcW w:w="11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 xml:space="preserve">Přínos OP </w:t>
            </w:r>
            <w:r w:rsidR="00DA591F">
              <w:rPr>
                <w:rFonts w:ascii="Arial" w:eastAsia="Arial" w:hAnsi="Arial" w:cs="Arial"/>
                <w:b/>
                <w:bCs/>
                <w:color w:val="000000"/>
                <w:sz w:val="14"/>
              </w:rPr>
              <w:br/>
            </w:r>
            <w:r>
              <w:rPr>
                <w:rFonts w:ascii="Arial" w:eastAsia="Arial" w:hAnsi="Arial" w:cs="Arial"/>
                <w:b/>
                <w:bCs/>
                <w:color w:val="000000"/>
                <w:sz w:val="14"/>
              </w:rPr>
              <w:t>k SAP</w:t>
            </w:r>
          </w:p>
        </w:tc>
        <w:tc>
          <w:tcPr>
            <w:tcW w:w="11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Prioritní osa</w:t>
            </w:r>
          </w:p>
        </w:tc>
        <w:tc>
          <w:tcPr>
            <w:tcW w:w="1146"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Druh SAP</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1. normální</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2. pilotní</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3. YEI</w:t>
            </w:r>
          </w:p>
        </w:tc>
        <w:tc>
          <w:tcPr>
            <w:tcW w:w="113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w:t>
            </w:r>
          </w:p>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předložení Komisi</w:t>
            </w:r>
          </w:p>
        </w:tc>
        <w:tc>
          <w:tcPr>
            <w:tcW w:w="1361"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zahájení implementace</w:t>
            </w:r>
          </w:p>
        </w:tc>
        <w:tc>
          <w:tcPr>
            <w:tcW w:w="1358"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[Plánované] dokončení</w:t>
            </w:r>
          </w:p>
        </w:tc>
        <w:tc>
          <w:tcPr>
            <w:tcW w:w="12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Hlavní výstupy a výsledky</w:t>
            </w:r>
          </w:p>
        </w:tc>
        <w:tc>
          <w:tcPr>
            <w:tcW w:w="1012"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Celkové způsobilé náklady certifikované Komisi</w:t>
            </w:r>
          </w:p>
        </w:tc>
        <w:tc>
          <w:tcPr>
            <w:tcW w:w="1174" w:type="dxa"/>
            <w:tcBorders>
              <w:top w:val="single" w:sz="4" w:space="0" w:color="000000"/>
              <w:left w:val="single" w:sz="4" w:space="0" w:color="000000"/>
              <w:bottom w:val="single" w:sz="4" w:space="0" w:color="000000"/>
              <w:right w:val="single" w:sz="4" w:space="0" w:color="000000"/>
            </w:tcBorders>
            <w:shd w:val="clear" w:color="auto" w:fill="F2DBDB" w:themeFill="accent2" w:themeFillTint="33"/>
            <w:vAlign w:val="center"/>
          </w:tcPr>
          <w:p w:rsidR="00457252" w:rsidRDefault="00697A5C" w:rsidP="00DA591F">
            <w:pPr>
              <w:keepLines/>
              <w:tabs>
                <w:tab w:val="left" w:pos="828"/>
              </w:tabs>
              <w:ind w:left="57" w:right="57"/>
              <w:jc w:val="center"/>
              <w:rPr>
                <w:rFonts w:ascii="Arial" w:eastAsia="Arial" w:hAnsi="Arial" w:cs="Arial"/>
                <w:b/>
                <w:bCs/>
                <w:color w:val="000000"/>
                <w:sz w:val="14"/>
              </w:rPr>
            </w:pPr>
            <w:r>
              <w:rPr>
                <w:rFonts w:ascii="Arial" w:eastAsia="Arial" w:hAnsi="Arial" w:cs="Arial"/>
                <w:b/>
                <w:bCs/>
                <w:color w:val="000000"/>
                <w:sz w:val="14"/>
              </w:rPr>
              <w:t xml:space="preserve">Připomínky </w:t>
            </w:r>
            <w:r w:rsidR="00DA591F">
              <w:rPr>
                <w:rFonts w:ascii="Arial" w:eastAsia="Arial" w:hAnsi="Arial" w:cs="Arial"/>
                <w:b/>
                <w:bCs/>
                <w:color w:val="000000"/>
                <w:sz w:val="14"/>
              </w:rPr>
              <w:br/>
            </w:r>
            <w:r>
              <w:rPr>
                <w:rFonts w:ascii="Arial" w:eastAsia="Arial" w:hAnsi="Arial" w:cs="Arial"/>
                <w:b/>
                <w:bCs/>
                <w:color w:val="000000"/>
                <w:sz w:val="14"/>
              </w:rPr>
              <w:t>(v případě potřeby)</w:t>
            </w:r>
          </w:p>
        </w:tc>
      </w:tr>
      <w:tr w:rsidR="00457252" w:rsidTr="00E74CC1">
        <w:trPr>
          <w:jc w:val="center"/>
        </w:trPr>
        <w:tc>
          <w:tcPr>
            <w:tcW w:w="9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6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36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94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0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14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13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3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35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2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01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c>
          <w:tcPr>
            <w:tcW w:w="117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457252" w:rsidRDefault="00457252">
            <w:pPr>
              <w:ind w:left="57" w:right="57"/>
            </w:pPr>
          </w:p>
        </w:tc>
      </w:tr>
    </w:tbl>
    <w:p w:rsidR="00E74CC1" w:rsidRDefault="00E74CC1">
      <w:pPr>
        <w:keepNext/>
        <w:spacing w:before="120" w:after="120"/>
        <w:ind w:left="115" w:right="109"/>
        <w:jc w:val="both"/>
        <w:rPr>
          <w:rFonts w:ascii="Arial" w:eastAsia="Arial" w:hAnsi="Arial" w:cs="Arial"/>
          <w:b/>
          <w:color w:val="000000"/>
          <w:sz w:val="20"/>
          <w:u w:val="single"/>
        </w:rPr>
      </w:pPr>
    </w:p>
    <w:p w:rsidR="00457252" w:rsidRPr="00DA591F" w:rsidRDefault="00697A5C">
      <w:pPr>
        <w:keepNext/>
        <w:spacing w:before="120" w:after="120"/>
        <w:ind w:left="115" w:right="109"/>
        <w:jc w:val="both"/>
        <w:rPr>
          <w:rFonts w:ascii="Arial" w:eastAsia="Arial" w:hAnsi="Arial" w:cs="Arial"/>
          <w:b/>
          <w:color w:val="000000"/>
          <w:sz w:val="20"/>
          <w:u w:val="single"/>
        </w:rPr>
      </w:pPr>
      <w:r w:rsidRPr="00DA591F">
        <w:rPr>
          <w:rFonts w:ascii="Arial" w:eastAsia="Arial" w:hAnsi="Arial" w:cs="Arial"/>
          <w:b/>
          <w:color w:val="000000"/>
          <w:sz w:val="20"/>
          <w:u w:val="single"/>
        </w:rPr>
        <w:t xml:space="preserve">Významné problémy, které se vyskytly, </w:t>
      </w:r>
      <w:proofErr w:type="gramStart"/>
      <w:r w:rsidRPr="00DA591F">
        <w:rPr>
          <w:rFonts w:ascii="Arial" w:eastAsia="Arial" w:hAnsi="Arial" w:cs="Arial"/>
          <w:b/>
          <w:color w:val="000000"/>
          <w:sz w:val="20"/>
          <w:u w:val="single"/>
        </w:rPr>
        <w:t>a</w:t>
      </w:r>
      <w:proofErr w:type="gramEnd"/>
      <w:r w:rsidRPr="00DA591F">
        <w:rPr>
          <w:rFonts w:ascii="Arial" w:eastAsia="Arial" w:hAnsi="Arial" w:cs="Arial"/>
          <w:b/>
          <w:color w:val="000000"/>
          <w:sz w:val="20"/>
          <w:u w:val="single"/>
        </w:rPr>
        <w:t xml:space="preserve"> opatření přijatá k jejich odstranění.</w:t>
      </w:r>
    </w:p>
    <w:p w:rsidR="00457252" w:rsidRDefault="00697A5C" w:rsidP="002F03E1">
      <w:pPr>
        <w:spacing w:after="120" w:line="264" w:lineRule="auto"/>
        <w:ind w:left="115" w:right="109"/>
        <w:jc w:val="both"/>
        <w:rPr>
          <w:rFonts w:ascii="Arial" w:eastAsia="Arial" w:hAnsi="Arial" w:cs="Arial"/>
          <w:color w:val="000000"/>
          <w:sz w:val="20"/>
        </w:rPr>
      </w:pPr>
      <w:r>
        <w:rPr>
          <w:rFonts w:ascii="Arial" w:eastAsia="Arial" w:hAnsi="Arial" w:cs="Arial"/>
          <w:color w:val="000000"/>
          <w:sz w:val="20"/>
        </w:rPr>
        <w:t>Nerelevantní pro OP PPR.</w:t>
      </w:r>
    </w:p>
    <w:p w:rsidR="00697A5C" w:rsidRDefault="00697A5C" w:rsidP="002F03E1"/>
    <w:sectPr w:rsidR="00697A5C" w:rsidSect="002F03E1">
      <w:headerReference w:type="default" r:id="rId14"/>
      <w:footerReference w:type="default" r:id="rId15"/>
      <w:pgSz w:w="16820" w:h="11900" w:orient="landscape"/>
      <w:pgMar w:top="1540" w:right="560" w:bottom="840" w:left="520" w:header="539" w:footer="567"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B6D" w:rsidRDefault="008E0B6D">
      <w:r>
        <w:separator/>
      </w:r>
    </w:p>
  </w:endnote>
  <w:endnote w:type="continuationSeparator" w:id="0">
    <w:p w:rsidR="008E0B6D" w:rsidRDefault="008E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Default="008E0B6D" w:rsidP="00D46935">
    <w:pPr>
      <w:spacing w:before="240"/>
      <w:jc w:val="center"/>
      <w:rPr>
        <w:rFonts w:ascii="Arial" w:eastAsia="Arial" w:hAnsi="Arial" w:cs="Arial"/>
        <w:color w:val="000000"/>
        <w:sz w:val="20"/>
      </w:rPr>
    </w:pPr>
    <w:r>
      <w:rPr>
        <w:rFonts w:ascii="Arial" w:eastAsia="Arial" w:hAnsi="Arial" w:cs="Arial"/>
        <w:color w:val="000000"/>
        <w:sz w:val="20"/>
      </w:rPr>
      <w:t>Výroční zpráva o implementaci programu za rok 2017 - final</w:t>
    </w:r>
  </w:p>
  <w:tbl>
    <w:tblPr>
      <w:tblW w:w="9060" w:type="dxa"/>
      <w:tblInd w:w="3" w:type="dxa"/>
      <w:tblLayout w:type="fixed"/>
      <w:tblCellMar>
        <w:left w:w="0" w:type="dxa"/>
        <w:right w:w="0" w:type="dxa"/>
      </w:tblCellMar>
      <w:tblLook w:val="04A0" w:firstRow="1" w:lastRow="0" w:firstColumn="1" w:lastColumn="0" w:noHBand="0" w:noVBand="1"/>
    </w:tblPr>
    <w:tblGrid>
      <w:gridCol w:w="2890"/>
      <w:gridCol w:w="2952"/>
      <w:gridCol w:w="3218"/>
    </w:tblGrid>
    <w:tr w:rsidR="008E0B6D" w:rsidTr="00697A5C">
      <w:tc>
        <w:tcPr>
          <w:tcW w:w="2890" w:type="dxa"/>
          <w:shd w:val="clear" w:color="auto" w:fill="FFFFFF"/>
          <w:vAlign w:val="center"/>
        </w:tcPr>
        <w:p w:rsidR="008E0B6D" w:rsidRDefault="008E0B6D">
          <w:pPr>
            <w:tabs>
              <w:tab w:val="center" w:pos="4644"/>
              <w:tab w:val="right" w:pos="9180"/>
            </w:tabs>
            <w:ind w:left="108" w:right="108"/>
            <w:rPr>
              <w:rFonts w:ascii="Calibri" w:eastAsia="Calibri" w:hAnsi="Calibri" w:cs="Calibri"/>
              <w:color w:val="000000"/>
            </w:rPr>
          </w:pPr>
        </w:p>
      </w:tc>
      <w:tc>
        <w:tcPr>
          <w:tcW w:w="2952" w:type="dxa"/>
          <w:shd w:val="clear" w:color="auto" w:fill="FFFFFF"/>
          <w:vAlign w:val="center"/>
        </w:tcPr>
        <w:p w:rsidR="008E0B6D" w:rsidRDefault="008E0B6D">
          <w:pPr>
            <w:tabs>
              <w:tab w:val="center" w:pos="4644"/>
              <w:tab w:val="right" w:pos="9180"/>
            </w:tabs>
            <w:ind w:left="43" w:right="108"/>
            <w:jc w:val="center"/>
            <w:rPr>
              <w:rFonts w:ascii="Calibri" w:eastAsia="Calibri" w:hAnsi="Calibri" w:cs="Calibri"/>
              <w:color w:val="000000"/>
            </w:rPr>
          </w:pPr>
        </w:p>
      </w:tc>
      <w:tc>
        <w:tcPr>
          <w:tcW w:w="3218" w:type="dxa"/>
          <w:shd w:val="clear" w:color="auto" w:fill="FFFFFF"/>
          <w:vAlign w:val="center"/>
        </w:tcPr>
        <w:p w:rsidR="008E0B6D" w:rsidRDefault="008E0B6D">
          <w:pPr>
            <w:tabs>
              <w:tab w:val="center" w:pos="4644"/>
              <w:tab w:val="right" w:pos="9180"/>
            </w:tabs>
            <w:ind w:left="282" w:right="108"/>
            <w:jc w:val="right"/>
            <w:rPr>
              <w:rFonts w:ascii="Calibri" w:eastAsia="Calibri" w:hAnsi="Calibri" w:cs="Calibri"/>
              <w:color w:val="000000"/>
            </w:rPr>
          </w:pPr>
        </w:p>
      </w:tc>
    </w:tr>
  </w:tbl>
  <w:p w:rsidR="008E0B6D" w:rsidRDefault="008E0B6D">
    <w:pPr>
      <w:tabs>
        <w:tab w:val="center" w:pos="4644"/>
        <w:tab w:val="right" w:pos="9180"/>
      </w:tabs>
      <w:ind w:left="111" w:right="105"/>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812ADD">
      <w:rPr>
        <w:rFonts w:ascii="Calibri" w:eastAsia="Calibri" w:hAnsi="Calibri" w:cs="Calibri"/>
        <w:noProof/>
        <w:color w:val="000000"/>
      </w:rPr>
      <w:t>9</w:t>
    </w:r>
    <w:r>
      <w:rPr>
        <w:rFonts w:ascii="Calibri" w:eastAsia="Calibri" w:hAnsi="Calibri" w:cs="Calibri"/>
        <w:color w:val="00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Default="008E0B6D" w:rsidP="00D46935">
    <w:pPr>
      <w:spacing w:before="240"/>
      <w:jc w:val="center"/>
      <w:rPr>
        <w:rFonts w:ascii="Arial" w:eastAsia="Arial" w:hAnsi="Arial" w:cs="Arial"/>
        <w:color w:val="000000"/>
        <w:sz w:val="20"/>
      </w:rPr>
    </w:pPr>
    <w:r>
      <w:rPr>
        <w:rFonts w:ascii="Arial" w:eastAsia="Arial" w:hAnsi="Arial" w:cs="Arial"/>
        <w:color w:val="000000"/>
        <w:sz w:val="20"/>
      </w:rPr>
      <w:t xml:space="preserve">Výroční zpráva o implementaci programu za rok 2017 </w:t>
    </w:r>
    <w:r w:rsidR="006B37DA">
      <w:rPr>
        <w:rFonts w:ascii="Arial" w:eastAsia="Arial" w:hAnsi="Arial" w:cs="Arial"/>
        <w:color w:val="000000"/>
        <w:sz w:val="20"/>
      </w:rPr>
      <w:t>- final</w:t>
    </w:r>
  </w:p>
  <w:tbl>
    <w:tblPr>
      <w:tblW w:w="0" w:type="auto"/>
      <w:tblInd w:w="7" w:type="dxa"/>
      <w:tblLayout w:type="fixed"/>
      <w:tblCellMar>
        <w:left w:w="0" w:type="dxa"/>
        <w:right w:w="0" w:type="dxa"/>
      </w:tblCellMar>
      <w:tblLook w:val="04A0" w:firstRow="1" w:lastRow="0" w:firstColumn="1" w:lastColumn="0" w:noHBand="0" w:noVBand="1"/>
    </w:tblPr>
    <w:tblGrid>
      <w:gridCol w:w="4955"/>
      <w:gridCol w:w="6328"/>
      <w:gridCol w:w="3593"/>
    </w:tblGrid>
    <w:tr w:rsidR="008E0B6D" w:rsidTr="004A0E17">
      <w:tc>
        <w:tcPr>
          <w:tcW w:w="4955" w:type="dxa"/>
          <w:shd w:val="clear" w:color="auto" w:fill="FFFFFF"/>
          <w:vAlign w:val="center"/>
        </w:tcPr>
        <w:p w:rsidR="008E0B6D" w:rsidRDefault="008E0B6D">
          <w:pPr>
            <w:tabs>
              <w:tab w:val="center" w:pos="4644"/>
              <w:tab w:val="right" w:pos="9180"/>
            </w:tabs>
            <w:ind w:left="108" w:right="108"/>
            <w:rPr>
              <w:rFonts w:ascii="Calibri" w:eastAsia="Calibri" w:hAnsi="Calibri" w:cs="Calibri"/>
              <w:color w:val="000000"/>
            </w:rPr>
          </w:pPr>
        </w:p>
      </w:tc>
      <w:tc>
        <w:tcPr>
          <w:tcW w:w="6328" w:type="dxa"/>
          <w:shd w:val="clear" w:color="auto" w:fill="FFFFFF"/>
          <w:vAlign w:val="center"/>
        </w:tcPr>
        <w:p w:rsidR="008E0B6D" w:rsidRDefault="008E0B6D">
          <w:pPr>
            <w:tabs>
              <w:tab w:val="center" w:pos="4644"/>
              <w:tab w:val="right" w:pos="9180"/>
            </w:tabs>
            <w:ind w:left="43" w:right="108"/>
            <w:jc w:val="center"/>
            <w:rPr>
              <w:rFonts w:ascii="Calibri" w:eastAsia="Calibri" w:hAnsi="Calibri" w:cs="Calibri"/>
              <w:color w:val="000000"/>
            </w:rPr>
          </w:pPr>
        </w:p>
      </w:tc>
      <w:tc>
        <w:tcPr>
          <w:tcW w:w="3593" w:type="dxa"/>
          <w:shd w:val="clear" w:color="auto" w:fill="FFFFFF"/>
          <w:vAlign w:val="center"/>
        </w:tcPr>
        <w:p w:rsidR="008E0B6D" w:rsidRDefault="008E0B6D">
          <w:pPr>
            <w:tabs>
              <w:tab w:val="center" w:pos="4644"/>
              <w:tab w:val="right" w:pos="9180"/>
            </w:tabs>
            <w:ind w:left="282" w:right="108"/>
            <w:jc w:val="right"/>
            <w:rPr>
              <w:rFonts w:ascii="Calibri" w:eastAsia="Calibri" w:hAnsi="Calibri" w:cs="Calibri"/>
              <w:color w:val="000000"/>
            </w:rPr>
          </w:pPr>
        </w:p>
      </w:tc>
    </w:tr>
  </w:tbl>
  <w:p w:rsidR="008E0B6D" w:rsidRDefault="008E0B6D">
    <w:pPr>
      <w:tabs>
        <w:tab w:val="center" w:pos="4644"/>
        <w:tab w:val="right" w:pos="9180"/>
      </w:tabs>
      <w:ind w:left="115" w:right="106"/>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812ADD">
      <w:rPr>
        <w:rFonts w:ascii="Calibri" w:eastAsia="Calibri" w:hAnsi="Calibri" w:cs="Calibri"/>
        <w:noProof/>
        <w:color w:val="000000"/>
      </w:rPr>
      <w:t>22</w:t>
    </w:r>
    <w:r>
      <w:rPr>
        <w:rFonts w:ascii="Calibri" w:eastAsia="Calibri" w:hAnsi="Calibri" w:cs="Calibri"/>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Default="008E0B6D" w:rsidP="00D46935">
    <w:pPr>
      <w:spacing w:before="240"/>
      <w:jc w:val="center"/>
    </w:pPr>
    <w:r>
      <w:rPr>
        <w:rFonts w:ascii="Arial" w:eastAsia="Arial" w:hAnsi="Arial" w:cs="Arial"/>
        <w:color w:val="000000"/>
        <w:sz w:val="20"/>
      </w:rPr>
      <w:t xml:space="preserve">Výroční zpráva o implementaci programu za rok 2017 - </w:t>
    </w:r>
    <w:r w:rsidR="006B37DA">
      <w:rPr>
        <w:rFonts w:ascii="Arial" w:eastAsia="Arial" w:hAnsi="Arial" w:cs="Arial"/>
        <w:color w:val="000000"/>
        <w:sz w:val="20"/>
      </w:rPr>
      <w:t>final</w:t>
    </w:r>
  </w:p>
  <w:tbl>
    <w:tblPr>
      <w:tblW w:w="0" w:type="auto"/>
      <w:tblInd w:w="11" w:type="dxa"/>
      <w:tblLayout w:type="fixed"/>
      <w:tblCellMar>
        <w:left w:w="0" w:type="dxa"/>
        <w:right w:w="0" w:type="dxa"/>
      </w:tblCellMar>
      <w:tblLook w:val="04A0" w:firstRow="1" w:lastRow="0" w:firstColumn="1" w:lastColumn="0" w:noHBand="0" w:noVBand="1"/>
    </w:tblPr>
    <w:tblGrid>
      <w:gridCol w:w="3108"/>
      <w:gridCol w:w="2976"/>
      <w:gridCol w:w="3261"/>
    </w:tblGrid>
    <w:tr w:rsidR="008E0B6D" w:rsidTr="00D46935">
      <w:tc>
        <w:tcPr>
          <w:tcW w:w="3108" w:type="dxa"/>
          <w:shd w:val="clear" w:color="auto" w:fill="FFFFFF"/>
          <w:vAlign w:val="center"/>
        </w:tcPr>
        <w:p w:rsidR="008E0B6D" w:rsidRDefault="008E0B6D">
          <w:pPr>
            <w:tabs>
              <w:tab w:val="center" w:pos="4644"/>
              <w:tab w:val="right" w:pos="9180"/>
            </w:tabs>
            <w:ind w:left="108" w:right="108"/>
            <w:rPr>
              <w:rFonts w:ascii="Calibri" w:eastAsia="Calibri" w:hAnsi="Calibri" w:cs="Calibri"/>
              <w:color w:val="000000"/>
            </w:rPr>
          </w:pPr>
        </w:p>
      </w:tc>
      <w:tc>
        <w:tcPr>
          <w:tcW w:w="2976" w:type="dxa"/>
          <w:shd w:val="clear" w:color="auto" w:fill="FFFFFF"/>
          <w:vAlign w:val="center"/>
        </w:tcPr>
        <w:p w:rsidR="008E0B6D" w:rsidRDefault="008E0B6D">
          <w:pPr>
            <w:tabs>
              <w:tab w:val="center" w:pos="4644"/>
              <w:tab w:val="right" w:pos="9180"/>
            </w:tabs>
            <w:ind w:left="283" w:right="108"/>
            <w:jc w:val="center"/>
            <w:rPr>
              <w:rFonts w:ascii="Calibri" w:eastAsia="Calibri" w:hAnsi="Calibri" w:cs="Calibri"/>
              <w:color w:val="000000"/>
            </w:rPr>
          </w:pPr>
        </w:p>
      </w:tc>
      <w:tc>
        <w:tcPr>
          <w:tcW w:w="3261" w:type="dxa"/>
          <w:shd w:val="clear" w:color="auto" w:fill="FFFFFF"/>
          <w:vAlign w:val="center"/>
        </w:tcPr>
        <w:p w:rsidR="008E0B6D" w:rsidRDefault="008E0B6D">
          <w:pPr>
            <w:tabs>
              <w:tab w:val="center" w:pos="4644"/>
              <w:tab w:val="right" w:pos="9180"/>
            </w:tabs>
            <w:ind w:left="282" w:right="108"/>
            <w:jc w:val="right"/>
            <w:rPr>
              <w:rFonts w:ascii="Calibri" w:eastAsia="Calibri" w:hAnsi="Calibri" w:cs="Calibri"/>
              <w:color w:val="000000"/>
            </w:rPr>
          </w:pPr>
        </w:p>
      </w:tc>
    </w:tr>
  </w:tbl>
  <w:p w:rsidR="008E0B6D" w:rsidRDefault="008E0B6D">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812ADD">
      <w:rPr>
        <w:rFonts w:ascii="Calibri" w:eastAsia="Calibri" w:hAnsi="Calibri" w:cs="Calibri"/>
        <w:noProof/>
        <w:color w:val="000000"/>
      </w:rPr>
      <w:t>55</w:t>
    </w:r>
    <w:r>
      <w:rPr>
        <w:rFonts w:ascii="Calibri" w:eastAsia="Calibri" w:hAnsi="Calibri" w:cs="Calibri"/>
        <w:color w:val="00000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Default="008E0B6D" w:rsidP="00D46935">
    <w:pPr>
      <w:spacing w:before="240"/>
      <w:jc w:val="center"/>
      <w:rPr>
        <w:rFonts w:ascii="Arial" w:eastAsia="Arial" w:hAnsi="Arial" w:cs="Arial"/>
        <w:color w:val="000000"/>
        <w:sz w:val="20"/>
      </w:rPr>
    </w:pPr>
    <w:r>
      <w:rPr>
        <w:rFonts w:ascii="Arial" w:eastAsia="Arial" w:hAnsi="Arial" w:cs="Arial"/>
        <w:color w:val="000000"/>
        <w:sz w:val="20"/>
      </w:rPr>
      <w:t xml:space="preserve">Výroční zpráva o implementaci programu za rok 2017 - </w:t>
    </w:r>
    <w:r w:rsidR="006B37DA">
      <w:rPr>
        <w:rFonts w:ascii="Arial" w:eastAsia="Arial" w:hAnsi="Arial" w:cs="Arial"/>
        <w:color w:val="000000"/>
        <w:sz w:val="20"/>
      </w:rPr>
      <w:t>final</w:t>
    </w:r>
  </w:p>
  <w:tbl>
    <w:tblPr>
      <w:tblW w:w="0" w:type="auto"/>
      <w:tblInd w:w="7" w:type="dxa"/>
      <w:tblLayout w:type="fixed"/>
      <w:tblCellMar>
        <w:left w:w="0" w:type="dxa"/>
        <w:right w:w="0" w:type="dxa"/>
      </w:tblCellMar>
      <w:tblLook w:val="04A0" w:firstRow="1" w:lastRow="0" w:firstColumn="1" w:lastColumn="0" w:noHBand="0" w:noVBand="1"/>
    </w:tblPr>
    <w:tblGrid>
      <w:gridCol w:w="4671"/>
      <w:gridCol w:w="6328"/>
      <w:gridCol w:w="3593"/>
    </w:tblGrid>
    <w:tr w:rsidR="008E0B6D" w:rsidTr="00DA591F">
      <w:tc>
        <w:tcPr>
          <w:tcW w:w="4671" w:type="dxa"/>
          <w:shd w:val="clear" w:color="auto" w:fill="FFFFFF"/>
          <w:vAlign w:val="center"/>
        </w:tcPr>
        <w:p w:rsidR="008E0B6D" w:rsidRDefault="008E0B6D" w:rsidP="002F03E1">
          <w:pPr>
            <w:tabs>
              <w:tab w:val="center" w:pos="4644"/>
              <w:tab w:val="right" w:pos="9180"/>
            </w:tabs>
            <w:ind w:left="108" w:right="108"/>
            <w:rPr>
              <w:rFonts w:ascii="Calibri" w:eastAsia="Calibri" w:hAnsi="Calibri" w:cs="Calibri"/>
              <w:color w:val="000000"/>
            </w:rPr>
          </w:pPr>
        </w:p>
      </w:tc>
      <w:tc>
        <w:tcPr>
          <w:tcW w:w="6328" w:type="dxa"/>
          <w:shd w:val="clear" w:color="auto" w:fill="FFFFFF"/>
          <w:vAlign w:val="center"/>
        </w:tcPr>
        <w:p w:rsidR="008E0B6D" w:rsidRDefault="008E0B6D" w:rsidP="00DA591F">
          <w:pPr>
            <w:tabs>
              <w:tab w:val="center" w:pos="3323"/>
              <w:tab w:val="right" w:pos="9180"/>
            </w:tabs>
            <w:ind w:left="43" w:right="108"/>
            <w:jc w:val="center"/>
            <w:rPr>
              <w:rFonts w:ascii="Calibri" w:eastAsia="Calibri" w:hAnsi="Calibri" w:cs="Calibri"/>
              <w:color w:val="000000"/>
            </w:rPr>
          </w:pPr>
        </w:p>
      </w:tc>
      <w:tc>
        <w:tcPr>
          <w:tcW w:w="3593" w:type="dxa"/>
          <w:shd w:val="clear" w:color="auto" w:fill="FFFFFF"/>
          <w:vAlign w:val="center"/>
        </w:tcPr>
        <w:p w:rsidR="008E0B6D" w:rsidRDefault="008E0B6D" w:rsidP="002F03E1">
          <w:pPr>
            <w:tabs>
              <w:tab w:val="center" w:pos="4644"/>
              <w:tab w:val="right" w:pos="9180"/>
            </w:tabs>
            <w:ind w:left="282" w:right="108"/>
            <w:jc w:val="right"/>
            <w:rPr>
              <w:rFonts w:ascii="Calibri" w:eastAsia="Calibri" w:hAnsi="Calibri" w:cs="Calibri"/>
              <w:color w:val="000000"/>
            </w:rPr>
          </w:pPr>
        </w:p>
      </w:tc>
    </w:tr>
  </w:tbl>
  <w:p w:rsidR="008E0B6D" w:rsidRDefault="008E0B6D">
    <w:pPr>
      <w:tabs>
        <w:tab w:val="center" w:pos="4644"/>
        <w:tab w:val="right" w:pos="9180"/>
      </w:tabs>
      <w:ind w:left="119" w:right="121"/>
      <w:jc w:val="center"/>
    </w:pPr>
    <w:r>
      <w:rPr>
        <w:rFonts w:ascii="Calibri" w:eastAsia="Calibri" w:hAnsi="Calibri" w:cs="Calibri"/>
        <w:color w:val="000000"/>
      </w:rPr>
      <w:fldChar w:fldCharType="begin"/>
    </w:r>
    <w:r>
      <w:rPr>
        <w:rFonts w:ascii="Calibri" w:eastAsia="Calibri" w:hAnsi="Calibri" w:cs="Calibri"/>
        <w:color w:val="000000"/>
      </w:rPr>
      <w:instrText xml:space="preserve"> PAGE   \* MERGEFORMAT </w:instrText>
    </w:r>
    <w:r>
      <w:rPr>
        <w:rFonts w:ascii="Calibri" w:eastAsia="Calibri" w:hAnsi="Calibri" w:cs="Calibri"/>
        <w:color w:val="000000"/>
      </w:rPr>
      <w:fldChar w:fldCharType="separate"/>
    </w:r>
    <w:r w:rsidR="00812ADD">
      <w:rPr>
        <w:rFonts w:ascii="Calibri" w:eastAsia="Calibri" w:hAnsi="Calibri" w:cs="Calibri"/>
        <w:noProof/>
        <w:color w:val="000000"/>
      </w:rPr>
      <w:t>57</w:t>
    </w:r>
    <w:r>
      <w:rPr>
        <w:rFonts w:ascii="Calibri" w:eastAsia="Calibri" w:hAnsi="Calibri" w:cs="Calibri"/>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B6D" w:rsidRDefault="008E0B6D">
      <w:r>
        <w:separator/>
      </w:r>
    </w:p>
  </w:footnote>
  <w:footnote w:type="continuationSeparator" w:id="0">
    <w:p w:rsidR="008E0B6D" w:rsidRDefault="008E0B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Pr="00D46935" w:rsidRDefault="008E0B6D" w:rsidP="00D46935">
    <w:pPr>
      <w:tabs>
        <w:tab w:val="right" w:pos="14459"/>
      </w:tabs>
      <w:spacing w:after="240"/>
      <w:ind w:left="567" w:right="-119"/>
      <w:jc w:val="both"/>
      <w:rPr>
        <w:rFonts w:ascii="Arial" w:hAnsi="Arial" w:cs="Arial"/>
        <w:sz w:val="48"/>
      </w:rPr>
    </w:pPr>
    <w:r>
      <w:rPr>
        <w:noProof/>
        <w:lang w:val="cs-CZ" w:eastAsia="cs-CZ"/>
      </w:rPr>
      <w:drawing>
        <wp:anchor distT="0" distB="0" distL="114300" distR="114300" simplePos="0" relativeHeight="251656704" behindDoc="1" locked="0" layoutInCell="1" allowOverlap="1" wp14:anchorId="1AD593C0" wp14:editId="0E91DFA1">
          <wp:simplePos x="0" y="0"/>
          <wp:positionH relativeFrom="column">
            <wp:posOffset>4927600</wp:posOffset>
          </wp:positionH>
          <wp:positionV relativeFrom="paragraph">
            <wp:posOffset>20320</wp:posOffset>
          </wp:positionV>
          <wp:extent cx="714375" cy="714375"/>
          <wp:effectExtent l="0" t="0" r="9525" b="9525"/>
          <wp:wrapTight wrapText="bothSides">
            <wp:wrapPolygon edited="0">
              <wp:start x="0" y="0"/>
              <wp:lineTo x="0" y="21312"/>
              <wp:lineTo x="21312" y="21312"/>
              <wp:lineTo x="21312"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lang w:val="cs-CZ" w:eastAsia="cs-CZ"/>
      </w:rPr>
      <w:drawing>
        <wp:inline distT="0" distB="0" distL="0" distR="0" wp14:anchorId="0D3CE3C8" wp14:editId="73FB1D49">
          <wp:extent cx="3676650" cy="7239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l="5338" t="17824" r="2809" b="18803"/>
                  <a:stretch>
                    <a:fillRect/>
                  </a:stretch>
                </pic:blipFill>
                <pic:spPr bwMode="auto">
                  <a:xfrm>
                    <a:off x="0" y="0"/>
                    <a:ext cx="3676650" cy="723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Pr="00D46935" w:rsidRDefault="008E0B6D" w:rsidP="00D46935">
    <w:pPr>
      <w:tabs>
        <w:tab w:val="left" w:pos="2835"/>
        <w:tab w:val="right" w:pos="11340"/>
      </w:tabs>
      <w:spacing w:after="240"/>
      <w:ind w:left="567" w:right="-119"/>
      <w:jc w:val="both"/>
      <w:rPr>
        <w:rFonts w:ascii="Arial" w:hAnsi="Arial" w:cs="Arial"/>
        <w:sz w:val="48"/>
      </w:rPr>
    </w:pPr>
    <w:r>
      <w:rPr>
        <w:rFonts w:ascii="Arial" w:hAnsi="Arial" w:cs="Arial"/>
        <w:sz w:val="48"/>
      </w:rPr>
      <w:tab/>
    </w:r>
    <w:r>
      <w:rPr>
        <w:noProof/>
        <w:lang w:val="cs-CZ" w:eastAsia="cs-CZ"/>
      </w:rPr>
      <w:drawing>
        <wp:inline distT="0" distB="0" distL="0" distR="0" wp14:anchorId="16BBE959" wp14:editId="41F3B540">
          <wp:extent cx="3676650" cy="72390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5338" t="17824" r="2809" b="18803"/>
                  <a:stretch>
                    <a:fillRect/>
                  </a:stretch>
                </pic:blipFill>
                <pic:spPr bwMode="auto">
                  <a:xfrm>
                    <a:off x="0" y="0"/>
                    <a:ext cx="3676650" cy="723900"/>
                  </a:xfrm>
                  <a:prstGeom prst="rect">
                    <a:avLst/>
                  </a:prstGeom>
                  <a:noFill/>
                  <a:ln>
                    <a:noFill/>
                  </a:ln>
                </pic:spPr>
              </pic:pic>
            </a:graphicData>
          </a:graphic>
        </wp:inline>
      </w:drawing>
    </w:r>
    <w:r>
      <w:rPr>
        <w:rFonts w:ascii="Arial" w:hAnsi="Arial" w:cs="Arial"/>
        <w:sz w:val="48"/>
      </w:rPr>
      <w:tab/>
    </w:r>
    <w:r>
      <w:rPr>
        <w:noProof/>
        <w:lang w:val="cs-CZ" w:eastAsia="cs-CZ"/>
      </w:rPr>
      <w:drawing>
        <wp:inline distT="0" distB="0" distL="0" distR="0" wp14:anchorId="3D7D41C0" wp14:editId="09503300">
          <wp:extent cx="714375" cy="714375"/>
          <wp:effectExtent l="0" t="0" r="9525" b="9525"/>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Pr="002F03E1" w:rsidRDefault="008E0B6D" w:rsidP="00D46935">
    <w:pPr>
      <w:tabs>
        <w:tab w:val="right" w:pos="14459"/>
      </w:tabs>
      <w:spacing w:after="240"/>
      <w:ind w:left="567" w:right="-119"/>
      <w:jc w:val="both"/>
      <w:rPr>
        <w:rFonts w:ascii="Arial" w:hAnsi="Arial" w:cs="Arial"/>
        <w:sz w:val="48"/>
      </w:rPr>
    </w:pPr>
    <w:r>
      <w:rPr>
        <w:noProof/>
        <w:lang w:val="cs-CZ" w:eastAsia="cs-CZ"/>
      </w:rPr>
      <w:drawing>
        <wp:anchor distT="0" distB="0" distL="114300" distR="114300" simplePos="0" relativeHeight="251658752" behindDoc="1" locked="0" layoutInCell="1" allowOverlap="1" wp14:anchorId="64C14F14" wp14:editId="6703A86D">
          <wp:simplePos x="0" y="0"/>
          <wp:positionH relativeFrom="column">
            <wp:posOffset>4927600</wp:posOffset>
          </wp:positionH>
          <wp:positionV relativeFrom="paragraph">
            <wp:posOffset>20320</wp:posOffset>
          </wp:positionV>
          <wp:extent cx="714375" cy="714375"/>
          <wp:effectExtent l="0" t="0" r="9525" b="9525"/>
          <wp:wrapTight wrapText="bothSides">
            <wp:wrapPolygon edited="0">
              <wp:start x="0" y="0"/>
              <wp:lineTo x="0" y="21312"/>
              <wp:lineTo x="21312" y="21312"/>
              <wp:lineTo x="21312"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anchor>
      </w:drawing>
    </w:r>
    <w:r>
      <w:rPr>
        <w:noProof/>
        <w:lang w:val="cs-CZ" w:eastAsia="cs-CZ"/>
      </w:rPr>
      <w:drawing>
        <wp:inline distT="0" distB="0" distL="0" distR="0" wp14:anchorId="12614899" wp14:editId="392AD7BF">
          <wp:extent cx="3676650" cy="723900"/>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l="5338" t="17824" r="2809" b="18803"/>
                  <a:stretch>
                    <a:fillRect/>
                  </a:stretch>
                </pic:blipFill>
                <pic:spPr bwMode="auto">
                  <a:xfrm>
                    <a:off x="0" y="0"/>
                    <a:ext cx="3676650" cy="723900"/>
                  </a:xfrm>
                  <a:prstGeom prst="rect">
                    <a:avLst/>
                  </a:prstGeom>
                  <a:noFill/>
                  <a:ln>
                    <a:noFill/>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B6D" w:rsidRPr="00D46935" w:rsidRDefault="008E0B6D" w:rsidP="00D46935">
    <w:pPr>
      <w:tabs>
        <w:tab w:val="left" w:pos="2835"/>
        <w:tab w:val="right" w:pos="11340"/>
      </w:tabs>
      <w:spacing w:after="240"/>
      <w:ind w:left="567" w:right="-119"/>
      <w:jc w:val="both"/>
      <w:rPr>
        <w:rFonts w:ascii="Arial" w:hAnsi="Arial" w:cs="Arial"/>
        <w:sz w:val="48"/>
      </w:rPr>
    </w:pPr>
    <w:r>
      <w:rPr>
        <w:rFonts w:ascii="Arial" w:hAnsi="Arial" w:cs="Arial"/>
        <w:sz w:val="48"/>
      </w:rPr>
      <w:tab/>
    </w:r>
    <w:r>
      <w:rPr>
        <w:noProof/>
        <w:lang w:val="cs-CZ" w:eastAsia="cs-CZ"/>
      </w:rPr>
      <w:drawing>
        <wp:inline distT="0" distB="0" distL="0" distR="0" wp14:anchorId="1A5A22A9" wp14:editId="0EF071F5">
          <wp:extent cx="3676650" cy="723900"/>
          <wp:effectExtent l="0" t="0" r="0" b="0"/>
          <wp:docPr id="29" name="Obráze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l="5338" t="17824" r="2809" b="18803"/>
                  <a:stretch>
                    <a:fillRect/>
                  </a:stretch>
                </pic:blipFill>
                <pic:spPr bwMode="auto">
                  <a:xfrm>
                    <a:off x="0" y="0"/>
                    <a:ext cx="3676650" cy="723900"/>
                  </a:xfrm>
                  <a:prstGeom prst="rect">
                    <a:avLst/>
                  </a:prstGeom>
                  <a:noFill/>
                  <a:ln>
                    <a:noFill/>
                  </a:ln>
                </pic:spPr>
              </pic:pic>
            </a:graphicData>
          </a:graphic>
        </wp:inline>
      </w:drawing>
    </w:r>
    <w:r>
      <w:rPr>
        <w:rFonts w:ascii="Arial" w:hAnsi="Arial" w:cs="Arial"/>
        <w:sz w:val="48"/>
      </w:rPr>
      <w:tab/>
    </w:r>
    <w:r>
      <w:rPr>
        <w:noProof/>
        <w:lang w:val="cs-CZ" w:eastAsia="cs-CZ"/>
      </w:rPr>
      <w:drawing>
        <wp:inline distT="0" distB="0" distL="0" distR="0" wp14:anchorId="39507F33" wp14:editId="602C8E09">
          <wp:extent cx="714375" cy="714375"/>
          <wp:effectExtent l="0" t="0" r="9525" b="9525"/>
          <wp:docPr id="30"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02C1"/>
    <w:multiLevelType w:val="multilevel"/>
    <w:tmpl w:val="23829512"/>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abstractNum w:abstractNumId="1" w15:restartNumberingAfterBreak="0">
    <w:nsid w:val="1B635286"/>
    <w:multiLevelType w:val="hybridMultilevel"/>
    <w:tmpl w:val="40B02196"/>
    <w:lvl w:ilvl="0" w:tplc="D016657E">
      <w:start w:val="1"/>
      <w:numFmt w:val="bullet"/>
      <w:lvlText w:val="-"/>
      <w:lvlJc w:val="left"/>
      <w:pPr>
        <w:ind w:left="828" w:hanging="360"/>
      </w:pPr>
      <w:rPr>
        <w:rFonts w:ascii="Times New Roman" w:hAnsi="Times New Roman" w:cs="Times New Roman" w:hint="default"/>
        <w:color w:val="000000"/>
        <w:sz w:val="24"/>
      </w:rPr>
    </w:lvl>
    <w:lvl w:ilvl="1" w:tplc="264478D8">
      <w:start w:val="1"/>
      <w:numFmt w:val="bullet"/>
      <w:lvlText w:val="o"/>
      <w:lvlJc w:val="left"/>
      <w:pPr>
        <w:ind w:left="1548" w:hanging="360"/>
      </w:pPr>
      <w:rPr>
        <w:rFonts w:ascii="Courier New" w:eastAsia="Courier New" w:hAnsi="Courier New" w:cs="Courier New" w:hint="default"/>
        <w:color w:val="000000"/>
        <w:sz w:val="24"/>
      </w:rPr>
    </w:lvl>
    <w:lvl w:ilvl="2" w:tplc="7BE80A0A">
      <w:start w:val="1"/>
      <w:numFmt w:val="bullet"/>
      <w:lvlText w:val="-"/>
      <w:lvlJc w:val="left"/>
      <w:pPr>
        <w:ind w:left="2268" w:hanging="360"/>
      </w:pPr>
      <w:rPr>
        <w:rFonts w:ascii="Times New Roman" w:hAnsi="Times New Roman" w:cs="Times New Roman" w:hint="default"/>
        <w:color w:val="000000"/>
        <w:sz w:val="24"/>
      </w:rPr>
    </w:lvl>
    <w:lvl w:ilvl="3" w:tplc="678AA504">
      <w:start w:val="1"/>
      <w:numFmt w:val="bullet"/>
      <w:lvlText w:val="-"/>
      <w:lvlJc w:val="left"/>
      <w:pPr>
        <w:ind w:left="2988" w:hanging="360"/>
      </w:pPr>
      <w:rPr>
        <w:rFonts w:ascii="Times New Roman" w:hAnsi="Times New Roman" w:cs="Times New Roman" w:hint="default"/>
        <w:color w:val="000000"/>
        <w:sz w:val="24"/>
      </w:rPr>
    </w:lvl>
    <w:lvl w:ilvl="4" w:tplc="0CDC9122">
      <w:start w:val="1"/>
      <w:numFmt w:val="bullet"/>
      <w:lvlText w:val="-"/>
      <w:lvlJc w:val="left"/>
      <w:pPr>
        <w:ind w:left="3708" w:hanging="360"/>
      </w:pPr>
      <w:rPr>
        <w:rFonts w:ascii="Times New Roman" w:hAnsi="Times New Roman" w:cs="Times New Roman" w:hint="default"/>
        <w:color w:val="000000"/>
        <w:sz w:val="24"/>
      </w:rPr>
    </w:lvl>
    <w:lvl w:ilvl="5" w:tplc="675CAFEC">
      <w:start w:val="1"/>
      <w:numFmt w:val="bullet"/>
      <w:lvlText w:val="-"/>
      <w:lvlJc w:val="left"/>
      <w:pPr>
        <w:ind w:left="4428" w:hanging="360"/>
      </w:pPr>
      <w:rPr>
        <w:rFonts w:ascii="Times New Roman" w:hAnsi="Times New Roman" w:cs="Times New Roman" w:hint="default"/>
        <w:color w:val="000000"/>
        <w:sz w:val="24"/>
      </w:rPr>
    </w:lvl>
    <w:lvl w:ilvl="6" w:tplc="7B8E6B42">
      <w:start w:val="1"/>
      <w:numFmt w:val="bullet"/>
      <w:lvlText w:val="-"/>
      <w:lvlJc w:val="left"/>
      <w:pPr>
        <w:ind w:left="5148" w:hanging="360"/>
      </w:pPr>
      <w:rPr>
        <w:rFonts w:ascii="Times New Roman" w:hAnsi="Times New Roman" w:cs="Times New Roman" w:hint="default"/>
        <w:color w:val="000000"/>
        <w:sz w:val="24"/>
      </w:rPr>
    </w:lvl>
    <w:lvl w:ilvl="7" w:tplc="338A9F1C">
      <w:start w:val="1"/>
      <w:numFmt w:val="bullet"/>
      <w:lvlText w:val="-"/>
      <w:lvlJc w:val="left"/>
      <w:pPr>
        <w:ind w:left="5868" w:hanging="360"/>
      </w:pPr>
      <w:rPr>
        <w:rFonts w:ascii="Times New Roman" w:hAnsi="Times New Roman" w:cs="Times New Roman" w:hint="default"/>
        <w:color w:val="000000"/>
        <w:sz w:val="24"/>
      </w:rPr>
    </w:lvl>
    <w:lvl w:ilvl="8" w:tplc="6A665DE4">
      <w:start w:val="1"/>
      <w:numFmt w:val="bullet"/>
      <w:lvlText w:val="-"/>
      <w:lvlJc w:val="left"/>
      <w:pPr>
        <w:ind w:left="6588" w:hanging="360"/>
      </w:pPr>
      <w:rPr>
        <w:rFonts w:ascii="Times New Roman" w:hAnsi="Times New Roman" w:cs="Times New Roman" w:hint="default"/>
        <w:color w:val="000000"/>
        <w:sz w:val="24"/>
      </w:rPr>
    </w:lvl>
  </w:abstractNum>
  <w:abstractNum w:abstractNumId="2" w15:restartNumberingAfterBreak="0">
    <w:nsid w:val="35D159AC"/>
    <w:multiLevelType w:val="hybridMultilevel"/>
    <w:tmpl w:val="D2DCF1F2"/>
    <w:lvl w:ilvl="0" w:tplc="04050001">
      <w:start w:val="1"/>
      <w:numFmt w:val="bullet"/>
      <w:lvlText w:val=""/>
      <w:lvlJc w:val="left"/>
      <w:pPr>
        <w:ind w:left="839" w:hanging="360"/>
      </w:pPr>
      <w:rPr>
        <w:rFonts w:ascii="Symbol" w:hAnsi="Symbol"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3" w15:restartNumberingAfterBreak="0">
    <w:nsid w:val="44512413"/>
    <w:multiLevelType w:val="multilevel"/>
    <w:tmpl w:val="879AC2A2"/>
    <w:lvl w:ilvl="0">
      <w:start w:val="1"/>
      <w:numFmt w:val="decimal"/>
      <w:pStyle w:val="Nadpis1"/>
      <w:lvlText w:val="%1."/>
      <w:lvlJc w:val="left"/>
      <w:pPr>
        <w:ind w:left="468" w:hanging="360"/>
      </w:pPr>
      <w:rPr>
        <w:rFonts w:ascii="Arial" w:eastAsia="Arial" w:hAnsi="Arial" w:cs="Arial" w:hint="default"/>
        <w:b/>
        <w:bCs/>
        <w:color w:val="000000"/>
        <w:sz w:val="24"/>
      </w:rPr>
    </w:lvl>
    <w:lvl w:ilvl="1">
      <w:start w:val="1"/>
      <w:numFmt w:val="decimal"/>
      <w:pStyle w:val="Nadpis2"/>
      <w:lvlText w:val="%1.%2."/>
      <w:lvlJc w:val="left"/>
      <w:pPr>
        <w:ind w:left="533" w:hanging="425"/>
      </w:pPr>
      <w:rPr>
        <w:rFonts w:ascii="Arial" w:eastAsia="Arial" w:hAnsi="Arial" w:cs="Arial" w:hint="default"/>
        <w:b/>
        <w:bCs/>
        <w:color w:val="000000"/>
        <w:sz w:val="24"/>
      </w:rPr>
    </w:lvl>
    <w:lvl w:ilvl="2">
      <w:start w:val="1"/>
      <w:numFmt w:val="decimal"/>
      <w:lvlText w:val="%1.%2.%3."/>
      <w:lvlJc w:val="left"/>
      <w:pPr>
        <w:ind w:left="1332" w:hanging="504"/>
      </w:pPr>
      <w:rPr>
        <w:rFonts w:ascii="Calibri" w:eastAsia="Calibri" w:hAnsi="Calibri" w:cs="Calibri" w:hint="default"/>
        <w:color w:val="000000"/>
        <w:sz w:val="24"/>
      </w:rPr>
    </w:lvl>
    <w:lvl w:ilvl="3">
      <w:start w:val="1"/>
      <w:numFmt w:val="decimal"/>
      <w:lvlText w:val="%1.%2.%3.%4."/>
      <w:lvlJc w:val="left"/>
      <w:pPr>
        <w:ind w:left="1836" w:hanging="648"/>
      </w:pPr>
      <w:rPr>
        <w:rFonts w:ascii="Calibri" w:eastAsia="Calibri" w:hAnsi="Calibri" w:cs="Calibri" w:hint="default"/>
        <w:color w:val="000000"/>
        <w:sz w:val="24"/>
      </w:rPr>
    </w:lvl>
    <w:lvl w:ilvl="4">
      <w:start w:val="1"/>
      <w:numFmt w:val="decimal"/>
      <w:lvlText w:val="%1.%2.%3.%4.%5."/>
      <w:lvlJc w:val="left"/>
      <w:pPr>
        <w:ind w:left="2340" w:hanging="792"/>
      </w:pPr>
      <w:rPr>
        <w:rFonts w:ascii="Calibri" w:eastAsia="Calibri" w:hAnsi="Calibri" w:cs="Calibri" w:hint="default"/>
        <w:color w:val="000000"/>
        <w:sz w:val="24"/>
      </w:rPr>
    </w:lvl>
    <w:lvl w:ilvl="5">
      <w:start w:val="1"/>
      <w:numFmt w:val="decimal"/>
      <w:lvlText w:val="%1.%2.%3.%4.%5.%6."/>
      <w:lvlJc w:val="left"/>
      <w:pPr>
        <w:ind w:left="2844" w:hanging="936"/>
      </w:pPr>
      <w:rPr>
        <w:rFonts w:ascii="Calibri" w:eastAsia="Calibri" w:hAnsi="Calibri" w:cs="Calibri" w:hint="default"/>
        <w:color w:val="000000"/>
        <w:sz w:val="24"/>
      </w:rPr>
    </w:lvl>
    <w:lvl w:ilvl="6">
      <w:start w:val="1"/>
      <w:numFmt w:val="decimal"/>
      <w:lvlText w:val="%1.%2.%3.%4.%5.%6.%7."/>
      <w:lvlJc w:val="left"/>
      <w:pPr>
        <w:ind w:left="3348" w:hanging="1080"/>
      </w:pPr>
      <w:rPr>
        <w:rFonts w:ascii="Calibri" w:eastAsia="Calibri" w:hAnsi="Calibri" w:cs="Calibri" w:hint="default"/>
        <w:color w:val="000000"/>
        <w:sz w:val="24"/>
      </w:rPr>
    </w:lvl>
    <w:lvl w:ilvl="7">
      <w:start w:val="1"/>
      <w:numFmt w:val="decimal"/>
      <w:lvlText w:val="%1.%2.%3.%4.%5.%6.%7.%8."/>
      <w:lvlJc w:val="left"/>
      <w:pPr>
        <w:ind w:left="3852" w:hanging="1224"/>
      </w:pPr>
      <w:rPr>
        <w:rFonts w:ascii="Calibri" w:eastAsia="Calibri" w:hAnsi="Calibri" w:cs="Calibri" w:hint="default"/>
        <w:color w:val="000000"/>
        <w:sz w:val="24"/>
      </w:rPr>
    </w:lvl>
    <w:lvl w:ilvl="8">
      <w:start w:val="1"/>
      <w:numFmt w:val="decimal"/>
      <w:lvlText w:val="%1.%2.%3.%4.%5.%6.%7.%8.%9."/>
      <w:lvlJc w:val="left"/>
      <w:pPr>
        <w:ind w:left="4428" w:hanging="1440"/>
      </w:pPr>
      <w:rPr>
        <w:rFonts w:ascii="Calibri" w:eastAsia="Calibri" w:hAnsi="Calibri" w:cs="Calibri" w:hint="default"/>
        <w:color w:val="000000"/>
        <w:sz w:val="24"/>
      </w:rPr>
    </w:lvl>
  </w:abstractNum>
  <w:abstractNum w:abstractNumId="4" w15:restartNumberingAfterBreak="0">
    <w:nsid w:val="48C03505"/>
    <w:multiLevelType w:val="hybridMultilevel"/>
    <w:tmpl w:val="6FFA3FA4"/>
    <w:lvl w:ilvl="0" w:tplc="04050001">
      <w:start w:val="1"/>
      <w:numFmt w:val="bullet"/>
      <w:lvlText w:val=""/>
      <w:lvlJc w:val="left"/>
      <w:pPr>
        <w:ind w:left="839" w:hanging="360"/>
      </w:pPr>
      <w:rPr>
        <w:rFonts w:ascii="Symbol" w:hAnsi="Symbol"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5" w15:restartNumberingAfterBreak="0">
    <w:nsid w:val="661213AA"/>
    <w:multiLevelType w:val="hybridMultilevel"/>
    <w:tmpl w:val="42C4DCC0"/>
    <w:lvl w:ilvl="0" w:tplc="04050001">
      <w:start w:val="1"/>
      <w:numFmt w:val="bullet"/>
      <w:lvlText w:val=""/>
      <w:lvlJc w:val="left"/>
      <w:pPr>
        <w:ind w:left="839" w:hanging="360"/>
      </w:pPr>
      <w:rPr>
        <w:rFonts w:ascii="Symbol" w:hAnsi="Symbol" w:hint="default"/>
      </w:rPr>
    </w:lvl>
    <w:lvl w:ilvl="1" w:tplc="04050003" w:tentative="1">
      <w:start w:val="1"/>
      <w:numFmt w:val="bullet"/>
      <w:lvlText w:val="o"/>
      <w:lvlJc w:val="left"/>
      <w:pPr>
        <w:ind w:left="1559" w:hanging="360"/>
      </w:pPr>
      <w:rPr>
        <w:rFonts w:ascii="Courier New" w:hAnsi="Courier New" w:cs="Courier New" w:hint="default"/>
      </w:rPr>
    </w:lvl>
    <w:lvl w:ilvl="2" w:tplc="04050005" w:tentative="1">
      <w:start w:val="1"/>
      <w:numFmt w:val="bullet"/>
      <w:lvlText w:val=""/>
      <w:lvlJc w:val="left"/>
      <w:pPr>
        <w:ind w:left="2279" w:hanging="360"/>
      </w:pPr>
      <w:rPr>
        <w:rFonts w:ascii="Wingdings" w:hAnsi="Wingdings" w:hint="default"/>
      </w:rPr>
    </w:lvl>
    <w:lvl w:ilvl="3" w:tplc="04050001" w:tentative="1">
      <w:start w:val="1"/>
      <w:numFmt w:val="bullet"/>
      <w:lvlText w:val=""/>
      <w:lvlJc w:val="left"/>
      <w:pPr>
        <w:ind w:left="2999" w:hanging="360"/>
      </w:pPr>
      <w:rPr>
        <w:rFonts w:ascii="Symbol" w:hAnsi="Symbol" w:hint="default"/>
      </w:rPr>
    </w:lvl>
    <w:lvl w:ilvl="4" w:tplc="04050003" w:tentative="1">
      <w:start w:val="1"/>
      <w:numFmt w:val="bullet"/>
      <w:lvlText w:val="o"/>
      <w:lvlJc w:val="left"/>
      <w:pPr>
        <w:ind w:left="3719" w:hanging="360"/>
      </w:pPr>
      <w:rPr>
        <w:rFonts w:ascii="Courier New" w:hAnsi="Courier New" w:cs="Courier New" w:hint="default"/>
      </w:rPr>
    </w:lvl>
    <w:lvl w:ilvl="5" w:tplc="04050005" w:tentative="1">
      <w:start w:val="1"/>
      <w:numFmt w:val="bullet"/>
      <w:lvlText w:val=""/>
      <w:lvlJc w:val="left"/>
      <w:pPr>
        <w:ind w:left="4439" w:hanging="360"/>
      </w:pPr>
      <w:rPr>
        <w:rFonts w:ascii="Wingdings" w:hAnsi="Wingdings" w:hint="default"/>
      </w:rPr>
    </w:lvl>
    <w:lvl w:ilvl="6" w:tplc="04050001" w:tentative="1">
      <w:start w:val="1"/>
      <w:numFmt w:val="bullet"/>
      <w:lvlText w:val=""/>
      <w:lvlJc w:val="left"/>
      <w:pPr>
        <w:ind w:left="5159" w:hanging="360"/>
      </w:pPr>
      <w:rPr>
        <w:rFonts w:ascii="Symbol" w:hAnsi="Symbol" w:hint="default"/>
      </w:rPr>
    </w:lvl>
    <w:lvl w:ilvl="7" w:tplc="04050003" w:tentative="1">
      <w:start w:val="1"/>
      <w:numFmt w:val="bullet"/>
      <w:lvlText w:val="o"/>
      <w:lvlJc w:val="left"/>
      <w:pPr>
        <w:ind w:left="5879" w:hanging="360"/>
      </w:pPr>
      <w:rPr>
        <w:rFonts w:ascii="Courier New" w:hAnsi="Courier New" w:cs="Courier New" w:hint="default"/>
      </w:rPr>
    </w:lvl>
    <w:lvl w:ilvl="8" w:tplc="04050005" w:tentative="1">
      <w:start w:val="1"/>
      <w:numFmt w:val="bullet"/>
      <w:lvlText w:val=""/>
      <w:lvlJc w:val="left"/>
      <w:pPr>
        <w:ind w:left="6599" w:hanging="360"/>
      </w:pPr>
      <w:rPr>
        <w:rFonts w:ascii="Wingdings" w:hAnsi="Wingdings" w:hint="default"/>
      </w:rPr>
    </w:lvl>
  </w:abstractNum>
  <w:abstractNum w:abstractNumId="6" w15:restartNumberingAfterBreak="0">
    <w:nsid w:val="697037CA"/>
    <w:multiLevelType w:val="multilevel"/>
    <w:tmpl w:val="E0EEAF9A"/>
    <w:lvl w:ilvl="0">
      <w:start w:val="1"/>
      <w:numFmt w:val="decimal"/>
      <w:lvlText w:val="%1."/>
      <w:lvlJc w:val="left"/>
      <w:pPr>
        <w:ind w:left="468" w:hanging="360"/>
      </w:pPr>
      <w:rPr>
        <w:rFonts w:ascii="Calibri" w:eastAsia="Calibri" w:hAnsi="Calibri" w:cs="Calibri" w:hint="default"/>
        <w:color w:val="000000"/>
        <w:sz w:val="24"/>
      </w:rPr>
    </w:lvl>
    <w:lvl w:ilvl="1">
      <w:start w:val="1"/>
      <w:numFmt w:val="decimal"/>
      <w:lvlText w:val="3.%2"/>
      <w:lvlJc w:val="left"/>
      <w:pPr>
        <w:ind w:left="558" w:hanging="450"/>
      </w:pPr>
      <w:rPr>
        <w:rFonts w:ascii="Calibri" w:eastAsia="Calibri" w:hAnsi="Calibri" w:cs="Calibri" w:hint="default"/>
        <w:color w:val="000000"/>
        <w:sz w:val="24"/>
      </w:rPr>
    </w:lvl>
    <w:lvl w:ilvl="2">
      <w:start w:val="1"/>
      <w:numFmt w:val="decimal"/>
      <w:lvlText w:val="%1.%2.%3"/>
      <w:lvlJc w:val="left"/>
      <w:pPr>
        <w:ind w:left="828" w:hanging="720"/>
      </w:pPr>
      <w:rPr>
        <w:rFonts w:ascii="Calibri" w:eastAsia="Calibri" w:hAnsi="Calibri" w:cs="Calibri" w:hint="default"/>
        <w:color w:val="000000"/>
        <w:sz w:val="24"/>
      </w:rPr>
    </w:lvl>
    <w:lvl w:ilvl="3">
      <w:start w:val="1"/>
      <w:numFmt w:val="decimal"/>
      <w:lvlText w:val="%1.%2.%3.%4"/>
      <w:lvlJc w:val="left"/>
      <w:pPr>
        <w:ind w:left="828" w:hanging="720"/>
      </w:pPr>
      <w:rPr>
        <w:rFonts w:ascii="Calibri" w:eastAsia="Calibri" w:hAnsi="Calibri" w:cs="Calibri" w:hint="default"/>
        <w:color w:val="000000"/>
        <w:sz w:val="24"/>
      </w:rPr>
    </w:lvl>
    <w:lvl w:ilvl="4">
      <w:start w:val="1"/>
      <w:numFmt w:val="decimal"/>
      <w:lvlText w:val="%1.%2.%3.%4.%5"/>
      <w:lvlJc w:val="left"/>
      <w:pPr>
        <w:ind w:left="1188" w:hanging="1080"/>
      </w:pPr>
      <w:rPr>
        <w:rFonts w:ascii="Calibri" w:eastAsia="Calibri" w:hAnsi="Calibri" w:cs="Calibri" w:hint="default"/>
        <w:color w:val="000000"/>
        <w:sz w:val="24"/>
      </w:rPr>
    </w:lvl>
    <w:lvl w:ilvl="5">
      <w:start w:val="1"/>
      <w:numFmt w:val="decimal"/>
      <w:lvlText w:val="%1.%2.%3.%4.%5.%6"/>
      <w:lvlJc w:val="left"/>
      <w:pPr>
        <w:ind w:left="1188" w:hanging="1080"/>
      </w:pPr>
      <w:rPr>
        <w:rFonts w:ascii="Calibri" w:eastAsia="Calibri" w:hAnsi="Calibri" w:cs="Calibri" w:hint="default"/>
        <w:color w:val="000000"/>
        <w:sz w:val="24"/>
      </w:rPr>
    </w:lvl>
    <w:lvl w:ilvl="6">
      <w:start w:val="1"/>
      <w:numFmt w:val="decimal"/>
      <w:lvlText w:val="%1.%2.%3.%4.%5.%6.%7"/>
      <w:lvlJc w:val="left"/>
      <w:pPr>
        <w:ind w:left="1548" w:hanging="1440"/>
      </w:pPr>
      <w:rPr>
        <w:rFonts w:ascii="Calibri" w:eastAsia="Calibri" w:hAnsi="Calibri" w:cs="Calibri" w:hint="default"/>
        <w:color w:val="000000"/>
        <w:sz w:val="24"/>
      </w:rPr>
    </w:lvl>
    <w:lvl w:ilvl="7">
      <w:start w:val="1"/>
      <w:numFmt w:val="decimal"/>
      <w:lvlText w:val="%1.%2.%3.%4.%5.%6.%7.%8"/>
      <w:lvlJc w:val="left"/>
      <w:pPr>
        <w:ind w:left="1548" w:hanging="1440"/>
      </w:pPr>
      <w:rPr>
        <w:rFonts w:ascii="Calibri" w:eastAsia="Calibri" w:hAnsi="Calibri" w:cs="Calibri" w:hint="default"/>
        <w:color w:val="000000"/>
        <w:sz w:val="24"/>
      </w:rPr>
    </w:lvl>
    <w:lvl w:ilvl="8">
      <w:start w:val="1"/>
      <w:numFmt w:val="decimal"/>
      <w:lvlText w:val="%1.%2.%3.%4.%5.%6.%7.%8.%9"/>
      <w:lvlJc w:val="left"/>
      <w:pPr>
        <w:ind w:left="1908" w:hanging="1800"/>
      </w:pPr>
      <w:rPr>
        <w:rFonts w:ascii="Calibri" w:eastAsia="Calibri" w:hAnsi="Calibri" w:cs="Calibri" w:hint="default"/>
        <w:color w:val="000000"/>
        <w:sz w:val="24"/>
      </w:rPr>
    </w:lvl>
  </w:abstractNum>
  <w:num w:numId="1">
    <w:abstractNumId w:val="6"/>
  </w:num>
  <w:num w:numId="2">
    <w:abstractNumId w:val="0"/>
  </w:num>
  <w:num w:numId="3">
    <w:abstractNumId w:val="3"/>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0"/>
  <w:hyphenationZone w:val="425"/>
  <w:characterSpacingControl w:val="doNotCompress"/>
  <w:hdrShapeDefaults>
    <o:shapedefaults v:ext="edit" spidmax="2150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252"/>
    <w:rsid w:val="00026BEA"/>
    <w:rsid w:val="000C3E64"/>
    <w:rsid w:val="000E0327"/>
    <w:rsid w:val="000E7437"/>
    <w:rsid w:val="0016706B"/>
    <w:rsid w:val="001C658B"/>
    <w:rsid w:val="0020231C"/>
    <w:rsid w:val="002474E9"/>
    <w:rsid w:val="002A3F31"/>
    <w:rsid w:val="002A7E25"/>
    <w:rsid w:val="002F03E1"/>
    <w:rsid w:val="002F718E"/>
    <w:rsid w:val="00354F9D"/>
    <w:rsid w:val="00381BAA"/>
    <w:rsid w:val="00382097"/>
    <w:rsid w:val="003B123A"/>
    <w:rsid w:val="00457252"/>
    <w:rsid w:val="00493827"/>
    <w:rsid w:val="004A0E17"/>
    <w:rsid w:val="004C03FA"/>
    <w:rsid w:val="004D1364"/>
    <w:rsid w:val="00541464"/>
    <w:rsid w:val="00552960"/>
    <w:rsid w:val="00561741"/>
    <w:rsid w:val="005764B8"/>
    <w:rsid w:val="005F3C82"/>
    <w:rsid w:val="005F6434"/>
    <w:rsid w:val="006033BD"/>
    <w:rsid w:val="00630CEA"/>
    <w:rsid w:val="006321F4"/>
    <w:rsid w:val="006359FE"/>
    <w:rsid w:val="00684775"/>
    <w:rsid w:val="00697A5C"/>
    <w:rsid w:val="006B37DA"/>
    <w:rsid w:val="006B44C2"/>
    <w:rsid w:val="006C1BD7"/>
    <w:rsid w:val="007121CC"/>
    <w:rsid w:val="00733DB2"/>
    <w:rsid w:val="007414F1"/>
    <w:rsid w:val="00743145"/>
    <w:rsid w:val="00812ADD"/>
    <w:rsid w:val="00844251"/>
    <w:rsid w:val="008A5E11"/>
    <w:rsid w:val="008E0B6D"/>
    <w:rsid w:val="00943653"/>
    <w:rsid w:val="00990CEB"/>
    <w:rsid w:val="009C073F"/>
    <w:rsid w:val="00A1282C"/>
    <w:rsid w:val="00AF7E8D"/>
    <w:rsid w:val="00B45D41"/>
    <w:rsid w:val="00B506DA"/>
    <w:rsid w:val="00BB4746"/>
    <w:rsid w:val="00BD0E5D"/>
    <w:rsid w:val="00C31112"/>
    <w:rsid w:val="00C95719"/>
    <w:rsid w:val="00CD7CBD"/>
    <w:rsid w:val="00D11CA7"/>
    <w:rsid w:val="00D360C8"/>
    <w:rsid w:val="00D45FC2"/>
    <w:rsid w:val="00D46935"/>
    <w:rsid w:val="00D659C8"/>
    <w:rsid w:val="00DA591F"/>
    <w:rsid w:val="00DE04B3"/>
    <w:rsid w:val="00E74CC1"/>
    <w:rsid w:val="00E92182"/>
    <w:rsid w:val="00F76B18"/>
    <w:rsid w:val="00FD17A5"/>
    <w:rsid w:val="00FE4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5:docId w15:val="{C61A35DF-6E74-4774-BABD-5C4151129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743145"/>
    <w:pPr>
      <w:numPr>
        <w:numId w:val="3"/>
      </w:numPr>
      <w:tabs>
        <w:tab w:val="left" w:pos="675"/>
      </w:tabs>
      <w:spacing w:before="360" w:after="120"/>
      <w:ind w:left="465" w:hanging="357"/>
      <w:jc w:val="both"/>
      <w:outlineLvl w:val="0"/>
    </w:pPr>
    <w:rPr>
      <w:rFonts w:ascii="Arial" w:eastAsia="Arial" w:hAnsi="Arial" w:cs="Arial"/>
      <w:b/>
      <w:bCs/>
      <w:color w:val="000000"/>
      <w:sz w:val="24"/>
    </w:rPr>
  </w:style>
  <w:style w:type="paragraph" w:styleId="Nadpis2">
    <w:name w:val="heading 2"/>
    <w:basedOn w:val="Normln"/>
    <w:next w:val="Normln"/>
    <w:link w:val="Nadpis2Char"/>
    <w:uiPriority w:val="9"/>
    <w:unhideWhenUsed/>
    <w:qFormat/>
    <w:rsid w:val="00DA591F"/>
    <w:pPr>
      <w:keepNext/>
      <w:numPr>
        <w:ilvl w:val="1"/>
        <w:numId w:val="3"/>
      </w:numPr>
      <w:spacing w:before="120" w:after="120"/>
      <w:jc w:val="both"/>
      <w:outlineLvl w:val="1"/>
    </w:pPr>
    <w:rPr>
      <w:rFonts w:ascii="Arial" w:eastAsia="Arial" w:hAnsi="Arial" w:cs="Arial"/>
      <w:b/>
      <w:bCs/>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pPr>
      <w:ind w:left="720"/>
      <w:contextualSpacing/>
    </w:pPr>
  </w:style>
  <w:style w:type="paragraph" w:styleId="Zhlav">
    <w:name w:val="header"/>
    <w:basedOn w:val="Normln"/>
    <w:link w:val="ZhlavChar"/>
    <w:uiPriority w:val="99"/>
    <w:unhideWhenUsed/>
    <w:rsid w:val="00697A5C"/>
    <w:pPr>
      <w:tabs>
        <w:tab w:val="center" w:pos="4536"/>
        <w:tab w:val="right" w:pos="9072"/>
      </w:tabs>
    </w:pPr>
  </w:style>
  <w:style w:type="character" w:customStyle="1" w:styleId="ZhlavChar">
    <w:name w:val="Záhlaví Char"/>
    <w:basedOn w:val="Standardnpsmoodstavce"/>
    <w:link w:val="Zhlav"/>
    <w:uiPriority w:val="99"/>
    <w:rsid w:val="00697A5C"/>
  </w:style>
  <w:style w:type="paragraph" w:styleId="Zpat">
    <w:name w:val="footer"/>
    <w:basedOn w:val="Normln"/>
    <w:link w:val="ZpatChar"/>
    <w:uiPriority w:val="99"/>
    <w:unhideWhenUsed/>
    <w:rsid w:val="00697A5C"/>
    <w:pPr>
      <w:tabs>
        <w:tab w:val="center" w:pos="4536"/>
        <w:tab w:val="right" w:pos="9072"/>
      </w:tabs>
    </w:pPr>
  </w:style>
  <w:style w:type="character" w:customStyle="1" w:styleId="ZpatChar">
    <w:name w:val="Zápatí Char"/>
    <w:basedOn w:val="Standardnpsmoodstavce"/>
    <w:link w:val="Zpat"/>
    <w:uiPriority w:val="99"/>
    <w:rsid w:val="00697A5C"/>
  </w:style>
  <w:style w:type="character" w:customStyle="1" w:styleId="Nadpis1Char">
    <w:name w:val="Nadpis 1 Char"/>
    <w:basedOn w:val="Standardnpsmoodstavce"/>
    <w:link w:val="Nadpis1"/>
    <w:uiPriority w:val="9"/>
    <w:rsid w:val="00743145"/>
    <w:rPr>
      <w:rFonts w:ascii="Arial" w:eastAsia="Arial" w:hAnsi="Arial" w:cs="Arial"/>
      <w:b/>
      <w:bCs/>
      <w:color w:val="000000"/>
      <w:sz w:val="24"/>
    </w:rPr>
  </w:style>
  <w:style w:type="character" w:customStyle="1" w:styleId="Nadpis2Char">
    <w:name w:val="Nadpis 2 Char"/>
    <w:basedOn w:val="Standardnpsmoodstavce"/>
    <w:link w:val="Nadpis2"/>
    <w:uiPriority w:val="9"/>
    <w:rsid w:val="00DA591F"/>
    <w:rPr>
      <w:rFonts w:ascii="Arial" w:eastAsia="Arial" w:hAnsi="Arial" w:cs="Arial"/>
      <w:b/>
      <w:bCs/>
      <w:color w:val="000000"/>
      <w:sz w:val="24"/>
    </w:rPr>
  </w:style>
  <w:style w:type="paragraph" w:styleId="Nadpisobsahu">
    <w:name w:val="TOC Heading"/>
    <w:basedOn w:val="Nadpis1"/>
    <w:next w:val="Normln"/>
    <w:uiPriority w:val="39"/>
    <w:unhideWhenUsed/>
    <w:qFormat/>
    <w:rsid w:val="00FE46D8"/>
    <w:pPr>
      <w:keepNext/>
      <w:keepLines/>
      <w:numPr>
        <w:numId w:val="0"/>
      </w:numPr>
      <w:tabs>
        <w:tab w:val="clear" w:pos="675"/>
      </w:tab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lang w:val="cs-CZ" w:eastAsia="cs-CZ"/>
    </w:rPr>
  </w:style>
  <w:style w:type="paragraph" w:styleId="Obsah1">
    <w:name w:val="toc 1"/>
    <w:basedOn w:val="Normln"/>
    <w:next w:val="Normln"/>
    <w:autoRedefine/>
    <w:uiPriority w:val="39"/>
    <w:unhideWhenUsed/>
    <w:rsid w:val="008A5E11"/>
    <w:pPr>
      <w:tabs>
        <w:tab w:val="left" w:pos="709"/>
        <w:tab w:val="right" w:leader="dot" w:pos="9050"/>
      </w:tabs>
      <w:spacing w:after="100"/>
      <w:ind w:left="709" w:hanging="709"/>
    </w:pPr>
  </w:style>
  <w:style w:type="paragraph" w:styleId="Obsah2">
    <w:name w:val="toc 2"/>
    <w:basedOn w:val="Normln"/>
    <w:next w:val="Normln"/>
    <w:autoRedefine/>
    <w:uiPriority w:val="39"/>
    <w:unhideWhenUsed/>
    <w:rsid w:val="008A5E11"/>
    <w:pPr>
      <w:tabs>
        <w:tab w:val="left" w:pos="880"/>
        <w:tab w:val="right" w:leader="dot" w:pos="9050"/>
      </w:tabs>
      <w:spacing w:after="100"/>
      <w:ind w:left="709" w:hanging="709"/>
    </w:pPr>
  </w:style>
  <w:style w:type="character" w:styleId="Hypertextovodkaz">
    <w:name w:val="Hyperlink"/>
    <w:basedOn w:val="Standardnpsmoodstavce"/>
    <w:uiPriority w:val="99"/>
    <w:unhideWhenUsed/>
    <w:rsid w:val="00FE46D8"/>
    <w:rPr>
      <w:color w:val="0000FF" w:themeColor="hyperlink"/>
      <w:u w:val="single"/>
    </w:rPr>
  </w:style>
  <w:style w:type="character" w:styleId="Odkaznakoment">
    <w:name w:val="annotation reference"/>
    <w:basedOn w:val="Standardnpsmoodstavce"/>
    <w:uiPriority w:val="99"/>
    <w:semiHidden/>
    <w:unhideWhenUsed/>
    <w:rsid w:val="00B506DA"/>
    <w:rPr>
      <w:sz w:val="16"/>
      <w:szCs w:val="16"/>
    </w:rPr>
  </w:style>
  <w:style w:type="paragraph" w:styleId="Textkomente">
    <w:name w:val="annotation text"/>
    <w:basedOn w:val="Normln"/>
    <w:link w:val="TextkomenteChar"/>
    <w:uiPriority w:val="99"/>
    <w:semiHidden/>
    <w:unhideWhenUsed/>
    <w:rsid w:val="00B506DA"/>
    <w:rPr>
      <w:sz w:val="20"/>
      <w:szCs w:val="20"/>
    </w:rPr>
  </w:style>
  <w:style w:type="character" w:customStyle="1" w:styleId="TextkomenteChar">
    <w:name w:val="Text komentáře Char"/>
    <w:basedOn w:val="Standardnpsmoodstavce"/>
    <w:link w:val="Textkomente"/>
    <w:uiPriority w:val="99"/>
    <w:semiHidden/>
    <w:rsid w:val="00B506DA"/>
    <w:rPr>
      <w:sz w:val="20"/>
      <w:szCs w:val="20"/>
    </w:rPr>
  </w:style>
  <w:style w:type="paragraph" w:styleId="Pedmtkomente">
    <w:name w:val="annotation subject"/>
    <w:basedOn w:val="Textkomente"/>
    <w:next w:val="Textkomente"/>
    <w:link w:val="PedmtkomenteChar"/>
    <w:uiPriority w:val="99"/>
    <w:semiHidden/>
    <w:unhideWhenUsed/>
    <w:rsid w:val="00B506DA"/>
    <w:rPr>
      <w:b/>
      <w:bCs/>
    </w:rPr>
  </w:style>
  <w:style w:type="character" w:customStyle="1" w:styleId="PedmtkomenteChar">
    <w:name w:val="Předmět komentáře Char"/>
    <w:basedOn w:val="TextkomenteChar"/>
    <w:link w:val="Pedmtkomente"/>
    <w:uiPriority w:val="99"/>
    <w:semiHidden/>
    <w:rsid w:val="00B506DA"/>
    <w:rPr>
      <w:b/>
      <w:bCs/>
      <w:sz w:val="20"/>
      <w:szCs w:val="20"/>
    </w:rPr>
  </w:style>
  <w:style w:type="paragraph" w:styleId="Textbubliny">
    <w:name w:val="Balloon Text"/>
    <w:basedOn w:val="Normln"/>
    <w:link w:val="TextbublinyChar"/>
    <w:uiPriority w:val="99"/>
    <w:semiHidden/>
    <w:unhideWhenUsed/>
    <w:rsid w:val="00B506D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506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17D0C-F3F5-4711-A024-89D482303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57</Pages>
  <Words>21110</Words>
  <Characters>124549</Characters>
  <Application>Microsoft Office Word</Application>
  <DocSecurity>0</DocSecurity>
  <Lines>1037</Lines>
  <Paragraphs>290</Paragraphs>
  <ScaleCrop>false</ScaleCrop>
  <HeadingPairs>
    <vt:vector size="2" baseType="variant">
      <vt:variant>
        <vt:lpstr>Název</vt:lpstr>
      </vt:variant>
      <vt:variant>
        <vt:i4>1</vt:i4>
      </vt:variant>
    </vt:vector>
  </HeadingPairs>
  <TitlesOfParts>
    <vt:vector size="1" baseType="lpstr">
      <vt:lpstr>RTF Template</vt:lpstr>
    </vt:vector>
  </TitlesOfParts>
  <Company>Oracle USA</Company>
  <LinksUpToDate>false</LinksUpToDate>
  <CharactersWithSpaces>145369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User</dc:creator>
  <cp:keywords/>
  <dc:description/>
  <cp:lastModifiedBy>Keřková Monika (MHMP, FON)</cp:lastModifiedBy>
  <cp:revision>5</cp:revision>
  <dcterms:created xsi:type="dcterms:W3CDTF">2019-03-25T07:21:00Z</dcterms:created>
  <dcterms:modified xsi:type="dcterms:W3CDTF">2019-03-25T08:38:00Z</dcterms:modified>
</cp:coreProperties>
</file>