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Výzva k předkládání žádostí o podporu</w:t>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Hlavní město Praha, odbor evropských fondů</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vyhlašuje dne 28. listopadu 2018</w:t>
      </w:r>
    </w:p>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44. výzvu k předkládání žádostí o podporu v rámci</w:t>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Operačního programu Praha – pól růstu ČR</w:t>
      </w:r>
    </w:p>
    <w:p w:rsidR="00000000" w:rsidDel="00000000" w:rsidP="00000000" w:rsidRDefault="00000000" w:rsidRPr="00000000" w14:paraId="00000006">
      <w:pPr>
        <w:spacing w:line="360" w:lineRule="auto"/>
        <w:rPr>
          <w:b w:val="1"/>
          <w:sz w:val="18"/>
          <w:szCs w:val="18"/>
        </w:rPr>
      </w:pPr>
      <w:r w:rsidDel="00000000" w:rsidR="00000000" w:rsidRPr="00000000">
        <w:rPr>
          <w:rtl w:val="0"/>
        </w:rPr>
      </w:r>
    </w:p>
    <w:p w:rsidR="00000000" w:rsidDel="00000000" w:rsidP="00000000" w:rsidRDefault="00000000" w:rsidRPr="00000000" w14:paraId="00000007">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Identifikace výzvy</w:t>
      </w:r>
    </w:p>
    <w:tbl>
      <w:tblPr>
        <w:tblStyle w:val="Table1"/>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662"/>
        <w:tblGridChange w:id="0">
          <w:tblGrid>
            <w:gridCol w:w="2660"/>
            <w:gridCol w:w="6662"/>
          </w:tblGrid>
        </w:tblGridChange>
      </w:tblGrid>
      <w:tr>
        <w:trPr>
          <w:trHeight w:val="535" w:hRule="atLeast"/>
        </w:trPr>
        <w:tc>
          <w:tcPr>
            <w:shd w:fill="bfbfbf" w:val="clear"/>
            <w:tcMar>
              <w:left w:w="108.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Prioritní osa</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Udržitelná mobilita a energetické úspory</w:t>
            </w:r>
          </w:p>
        </w:tc>
      </w:tr>
      <w:tr>
        <w:trPr>
          <w:trHeight w:val="478" w:hRule="atLeast"/>
        </w:trPr>
        <w:tc>
          <w:tcPr>
            <w:shd w:fill="bfbfbf" w:val="clear"/>
            <w:tcMar>
              <w:left w:w="108.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Investiční priorita</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Podpora nízkouhlíkových strategií pro všechny typy oblastí, zejména městské oblasti, včetně podpory udržitelné městské multimodální mobility a příslušných adaptačních opatření pro zmírnění změny klimatu</w:t>
            </w:r>
            <w:r w:rsidDel="00000000" w:rsidR="00000000" w:rsidRPr="00000000">
              <w:rPr>
                <w:rtl w:val="0"/>
              </w:rPr>
            </w:r>
          </w:p>
        </w:tc>
      </w:tr>
      <w:tr>
        <w:trPr>
          <w:trHeight w:val="535" w:hRule="atLeast"/>
        </w:trPr>
        <w:tc>
          <w:tcPr>
            <w:shd w:fill="bfbfbf" w:val="clear"/>
            <w:tcMar>
              <w:left w:w="108.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Specifický cíl</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Zvyšování atraktivity užívání městské veřejné dopravy</w:t>
            </w:r>
          </w:p>
        </w:tc>
      </w:tr>
      <w:tr>
        <w:trPr>
          <w:trHeight w:val="358" w:hRule="atLeast"/>
        </w:trPr>
        <w:tc>
          <w:tcPr>
            <w:shd w:fill="bfbfbf" w:val="clear"/>
            <w:tcMar>
              <w:left w:w="108.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Číslo výzvy</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44</w:t>
            </w:r>
          </w:p>
        </w:tc>
      </w:tr>
      <w:tr>
        <w:trPr>
          <w:trHeight w:val="340" w:hRule="atLeast"/>
        </w:trPr>
        <w:tc>
          <w:tcPr>
            <w:shd w:fill="bfbfbf" w:val="clear"/>
            <w:tcMar>
              <w:left w:w="108.0"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Název výzvy</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ITI Preference povrchové městské veřejné dopravy</w:t>
            </w:r>
          </w:p>
        </w:tc>
      </w:tr>
      <w:tr>
        <w:trPr>
          <w:trHeight w:val="403" w:hRule="atLeast"/>
        </w:trPr>
        <w:tc>
          <w:tcPr>
            <w:shd w:fill="bfbfbf" w:val="clear"/>
            <w:tcMar>
              <w:left w:w="108.0"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Druh výzvy</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Průběžná</w:t>
            </w:r>
          </w:p>
        </w:tc>
      </w:tr>
      <w:tr>
        <w:trPr>
          <w:trHeight w:val="1277" w:hRule="atLeast"/>
        </w:trPr>
        <w:tc>
          <w:tcPr>
            <w:shd w:fill="bfbfbf" w:val="clear"/>
            <w:tcMar>
              <w:left w:w="108.0" w:type="dxa"/>
            </w:tcM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Určení, zda se jedná o synergickou nebo komplementární výzvu</w:t>
            </w:r>
            <w:r w:rsidDel="00000000" w:rsidR="00000000" w:rsidRPr="00000000">
              <w:rPr>
                <w:rtl w:val="0"/>
              </w:rPr>
            </w:r>
          </w:p>
        </w:tc>
        <w:tc>
          <w:tcPr>
            <w:shd w:fill="auto" w:val="clear"/>
            <w:tcMar>
              <w:left w:w="108.0" w:type="dxa"/>
            </w:tcM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Komplementární: OP Doprava, prioritní osa 1 Modernizace železniční sítě TEN-T, prioritní osa 2 Výstavba a modernizace dálniční a silniční sítě TEN-T; OP Podnikání a inovace pro konkurenceschopnost, prioritní osa 3 Efektivnější nakládání energií; IROP, prioritní osa 1 Konkurenceschopné, dostupné a bezpečné regiony</w:t>
            </w:r>
          </w:p>
        </w:tc>
      </w:tr>
      <w:tr>
        <w:trPr>
          <w:trHeight w:val="466" w:hRule="atLeast"/>
        </w:trPr>
        <w:tc>
          <w:tcPr>
            <w:shd w:fill="bfbfbf" w:val="clear"/>
            <w:tcMar>
              <w:left w:w="108.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 hodnocení</w:t>
            </w:r>
          </w:p>
        </w:tc>
        <w:tc>
          <w:tcPr>
            <w:shd w:fill="auto" w:val="clear"/>
            <w:tcMar>
              <w:left w:w="108.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Jednokolový</w:t>
            </w:r>
            <w:r w:rsidDel="00000000" w:rsidR="00000000" w:rsidRPr="00000000">
              <w:rPr>
                <w:rtl w:val="0"/>
              </w:rPr>
            </w:r>
          </w:p>
        </w:tc>
      </w:tr>
      <w:tr>
        <w:trPr>
          <w:trHeight w:val="466" w:hRule="atLeast"/>
        </w:trPr>
        <w:tc>
          <w:tcPr>
            <w:shd w:fill="bfbfbf" w:val="clear"/>
            <w:tcMar>
              <w:left w:w="108.0" w:type="dxa"/>
            </w:tcM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Upozornění</w:t>
            </w:r>
          </w:p>
        </w:tc>
        <w:tc>
          <w:tcPr>
            <w:shd w:fill="auto" w:val="clear"/>
            <w:tcMar>
              <w:left w:w="108.0" w:type="dxa"/>
            </w:tcM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Lze předkládat pouze žádosti o podporu projednané Řídicím výborem ITI, kterému budou předloženy na základě výzvy k předkládání projektových záměrů vyhlášené nositelem ITI. Postup předkládání a schvalování integrovaných projektů ITI je uveden v Pravidlech pro žadatele a příjemce OP PPR, kap. 22 (viz bod 9.1. výzvy).</w:t>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Časové nastavení</w:t>
      </w:r>
    </w:p>
    <w:tbl>
      <w:tblPr>
        <w:tblStyle w:val="Table2"/>
        <w:tblW w:w="935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2"/>
        <w:gridCol w:w="4984"/>
        <w:tblGridChange w:id="0">
          <w:tblGrid>
            <w:gridCol w:w="4372"/>
            <w:gridCol w:w="4984"/>
          </w:tblGrid>
        </w:tblGridChange>
      </w:tblGrid>
      <w:tr>
        <w:trPr>
          <w:trHeight w:val="430" w:hRule="atLeast"/>
        </w:trPr>
        <w:tc>
          <w:tcPr>
            <w:shd w:fill="bfbfbf" w:val="clear"/>
            <w:tcMar>
              <w:lef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Datum vyhlášení výzvy</w:t>
            </w:r>
          </w:p>
        </w:tc>
        <w:tc>
          <w:tcPr>
            <w:shd w:fill="auto" w:val="clear"/>
            <w:tcMar>
              <w:left w:w="108.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listopadu 2018</w:t>
            </w:r>
          </w:p>
        </w:tc>
      </w:tr>
      <w:tr>
        <w:trPr>
          <w:trHeight w:val="550" w:hRule="atLeast"/>
        </w:trPr>
        <w:tc>
          <w:tcPr>
            <w:shd w:fill="bfbfbf" w:val="clear"/>
            <w:tcMar>
              <w:lef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34"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Datum zpřístupnění žádosti o podporu v monitorovacím systému MS2014+</w:t>
            </w:r>
          </w:p>
        </w:tc>
        <w:tc>
          <w:tcPr>
            <w:shd w:fill="auto" w:val="clear"/>
            <w:tcMar>
              <w:left w:w="108.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listopadu 2018, 9:00:00 hod.</w:t>
            </w:r>
          </w:p>
        </w:tc>
      </w:tr>
      <w:tr>
        <w:trPr>
          <w:trHeight w:val="455" w:hRule="atLeast"/>
        </w:trPr>
        <w:tc>
          <w:tcPr>
            <w:shd w:fill="bfbfbf" w:val="clear"/>
            <w:tcMar>
              <w:lef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Datum zahájení příjmu žádostí o podporu</w:t>
            </w:r>
          </w:p>
        </w:tc>
        <w:tc>
          <w:tcPr>
            <w:shd w:fill="auto" w:val="clear"/>
            <w:tcMar>
              <w:left w:w="108.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ledna 2019</w:t>
            </w:r>
          </w:p>
        </w:tc>
      </w:tr>
      <w:tr>
        <w:trPr>
          <w:trHeight w:val="448" w:hRule="atLeast"/>
        </w:trPr>
        <w:tc>
          <w:tcPr>
            <w:shd w:fill="bfbfbf" w:val="clear"/>
            <w:tcMar>
              <w:left w:w="108.0" w:type="dxa"/>
            </w:tcM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Datum ukončení příjmu žádostí o podporu</w:t>
            </w:r>
          </w:p>
        </w:tc>
        <w:tc>
          <w:tcPr>
            <w:shd w:fill="auto" w:val="clear"/>
            <w:tcMar>
              <w:left w:w="108.0" w:type="dxa"/>
            </w:tcM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27. října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16:00:00 hod.</w:t>
            </w:r>
          </w:p>
        </w:tc>
      </w:tr>
      <w:tr>
        <w:tc>
          <w:tcPr>
            <w:shd w:fill="bfbfbf" w:val="clear"/>
            <w:tcMar>
              <w:left w:w="108.0" w:type="dxa"/>
            </w:tcM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Nejzazší datum pro ukončení fyzické realizace projektu</w:t>
            </w:r>
          </w:p>
        </w:tc>
        <w:tc>
          <w:tcPr>
            <w:shd w:fill="auto" w:val="clear"/>
            <w:tcMar>
              <w:left w:w="108.0" w:type="dxa"/>
            </w:tcM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prosince 2023</w:t>
            </w:r>
          </w:p>
        </w:tc>
      </w:tr>
      <w:tr>
        <w:trPr>
          <w:trHeight w:val="709" w:hRule="atLeast"/>
        </w:trPr>
        <w:tc>
          <w:tcPr>
            <w:shd w:fill="bfbfbf" w:val="clear"/>
            <w:tcMar>
              <w:left w:w="108.0" w:type="dxa"/>
            </w:tcM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Předpokládané vyhlášení výsledků výzvy</w:t>
            </w:r>
          </w:p>
        </w:tc>
        <w:tc>
          <w:tcPr>
            <w:shd w:fill="auto" w:val="clear"/>
            <w:tcMar>
              <w:left w:w="108.0" w:type="dxa"/>
            </w:tcM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both"/>
              <w:rPr>
                <w:rFonts w:ascii="Arial" w:cs="Arial" w:eastAsia="Arial" w:hAnsi="Arial"/>
                <w:b w:val="0"/>
                <w:i w:val="0"/>
                <w:smallCaps w:val="0"/>
                <w:strike w:val="0"/>
                <w:color w:val="00000a"/>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Průběžně, dle pořadí předložených žádostí </w:t>
              <w:br w:type="textWrapping"/>
              <w:t xml:space="preserve">o podporu, nejpozději v dubnu 202</w:t>
            </w:r>
            <w:r w:rsidDel="00000000" w:rsidR="00000000" w:rsidRPr="00000000">
              <w:rPr>
                <w:color w:val="00000a"/>
                <w:rtl w:val="0"/>
              </w:rPr>
              <w:t xml:space="preserve">1</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w:t>
            </w:r>
          </w:p>
        </w:tc>
      </w:tr>
      <w:tr>
        <w:trPr>
          <w:trHeight w:val="694" w:hRule="atLeast"/>
        </w:trPr>
        <w:tc>
          <w:tcPr>
            <w:shd w:fill="bfbfbf" w:val="clear"/>
            <w:tcMar>
              <w:left w:w="108.0" w:type="dxa"/>
            </w:tcM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Zahájení realizace projektu</w:t>
            </w:r>
          </w:p>
        </w:tc>
        <w:tc>
          <w:tcPr>
            <w:shd w:fill="auto" w:val="clear"/>
            <w:tcMar>
              <w:left w:w="108.0" w:type="dxa"/>
            </w:tcM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57" w:right="57" w:hanging="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Nejdéle do 6 měsíců od schválení podpory Zastupitelstvem hl. m. Prahy.</w:t>
            </w:r>
          </w:p>
        </w:tc>
      </w:tr>
    </w:tbl>
    <w:p w:rsidR="00000000" w:rsidDel="00000000" w:rsidP="00000000" w:rsidRDefault="00000000" w:rsidRPr="00000000" w14:paraId="0000002A">
      <w:pPr>
        <w:spacing w:line="360" w:lineRule="auto"/>
        <w:rPr>
          <w:b w:val="1"/>
          <w:sz w:val="18"/>
          <w:szCs w:val="18"/>
        </w:rPr>
      </w:pPr>
      <w:r w:rsidDel="00000000" w:rsidR="00000000" w:rsidRPr="00000000">
        <w:rPr>
          <w:rtl w:val="0"/>
        </w:rPr>
      </w:r>
    </w:p>
    <w:p w:rsidR="00000000" w:rsidDel="00000000" w:rsidP="00000000" w:rsidRDefault="00000000" w:rsidRPr="00000000" w14:paraId="0000002B">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Informace o formě podpory</w:t>
      </w:r>
    </w:p>
    <w:p w:rsidR="00000000" w:rsidDel="00000000" w:rsidP="00000000" w:rsidRDefault="00000000" w:rsidRPr="00000000" w14:paraId="0000002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Alokace výzvy: </w:t>
      </w:r>
      <w:r w:rsidDel="00000000" w:rsidR="00000000" w:rsidRPr="00000000">
        <w:rPr>
          <w:rtl w:val="0"/>
        </w:rPr>
        <w:t xml:space="preserve">380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000 000 Kč</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Upřesnění zdrojů financování rozhodné alokace výzvy: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Výběr projektů bude probíhat s využitím částek celkových způsobilých výdajů (tj. včetně vlastních zdrojů žadatele).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 podporovaných operací: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integrovaný projekt</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Vymezení oprávněných žadatelů: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2"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Výzva je určena pouze pro žadatele, kteří mají svůj projektový záměr zkonzultován s Řídicím výborem ITI Pražské metropolitní oblasti. </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35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Hlavní město Praha</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35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Dopravní podnik hl. m. Prahy, a.s.</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35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Technická správa komunikací hl. m. Prahy, a.s.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Definice jednotlivých oprávněných žadatelů: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Hlavní město Praha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veřejnoprávní korporace, která má vlastní majetek, má vlastní příjmy vymezené zákonem č. 131/2000 Sb., o hlavním městě Praze, ve znění pozdějších předpisů, nebo jiným zvláštním zákonem a hospodaří za podmínek stanovených zákonem č. 131/2000 Sb., </w:t>
        <w:br w:type="textWrapping"/>
        <w:t xml:space="preserve">o hlavním městě Praze, ve znění pozdějších předpisů, nebo zvláštním zákonem podle vlastního rozpočtu.</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Dopravní podnik hl. m. Prahy, a.s.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Technická správa komunikací hl. m. Prahy, a.s.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Dne 19. června 2014 byla založena společnost Technická správa komunikací hl. m. Prahy, a. s. přijetím Stanov společnosti jediným zakladatelem, Hlavním městem Prahou, usnesením č. 40/19 Zastupitelstva hl. m. Prahy, a to v souladu </w:t>
        <w:br w:type="textWrapping"/>
        <w:t xml:space="preserve">s ustanovením § 8 a § 250 zákona o obchodních korporacích a § 59 zákona o Hlavním městě Praze. Dne 30. září 2014 byla akciová společnost Technická správa komunikací hlavního města Prahy zapsána do obchodního rejstříku.</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120" w:line="360" w:lineRule="auto"/>
        <w:ind w:left="992" w:right="0" w:hanging="62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Vymezení oprávněných partnerů: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Partnerství není v této výzvě přípustné.</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Míra podpory – rozpad zdrojů financování: </w:t>
      </w:r>
    </w:p>
    <w:tbl>
      <w:tblPr>
        <w:tblStyle w:val="Table3"/>
        <w:tblW w:w="903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1418"/>
        <w:gridCol w:w="1701"/>
        <w:gridCol w:w="1134"/>
        <w:tblGridChange w:id="0">
          <w:tblGrid>
            <w:gridCol w:w="4786"/>
            <w:gridCol w:w="1418"/>
            <w:gridCol w:w="1701"/>
            <w:gridCol w:w="1134"/>
          </w:tblGrid>
        </w:tblGridChange>
      </w:tblGrid>
      <w:tr>
        <w:trPr>
          <w:trHeight w:val="595" w:hRule="atLeast"/>
        </w:trPr>
        <w:tc>
          <w:tcPr>
            <w:shd w:fill="dfdfdf" w:val="clear"/>
            <w:vAlign w:val="center"/>
          </w:tcPr>
          <w:p w:rsidR="00000000" w:rsidDel="00000000" w:rsidP="00000000" w:rsidRDefault="00000000" w:rsidRPr="00000000" w14:paraId="0000003C">
            <w:pPr>
              <w:jc w:val="center"/>
              <w:rPr>
                <w:b w:val="1"/>
              </w:rPr>
            </w:pPr>
            <w:r w:rsidDel="00000000" w:rsidR="00000000" w:rsidRPr="00000000">
              <w:rPr>
                <w:b w:val="1"/>
                <w:rtl w:val="0"/>
              </w:rPr>
              <w:t xml:space="preserve">Typ příjemce</w:t>
            </w:r>
          </w:p>
        </w:tc>
        <w:tc>
          <w:tcPr>
            <w:shd w:fill="dfdfdf" w:val="clear"/>
            <w:vAlign w:val="center"/>
          </w:tcPr>
          <w:p w:rsidR="00000000" w:rsidDel="00000000" w:rsidP="00000000" w:rsidRDefault="00000000" w:rsidRPr="00000000" w14:paraId="0000003D">
            <w:pPr>
              <w:jc w:val="center"/>
              <w:rPr>
                <w:b w:val="1"/>
              </w:rPr>
            </w:pPr>
            <w:r w:rsidDel="00000000" w:rsidR="00000000" w:rsidRPr="00000000">
              <w:rPr>
                <w:b w:val="1"/>
                <w:rtl w:val="0"/>
              </w:rPr>
              <w:t xml:space="preserve">Podíl EU</w:t>
            </w:r>
          </w:p>
        </w:tc>
        <w:tc>
          <w:tcPr>
            <w:shd w:fill="dfdfdf" w:val="clear"/>
            <w:vAlign w:val="center"/>
          </w:tcPr>
          <w:p w:rsidR="00000000" w:rsidDel="00000000" w:rsidP="00000000" w:rsidRDefault="00000000" w:rsidRPr="00000000" w14:paraId="0000003E">
            <w:pPr>
              <w:jc w:val="center"/>
              <w:rPr>
                <w:b w:val="1"/>
              </w:rPr>
            </w:pPr>
            <w:r w:rsidDel="00000000" w:rsidR="00000000" w:rsidRPr="00000000">
              <w:rPr>
                <w:b w:val="1"/>
                <w:rtl w:val="0"/>
              </w:rPr>
              <w:t xml:space="preserve">Rozpočet hl. m. Prahy</w:t>
            </w:r>
          </w:p>
        </w:tc>
        <w:tc>
          <w:tcPr>
            <w:shd w:fill="dfdfdf" w:val="clear"/>
            <w:vAlign w:val="center"/>
          </w:tcPr>
          <w:p w:rsidR="00000000" w:rsidDel="00000000" w:rsidP="00000000" w:rsidRDefault="00000000" w:rsidRPr="00000000" w14:paraId="0000003F">
            <w:pPr>
              <w:jc w:val="center"/>
              <w:rPr>
                <w:b w:val="1"/>
              </w:rPr>
            </w:pPr>
            <w:r w:rsidDel="00000000" w:rsidR="00000000" w:rsidRPr="00000000">
              <w:rPr>
                <w:b w:val="1"/>
                <w:rtl w:val="0"/>
              </w:rPr>
              <w:t xml:space="preserve">Příjemce</w:t>
            </w:r>
          </w:p>
        </w:tc>
      </w:tr>
      <w:tr>
        <w:trPr>
          <w:trHeight w:val="420" w:hRule="atLeast"/>
        </w:trPr>
        <w:tc>
          <w:tcPr>
            <w:vAlign w:val="center"/>
          </w:tcPr>
          <w:p w:rsidR="00000000" w:rsidDel="00000000" w:rsidP="00000000" w:rsidRDefault="00000000" w:rsidRPr="00000000" w14:paraId="00000040">
            <w:pPr>
              <w:jc w:val="left"/>
              <w:rPr/>
            </w:pPr>
            <w:r w:rsidDel="00000000" w:rsidR="00000000" w:rsidRPr="00000000">
              <w:rPr>
                <w:rtl w:val="0"/>
              </w:rPr>
              <w:t xml:space="preserve">Hlavní město Praha</w:t>
            </w:r>
          </w:p>
        </w:tc>
        <w:tc>
          <w:tcPr>
            <w:vAlign w:val="center"/>
          </w:tcPr>
          <w:p w:rsidR="00000000" w:rsidDel="00000000" w:rsidP="00000000" w:rsidRDefault="00000000" w:rsidRPr="00000000" w14:paraId="00000041">
            <w:pPr>
              <w:jc w:val="center"/>
              <w:rPr/>
            </w:pPr>
            <w:r w:rsidDel="00000000" w:rsidR="00000000" w:rsidRPr="00000000">
              <w:rPr>
                <w:rtl w:val="0"/>
              </w:rPr>
              <w:t xml:space="preserve">50 %</w:t>
            </w:r>
          </w:p>
        </w:tc>
        <w:tc>
          <w:tcPr>
            <w:vAlign w:val="center"/>
          </w:tcPr>
          <w:p w:rsidR="00000000" w:rsidDel="00000000" w:rsidP="00000000" w:rsidRDefault="00000000" w:rsidRPr="00000000" w14:paraId="00000042">
            <w:pPr>
              <w:jc w:val="center"/>
              <w:rPr/>
            </w:pPr>
            <w:r w:rsidDel="00000000" w:rsidR="00000000" w:rsidRPr="00000000">
              <w:rPr>
                <w:rtl w:val="0"/>
              </w:rPr>
              <w:t xml:space="preserve">40 %</w:t>
            </w:r>
          </w:p>
        </w:tc>
        <w:tc>
          <w:tcPr>
            <w:vAlign w:val="center"/>
          </w:tcPr>
          <w:p w:rsidR="00000000" w:rsidDel="00000000" w:rsidP="00000000" w:rsidRDefault="00000000" w:rsidRPr="00000000" w14:paraId="00000043">
            <w:pPr>
              <w:jc w:val="center"/>
              <w:rPr/>
            </w:pPr>
            <w:r w:rsidDel="00000000" w:rsidR="00000000" w:rsidRPr="00000000">
              <w:rPr>
                <w:rtl w:val="0"/>
              </w:rPr>
              <w:t xml:space="preserve">10 %</w:t>
            </w:r>
          </w:p>
        </w:tc>
      </w:tr>
      <w:tr>
        <w:trPr>
          <w:trHeight w:val="538" w:hRule="atLeast"/>
        </w:trPr>
        <w:tc>
          <w:tcPr>
            <w:vAlign w:val="center"/>
          </w:tcPr>
          <w:p w:rsidR="00000000" w:rsidDel="00000000" w:rsidP="00000000" w:rsidRDefault="00000000" w:rsidRPr="00000000" w14:paraId="00000044">
            <w:pPr>
              <w:jc w:val="left"/>
              <w:rPr/>
            </w:pPr>
            <w:r w:rsidDel="00000000" w:rsidR="00000000" w:rsidRPr="00000000">
              <w:rPr>
                <w:rtl w:val="0"/>
              </w:rPr>
              <w:t xml:space="preserve">Dopravní podnik hl. m. Prahy, a.s. </w:t>
            </w:r>
          </w:p>
        </w:tc>
        <w:tc>
          <w:tcPr>
            <w:vAlign w:val="center"/>
          </w:tcPr>
          <w:p w:rsidR="00000000" w:rsidDel="00000000" w:rsidP="00000000" w:rsidRDefault="00000000" w:rsidRPr="00000000" w14:paraId="00000045">
            <w:pPr>
              <w:jc w:val="center"/>
              <w:rPr/>
            </w:pPr>
            <w:r w:rsidDel="00000000" w:rsidR="00000000" w:rsidRPr="00000000">
              <w:rPr>
                <w:rtl w:val="0"/>
              </w:rPr>
              <w:t xml:space="preserve">50 %</w:t>
            </w:r>
          </w:p>
        </w:tc>
        <w:tc>
          <w:tcPr>
            <w:vAlign w:val="center"/>
          </w:tcPr>
          <w:p w:rsidR="00000000" w:rsidDel="00000000" w:rsidP="00000000" w:rsidRDefault="00000000" w:rsidRPr="00000000" w14:paraId="00000046">
            <w:pPr>
              <w:jc w:val="center"/>
              <w:rPr/>
            </w:pPr>
            <w:r w:rsidDel="00000000" w:rsidR="00000000" w:rsidRPr="00000000">
              <w:rPr>
                <w:rtl w:val="0"/>
              </w:rPr>
              <w:t xml:space="preserve">35 %</w:t>
            </w:r>
          </w:p>
        </w:tc>
        <w:tc>
          <w:tcPr>
            <w:vAlign w:val="center"/>
          </w:tcPr>
          <w:p w:rsidR="00000000" w:rsidDel="00000000" w:rsidP="00000000" w:rsidRDefault="00000000" w:rsidRPr="00000000" w14:paraId="00000047">
            <w:pPr>
              <w:jc w:val="center"/>
              <w:rPr/>
            </w:pPr>
            <w:r w:rsidDel="00000000" w:rsidR="00000000" w:rsidRPr="00000000">
              <w:rPr>
                <w:rtl w:val="0"/>
              </w:rPr>
              <w:t xml:space="preserve">15 %</w:t>
            </w:r>
          </w:p>
        </w:tc>
      </w:tr>
      <w:tr>
        <w:trPr>
          <w:trHeight w:val="452" w:hRule="atLeast"/>
        </w:trPr>
        <w:tc>
          <w:tcPr>
            <w:vAlign w:val="center"/>
          </w:tcPr>
          <w:p w:rsidR="00000000" w:rsidDel="00000000" w:rsidP="00000000" w:rsidRDefault="00000000" w:rsidRPr="00000000" w14:paraId="00000048">
            <w:pPr>
              <w:jc w:val="left"/>
              <w:rPr/>
            </w:pPr>
            <w:r w:rsidDel="00000000" w:rsidR="00000000" w:rsidRPr="00000000">
              <w:rPr>
                <w:rtl w:val="0"/>
              </w:rPr>
              <w:t xml:space="preserve">Technická správa komunikací hl. m. Prahy, a.s.</w:t>
            </w:r>
          </w:p>
        </w:tc>
        <w:tc>
          <w:tcPr>
            <w:vAlign w:val="center"/>
          </w:tcPr>
          <w:p w:rsidR="00000000" w:rsidDel="00000000" w:rsidP="00000000" w:rsidRDefault="00000000" w:rsidRPr="00000000" w14:paraId="00000049">
            <w:pPr>
              <w:jc w:val="center"/>
              <w:rPr/>
            </w:pPr>
            <w:r w:rsidDel="00000000" w:rsidR="00000000" w:rsidRPr="00000000">
              <w:rPr>
                <w:rtl w:val="0"/>
              </w:rPr>
              <w:t xml:space="preserve">50 %</w:t>
            </w:r>
          </w:p>
        </w:tc>
        <w:tc>
          <w:tcPr>
            <w:vAlign w:val="center"/>
          </w:tcPr>
          <w:p w:rsidR="00000000" w:rsidDel="00000000" w:rsidP="00000000" w:rsidRDefault="00000000" w:rsidRPr="00000000" w14:paraId="0000004A">
            <w:pPr>
              <w:jc w:val="center"/>
              <w:rPr/>
            </w:pPr>
            <w:r w:rsidDel="00000000" w:rsidR="00000000" w:rsidRPr="00000000">
              <w:rPr>
                <w:rtl w:val="0"/>
              </w:rPr>
              <w:t xml:space="preserve">35 %</w:t>
            </w:r>
          </w:p>
        </w:tc>
        <w:tc>
          <w:tcPr>
            <w:vAlign w:val="center"/>
          </w:tcPr>
          <w:p w:rsidR="00000000" w:rsidDel="00000000" w:rsidP="00000000" w:rsidRDefault="00000000" w:rsidRPr="00000000" w14:paraId="0000004B">
            <w:pPr>
              <w:jc w:val="center"/>
              <w:rPr/>
            </w:pPr>
            <w:r w:rsidDel="00000000" w:rsidR="00000000" w:rsidRPr="00000000">
              <w:rPr>
                <w:rtl w:val="0"/>
              </w:rPr>
              <w:t xml:space="preserve">15 %</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E">
      <w:pPr>
        <w:spacing w:after="200" w:line="276" w:lineRule="auto"/>
        <w:jc w:val="left"/>
        <w:rPr>
          <w:b w:val="1"/>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Maximální a minimální výše celkových způsobilých výdajů projektu:</w:t>
      </w:r>
    </w:p>
    <w:p w:rsidR="00000000" w:rsidDel="00000000" w:rsidP="00000000" w:rsidRDefault="00000000" w:rsidRPr="00000000" w14:paraId="00000050">
      <w:pPr>
        <w:spacing w:line="360" w:lineRule="auto"/>
        <w:ind w:left="363"/>
        <w:rPr>
          <w:b w:val="1"/>
        </w:rPr>
      </w:pPr>
      <w:r w:rsidDel="00000000" w:rsidR="00000000" w:rsidRPr="00000000">
        <w:rPr>
          <w:b w:val="1"/>
          <w:rtl w:val="0"/>
        </w:rPr>
        <w:t xml:space="preserve">Minimální výše celkových způsobilých výdajů projektu: </w:t>
      </w:r>
      <w:r w:rsidDel="00000000" w:rsidR="00000000" w:rsidRPr="00000000">
        <w:rPr>
          <w:rtl w:val="0"/>
        </w:rPr>
        <w:t xml:space="preserve">100 000 Kč</w:t>
      </w:r>
      <w:r w:rsidDel="00000000" w:rsidR="00000000" w:rsidRPr="00000000">
        <w:rPr>
          <w:rtl w:val="0"/>
        </w:rPr>
      </w:r>
    </w:p>
    <w:p w:rsidR="00000000" w:rsidDel="00000000" w:rsidP="00000000" w:rsidRDefault="00000000" w:rsidRPr="00000000" w14:paraId="00000051">
      <w:pPr>
        <w:spacing w:line="360" w:lineRule="auto"/>
        <w:ind w:left="363"/>
        <w:rPr>
          <w:b w:val="1"/>
        </w:rPr>
      </w:pPr>
      <w:r w:rsidDel="00000000" w:rsidR="00000000" w:rsidRPr="00000000">
        <w:rPr>
          <w:b w:val="1"/>
          <w:rtl w:val="0"/>
        </w:rPr>
        <w:t xml:space="preserve">Maximální výše celkových způsobilých výdajů projektu: </w:t>
      </w:r>
      <w:r w:rsidDel="00000000" w:rsidR="00000000" w:rsidRPr="00000000">
        <w:rPr>
          <w:rtl w:val="0"/>
        </w:rPr>
        <w:t xml:space="preserve">380 000 000 Kč</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120" w:line="360" w:lineRule="auto"/>
        <w:ind w:left="992" w:right="0" w:hanging="62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financování: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57"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Prostředky jsou poskytovány teprve poté, co příjemce výdaj uhradil, prokázal a výdaj byl z úrovně ŘO schválen (viz kapitola 12.5 Finanční toky Pravidel pro žadatele a příjemce OP PPR – viz bod 9.1. výzvy). </w:t>
      </w:r>
      <w:r w:rsidDel="00000000" w:rsidR="00000000" w:rsidRPr="00000000">
        <w:rPr>
          <w:rtl w:val="0"/>
        </w:rPr>
      </w:r>
    </w:p>
    <w:p w:rsidR="00000000" w:rsidDel="00000000" w:rsidP="00000000" w:rsidRDefault="00000000" w:rsidRPr="00000000" w14:paraId="0000005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Informace o podmínkách veřejné podpory:</w:t>
      </w:r>
    </w:p>
    <w:p w:rsidR="00000000" w:rsidDel="00000000" w:rsidP="00000000" w:rsidRDefault="00000000" w:rsidRPr="00000000" w14:paraId="00000055">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224" w:right="0" w:hanging="504.0000000000000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Obecné podmínky</w:t>
      </w:r>
    </w:p>
    <w:p w:rsidR="00000000" w:rsidDel="00000000" w:rsidP="00000000" w:rsidRDefault="00000000" w:rsidRPr="00000000" w14:paraId="00000056">
      <w:pPr>
        <w:keepNext w:val="0"/>
        <w:keepLines w:val="0"/>
        <w:widowControl w:val="1"/>
        <w:numPr>
          <w:ilvl w:val="3"/>
          <w:numId w:val="12"/>
        </w:numPr>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Postup stanovení režimu podpory pro jednotlivé projekty</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Vyhlašovatel stanovil pro danou výzvu režimy podpory dle bodu 3.8.2 níže.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této výzvy nelze poskytnout podporu ve prospěch podniku, vůči němuž byl v návaznosti na rozhodnutí Evropské Komise (dále také jen “Komise“), jímž je podpora prohlášena za protiprávní a neslučitelnou s vnitřním trhem, vystaven inkasní příkaz.</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této výzvy nelze poskytnout podporu podniku v obtížích ve smyslu předpisů EU o veřejné podpoře.</w:t>
      </w:r>
    </w:p>
    <w:p w:rsidR="00000000" w:rsidDel="00000000" w:rsidP="00000000" w:rsidRDefault="00000000" w:rsidRPr="00000000" w14:paraId="0000005B">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Režimy podpory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této výzvy jsou připuštěny následující režimy podpory:</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Režim podpory nezakládající veřejnou podporu - z důvodů nenaplnění znaků veřejné podpory dle čl. 107 Smlouvy o fungování Evropské unie (dále také jen "SFEU");</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Režim veřejné podpory slučitelné s vnitřním trhem bez nutnosti notifikace (dále také jen „slučitelná podpora“) - služby obecného hospodářského zájmu dle Nařízení Evropského parlamentu a Rady (EU) č. 1370/2007 ze dne 23. října 2007, o veřejných službách v přepravě cestujících po železnici a silnici a o zrušení nařízení Rady (EHS) č. 1191/69 a č. 1107/70, Úř. věst. L 315, 3.12.2007, s. 1—13 (dále také jen "N1370/2007").</w:t>
      </w:r>
    </w:p>
    <w:p w:rsidR="00000000" w:rsidDel="00000000" w:rsidP="00000000" w:rsidRDefault="00000000" w:rsidRPr="00000000" w14:paraId="0000005F">
      <w:pPr>
        <w:keepNext w:val="0"/>
        <w:keepLines w:val="0"/>
        <w:widowControl w:val="1"/>
        <w:numPr>
          <w:ilvl w:val="3"/>
          <w:numId w:val="12"/>
        </w:numPr>
        <w:pBdr>
          <w:top w:space="0" w:sz="0" w:val="nil"/>
          <w:left w:space="0" w:sz="0" w:val="nil"/>
          <w:bottom w:space="0" w:sz="0" w:val="nil"/>
          <w:right w:space="0" w:sz="0" w:val="nil"/>
          <w:between w:space="0" w:sz="0" w:val="nil"/>
        </w:pBdr>
        <w:shd w:fill="auto" w:val="clear"/>
        <w:spacing w:after="0" w:before="120" w:line="360" w:lineRule="auto"/>
        <w:ind w:left="426"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Režim podpory nezakládající veřejnou podporu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5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tomto režimu lze poskytnout podporu v případě, že podpořený projekt nenaplňuje jeden ze znaků veřejné podpory dle čl. 107 SFEU (zejména podpora nehospodářských činností ve smyslu platných výkladových dokumentů Evropské Komise včetně podpory veřejné infrastruktury využívané výhradně nebo téměř výhradně pro nehospodářské činnosti, podpora projektu nemůže narušit hospodářskou soutěž nebo nemá dopad na obchod mezi členskými státy; opatření ryze lokální povahy apod.)</w:t>
      </w:r>
    </w:p>
    <w:p w:rsidR="00000000" w:rsidDel="00000000" w:rsidP="00000000" w:rsidRDefault="00000000" w:rsidRPr="00000000" w14:paraId="00000061">
      <w:pPr>
        <w:keepNext w:val="0"/>
        <w:keepLines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Režim podpory slučitelné se společným trhem - služby obecného hospodářského zájmu</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tomto režimu je možné poskytnout podporu projekty v oblasti kolejové a silniční přepravy cestujících dle N1370/2007 pro příjemce Dopravní podnik hl. m. Prahy.</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Věcné zaměření</w:t>
      </w:r>
    </w:p>
    <w:p w:rsidR="00000000" w:rsidDel="00000000" w:rsidP="00000000" w:rsidRDefault="00000000" w:rsidRPr="00000000" w14:paraId="0000006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Popis podporovaných aktivit: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Všechny podporované aktivity musí být vždy v souladu se schválenou Integrovanou strategií pro ITI Pražské metropolitní oblasti.</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vyjádření Řídícího výboru ITI nebude mít kladný charakter, nebude možné projekt podpořit.</w:t>
      </w:r>
    </w:p>
    <w:p w:rsidR="00000000" w:rsidDel="00000000" w:rsidP="00000000" w:rsidRDefault="00000000" w:rsidRPr="00000000" w14:paraId="00000068">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a"/>
          <w:sz w:val="20"/>
          <w:szCs w:val="20"/>
          <w:u w:val="none"/>
          <w:shd w:fill="auto" w:val="clear"/>
          <w:vertAlign w:val="baseline"/>
          <w:rtl w:val="0"/>
        </w:rPr>
        <w:t xml:space="preserve">Opatření pro preferenci povrchové městské veřejné dopravy v uličním provozu</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Opatření pro preferenci povrchové městské veřejné dopravy v uličním provozu: realizace nového oddělení tramvajového pásu od uličního provozu, realizace nebo vyznačení vyhrazených jízdních pruhů pro autobusy, úpravy světelných signalizačních zařízení pro preferenci tramvají nebo pro preferenci autobusů (s využitím systému aktivní detekce); k těmto opatřením mohou být v řešených úsecích případně doplňkově uplatněna opatření k rychlejšímu a bezpečnějšímu nástupu a výstupu na zastávkách tramvají a autobusů (tzv. vídeňské zastávky, zastávkové mysy, časové ostrůvky, zvýšení nástupních hran apod., přičemž součástí těchto doplňkových opatření mohou být také bezprostředně související úpravy pro zajištění chybějícího bezbariérového přístupu k řešeným zastávkám a také úpravy tohoto přístupu a řešených zastávek k usnadnění jejich používání osobami se specifickým tělesným postižením, zejména se zrakovým postižením), případně úpravy dopravního značení a úpravy režimu parkování směřující k plynulejšímu průjezdu tramvají nebo autobusů - uvedené aktivity nesmějí znamenat celkovou rekonstrukci tramvajové trati nebo komunikace; doplňkově může být také instalováno zařízení pro aktivní detekci v autobusech městské veřejné dopravy nasazovaných do provozu na řešených úsecích.</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Opatření pro preferenci povrchové městské veřejné dopravy musí být v souladu s aktuálním celoměstským projektem preference.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Minimální požadavky preferenčních opatření, které budou posuzovány v rámci věcného hodnocení</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8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zkrácení přepravního času na zlepšeném úseku (případně zlepšených úsecích v rámci projektu) v případě realizace aktivit, vedoucích ke zkrácení přepravního času: 0,5 min.;</w:t>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8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úspora nafty v provozu městské autobusové dopravy v rámci zlepšeného úseku (příp. zlepšených úseků v rámci projektu) s podporou preferenčních opatření pro autobusy: 200 litrů/rok; </w:t>
      </w:r>
    </w:p>
    <w:p w:rsidR="00000000" w:rsidDel="00000000" w:rsidP="00000000" w:rsidRDefault="00000000" w:rsidRPr="00000000" w14:paraId="000000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8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délka nových podélných dělících preferenčních opatření v případě realizace podélných dělících prvků: 0,05 km v rámci zlepšeného úseku (případně zlepšených úseků v rámci projektu);</w:t>
      </w:r>
    </w:p>
    <w:p w:rsidR="00000000" w:rsidDel="00000000" w:rsidP="00000000" w:rsidRDefault="00000000" w:rsidRPr="00000000" w14:paraId="000000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počet zařízení a služeb pro řízení dopravy v případě implementace/optimalizace zařízení: 1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zlepšeného úseku (případně zlepšených úseků v rámci projektu).</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Cílová skupina: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Obyvatelé a návštěvníci města</w:t>
      </w:r>
      <w:r w:rsidDel="00000000" w:rsidR="00000000" w:rsidRPr="00000000">
        <w:rPr>
          <w:rtl w:val="0"/>
        </w:rPr>
      </w:r>
    </w:p>
    <w:p w:rsidR="00000000" w:rsidDel="00000000" w:rsidP="00000000" w:rsidRDefault="00000000" w:rsidRPr="00000000" w14:paraId="00000075">
      <w:pPr>
        <w:tabs>
          <w:tab w:val="left" w:pos="1503"/>
        </w:tabs>
        <w:spacing w:after="120" w:lineRule="auto"/>
        <w:rPr>
          <w:b w:val="1"/>
          <w:sz w:val="4"/>
          <w:szCs w:val="4"/>
        </w:rPr>
      </w:pPr>
      <w:r w:rsidDel="00000000" w:rsidR="00000000" w:rsidRPr="00000000">
        <w:rPr>
          <w:rtl w:val="0"/>
        </w:rPr>
      </w:r>
    </w:p>
    <w:p w:rsidR="00000000" w:rsidDel="00000000" w:rsidP="00000000" w:rsidRDefault="00000000" w:rsidRPr="00000000" w14:paraId="0000007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Indikátory: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Každý žadatel si v žádosti o podporu zvolí všechny následující indikátory, které budou příjemcem povinně vykazovány a naplňovány: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povinné k výběru</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421.0" w:type="dxa"/>
        <w:jc w:val="left"/>
        <w:tblInd w:w="212.0" w:type="dxa"/>
        <w:tblLayout w:type="fixed"/>
        <w:tblLook w:val="0400"/>
      </w:tblPr>
      <w:tblGrid>
        <w:gridCol w:w="1273"/>
        <w:gridCol w:w="5302"/>
        <w:gridCol w:w="1487"/>
        <w:gridCol w:w="1359"/>
        <w:tblGridChange w:id="0">
          <w:tblGrid>
            <w:gridCol w:w="1273"/>
            <w:gridCol w:w="5302"/>
            <w:gridCol w:w="1487"/>
            <w:gridCol w:w="1359"/>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b w:val="1"/>
                <w:color w:val="000000"/>
              </w:rPr>
            </w:pPr>
            <w:r w:rsidDel="00000000" w:rsidR="00000000" w:rsidRPr="00000000">
              <w:rPr>
                <w:b w:val="1"/>
                <w:color w:val="000000"/>
                <w:rtl w:val="0"/>
              </w:rPr>
              <w:t xml:space="preserve">Kód indikátoru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jc w:val="center"/>
              <w:rPr>
                <w:b w:val="1"/>
                <w:color w:val="000000"/>
              </w:rPr>
            </w:pPr>
            <w:r w:rsidDel="00000000" w:rsidR="00000000" w:rsidRPr="00000000">
              <w:rPr>
                <w:b w:val="1"/>
                <w:color w:val="000000"/>
                <w:rtl w:val="0"/>
              </w:rPr>
              <w:t xml:space="preserve">Název indikátoru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jc w:val="center"/>
              <w:rPr>
                <w:b w:val="1"/>
                <w:color w:val="000000"/>
              </w:rPr>
            </w:pPr>
            <w:r w:rsidDel="00000000" w:rsidR="00000000" w:rsidRPr="00000000">
              <w:rPr>
                <w:b w:val="1"/>
                <w:color w:val="000000"/>
                <w:rtl w:val="0"/>
              </w:rPr>
              <w:t xml:space="preserve">Měrná jednotka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jc w:val="center"/>
              <w:rPr>
                <w:b w:val="1"/>
                <w:color w:val="000000"/>
              </w:rPr>
            </w:pPr>
            <w:r w:rsidDel="00000000" w:rsidR="00000000" w:rsidRPr="00000000">
              <w:rPr>
                <w:b w:val="1"/>
                <w:color w:val="000000"/>
                <w:rtl w:val="0"/>
              </w:rPr>
              <w:t xml:space="preserve">Typ indikátoru</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jc w:val="left"/>
              <w:rPr>
                <w:color w:val="000000"/>
              </w:rPr>
            </w:pPr>
            <w:r w:rsidDel="00000000" w:rsidR="00000000" w:rsidRPr="00000000">
              <w:rPr>
                <w:color w:val="000000"/>
                <w:rtl w:val="0"/>
              </w:rPr>
              <w:t xml:space="preserve">3 60 10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jc w:val="left"/>
              <w:rPr>
                <w:color w:val="000000"/>
              </w:rPr>
            </w:pPr>
            <w:r w:rsidDel="00000000" w:rsidR="00000000" w:rsidRPr="00000000">
              <w:rPr>
                <w:color w:val="000000"/>
                <w:rtl w:val="0"/>
              </w:rPr>
              <w:t xml:space="preserve">Odhadované roční snížení emisí skleníkových plynů</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jc w:val="left"/>
              <w:rPr>
                <w:color w:val="000000"/>
              </w:rPr>
            </w:pPr>
            <w:r w:rsidDel="00000000" w:rsidR="00000000" w:rsidRPr="00000000">
              <w:rPr>
                <w:color w:val="000000"/>
                <w:rtl w:val="0"/>
              </w:rPr>
              <w:t xml:space="preserve">t ekv. CO</w:t>
            </w:r>
            <w:r w:rsidDel="00000000" w:rsidR="00000000" w:rsidRPr="00000000">
              <w:rPr>
                <w:color w:val="000000"/>
                <w:vertAlign w:val="subscript"/>
                <w:rtl w:val="0"/>
              </w:rPr>
              <w:t xml:space="preserve">2</w:t>
            </w:r>
            <w:r w:rsidDel="00000000" w:rsidR="00000000" w:rsidRPr="00000000">
              <w:rPr>
                <w:color w:val="000000"/>
                <w:rtl w:val="0"/>
              </w:rPr>
              <w:t xml:space="preserve">/rok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jc w:val="left"/>
              <w:rPr>
                <w:color w:val="000000"/>
              </w:rPr>
            </w:pPr>
            <w:r w:rsidDel="00000000" w:rsidR="00000000" w:rsidRPr="00000000">
              <w:rPr>
                <w:color w:val="000000"/>
                <w:rtl w:val="0"/>
              </w:rPr>
              <w:t xml:space="preserve">výstup</w:t>
            </w:r>
          </w:p>
        </w:tc>
      </w:tr>
    </w:tb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povinné k naplnění</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421.0" w:type="dxa"/>
        <w:jc w:val="left"/>
        <w:tblInd w:w="212.0" w:type="dxa"/>
        <w:tblLayout w:type="fixed"/>
        <w:tblLook w:val="0400"/>
      </w:tblPr>
      <w:tblGrid>
        <w:gridCol w:w="1273"/>
        <w:gridCol w:w="5302"/>
        <w:gridCol w:w="1487"/>
        <w:gridCol w:w="1359"/>
        <w:tblGridChange w:id="0">
          <w:tblGrid>
            <w:gridCol w:w="1273"/>
            <w:gridCol w:w="5302"/>
            <w:gridCol w:w="1487"/>
            <w:gridCol w:w="1359"/>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jc w:val="center"/>
              <w:rPr>
                <w:b w:val="1"/>
                <w:color w:val="000000"/>
              </w:rPr>
            </w:pPr>
            <w:r w:rsidDel="00000000" w:rsidR="00000000" w:rsidRPr="00000000">
              <w:rPr>
                <w:b w:val="1"/>
                <w:color w:val="000000"/>
                <w:rtl w:val="0"/>
              </w:rPr>
              <w:t xml:space="preserve">Kód indikátoru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jc w:val="center"/>
              <w:rPr>
                <w:b w:val="1"/>
                <w:color w:val="000000"/>
              </w:rPr>
            </w:pPr>
            <w:r w:rsidDel="00000000" w:rsidR="00000000" w:rsidRPr="00000000">
              <w:rPr>
                <w:b w:val="1"/>
                <w:color w:val="000000"/>
                <w:rtl w:val="0"/>
              </w:rPr>
              <w:t xml:space="preserve">Název indikátoru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b w:val="1"/>
                <w:color w:val="000000"/>
              </w:rPr>
            </w:pPr>
            <w:r w:rsidDel="00000000" w:rsidR="00000000" w:rsidRPr="00000000">
              <w:rPr>
                <w:b w:val="1"/>
                <w:color w:val="000000"/>
                <w:rtl w:val="0"/>
              </w:rPr>
              <w:t xml:space="preserve">Měrná jednotka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b w:val="1"/>
                <w:color w:val="000000"/>
              </w:rPr>
            </w:pPr>
            <w:r w:rsidDel="00000000" w:rsidR="00000000" w:rsidRPr="00000000">
              <w:rPr>
                <w:b w:val="1"/>
                <w:color w:val="000000"/>
                <w:rtl w:val="0"/>
              </w:rPr>
              <w:t xml:space="preserve">Typ indikátoru</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jc w:val="left"/>
              <w:rPr>
                <w:color w:val="000000"/>
              </w:rPr>
            </w:pPr>
            <w:r w:rsidDel="00000000" w:rsidR="00000000" w:rsidRPr="00000000">
              <w:rPr>
                <w:color w:val="000000"/>
                <w:rtl w:val="0"/>
              </w:rPr>
              <w:t xml:space="preserve">7 49 01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jc w:val="left"/>
              <w:rPr>
                <w:color w:val="000000"/>
              </w:rPr>
            </w:pPr>
            <w:r w:rsidDel="00000000" w:rsidR="00000000" w:rsidRPr="00000000">
              <w:rPr>
                <w:color w:val="000000"/>
                <w:rtl w:val="0"/>
              </w:rPr>
              <w:t xml:space="preserve">Délka nových podélných dělících preferenčních opatření</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jc w:val="left"/>
              <w:rPr>
                <w:color w:val="000000"/>
              </w:rPr>
            </w:pPr>
            <w:r w:rsidDel="00000000" w:rsidR="00000000" w:rsidRPr="00000000">
              <w:rPr>
                <w:color w:val="000000"/>
                <w:rtl w:val="0"/>
              </w:rPr>
              <w:t xml:space="preserve">km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jc w:val="left"/>
              <w:rPr>
                <w:color w:val="000000"/>
              </w:rPr>
            </w:pPr>
            <w:r w:rsidDel="00000000" w:rsidR="00000000" w:rsidRPr="00000000">
              <w:rPr>
                <w:color w:val="000000"/>
                <w:rtl w:val="0"/>
              </w:rPr>
              <w:t xml:space="preserve">výstup</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jc w:val="left"/>
              <w:rPr>
                <w:color w:val="000000"/>
              </w:rPr>
            </w:pPr>
            <w:r w:rsidDel="00000000" w:rsidR="00000000" w:rsidRPr="00000000">
              <w:rPr>
                <w:color w:val="000000"/>
                <w:rtl w:val="0"/>
              </w:rPr>
              <w:t xml:space="preserve">7 04 01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jc w:val="left"/>
              <w:rPr>
                <w:color w:val="000000"/>
              </w:rPr>
            </w:pPr>
            <w:r w:rsidDel="00000000" w:rsidR="00000000" w:rsidRPr="00000000">
              <w:rPr>
                <w:color w:val="000000"/>
                <w:rtl w:val="0"/>
              </w:rPr>
              <w:t xml:space="preserve">Počet zařízení a služeb pro řízení dopravy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jc w:val="left"/>
              <w:rPr>
                <w:color w:val="000000"/>
              </w:rPr>
            </w:pPr>
            <w:r w:rsidDel="00000000" w:rsidR="00000000" w:rsidRPr="00000000">
              <w:rPr>
                <w:color w:val="000000"/>
                <w:rtl w:val="0"/>
              </w:rPr>
              <w:t xml:space="preserve">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jc w:val="left"/>
              <w:rPr>
                <w:color w:val="000000"/>
              </w:rPr>
            </w:pPr>
            <w:r w:rsidDel="00000000" w:rsidR="00000000" w:rsidRPr="00000000">
              <w:rPr>
                <w:color w:val="000000"/>
                <w:rtl w:val="0"/>
              </w:rPr>
              <w:t xml:space="preserve">výstup</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jc w:val="left"/>
              <w:rPr>
                <w:color w:val="000000"/>
              </w:rPr>
            </w:pPr>
            <w:r w:rsidDel="00000000" w:rsidR="00000000" w:rsidRPr="00000000">
              <w:rPr>
                <w:color w:val="000000"/>
                <w:rtl w:val="0"/>
              </w:rPr>
              <w:t xml:space="preserve">7 54 20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jc w:val="left"/>
              <w:rPr>
                <w:color w:val="000000"/>
              </w:rPr>
            </w:pPr>
            <w:r w:rsidDel="00000000" w:rsidR="00000000" w:rsidRPr="00000000">
              <w:rPr>
                <w:color w:val="000000"/>
                <w:rtl w:val="0"/>
              </w:rPr>
              <w:t xml:space="preserve">Úspora nafty v provozu městské autobusové dopravy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jc w:val="left"/>
              <w:rPr>
                <w:color w:val="000000"/>
              </w:rPr>
            </w:pPr>
            <w:r w:rsidDel="00000000" w:rsidR="00000000" w:rsidRPr="00000000">
              <w:rPr>
                <w:color w:val="000000"/>
                <w:rtl w:val="0"/>
              </w:rPr>
              <w:t xml:space="preserve">litr/rok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jc w:val="left"/>
              <w:rPr>
                <w:color w:val="000000"/>
              </w:rPr>
            </w:pPr>
            <w:r w:rsidDel="00000000" w:rsidR="00000000" w:rsidRPr="00000000">
              <w:rPr>
                <w:color w:val="000000"/>
                <w:rtl w:val="0"/>
              </w:rPr>
              <w:t xml:space="preserve">výsledek</w:t>
            </w:r>
          </w:p>
        </w:tc>
      </w:tr>
      <w:tr>
        <w:trPr>
          <w:trHeight w:val="3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jc w:val="left"/>
              <w:rPr>
                <w:color w:val="000000"/>
              </w:rPr>
            </w:pPr>
            <w:r w:rsidDel="00000000" w:rsidR="00000000" w:rsidRPr="00000000">
              <w:rPr>
                <w:color w:val="000000"/>
                <w:rtl w:val="0"/>
              </w:rPr>
              <w:t xml:space="preserve">7 54 10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jc w:val="left"/>
              <w:rPr>
                <w:color w:val="000000"/>
              </w:rPr>
            </w:pPr>
            <w:r w:rsidDel="00000000" w:rsidR="00000000" w:rsidRPr="00000000">
              <w:rPr>
                <w:color w:val="000000"/>
                <w:rtl w:val="0"/>
              </w:rPr>
              <w:t xml:space="preserve">Hodnota úspory času ve veřejné dopravě</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jc w:val="left"/>
              <w:rPr>
                <w:color w:val="000000"/>
              </w:rPr>
            </w:pPr>
            <w:r w:rsidDel="00000000" w:rsidR="00000000" w:rsidRPr="00000000">
              <w:rPr>
                <w:color w:val="000000"/>
                <w:rtl w:val="0"/>
              </w:rPr>
              <w:t xml:space="preserve">min.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jc w:val="left"/>
              <w:rPr>
                <w:color w:val="000000"/>
              </w:rPr>
            </w:pPr>
            <w:r w:rsidDel="00000000" w:rsidR="00000000" w:rsidRPr="00000000">
              <w:rPr>
                <w:color w:val="000000"/>
                <w:rtl w:val="0"/>
              </w:rPr>
              <w:t xml:space="preserve">výsledek</w:t>
            </w:r>
          </w:p>
        </w:tc>
      </w:tr>
    </w:tb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Územní zaměření</w:t>
      </w:r>
    </w:p>
    <w:p w:rsidR="00000000" w:rsidDel="00000000" w:rsidP="00000000" w:rsidRDefault="00000000" w:rsidRPr="00000000" w14:paraId="0000009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Přípustné místo realizace: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Hl. m. Praha</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F">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Informace o způsobilosti výdajů:</w:t>
      </w:r>
    </w:p>
    <w:p w:rsidR="00000000" w:rsidDel="00000000" w:rsidP="00000000" w:rsidRDefault="00000000" w:rsidRPr="00000000" w14:paraId="000000A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Věcná způsobilost: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této výzvy je možné financovat způsobilé výdaje relevantní pro EFRR projekty podrobně specifikované v Pravidlech pro žadatele a příjemce OP PPR, kap. 17 (viz bod 9.1. výzvy), s tím, že pro některé z nich jsou v této výzvě stanoveny závazné limity a dále jsou uvedeny výdaje, které jsou pro tuto výzvu nezpůsobilé. Dále jsou uvedeny příklady způsobilých výdajů relevantních pro tuto výzvu.</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Obecně platí, že budou financovány náklady přímo související s realizací vymezených aktivit (viz bod 4.1 výzvy), tzn. výdaje přímo související s realizací preferenčních opatření na zlepšených úsecích v rámci </w:t>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povrchové městské veřejné dopravy v uličním provozu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Mezi specifické způsobilé výdaje v této výzvě patří:</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realizace dopravního značení (svislé/vodorovné);</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stavební úpravy či rozšíření komunikace v souvislosti se zajištěním vyhrazené jízdní dráhy (oddělení tramvajového pásu, vyhrazený jízdní pruh pro autobusy) pro městskou hromadnou dopravu;</w:t>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příslušné stavební úpravy v souvislosti s realizací dopravních řešení na křižovatce;</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příslušné stavební úpravy v souvislosti s realizací zastávek městské hromadné dopravy včetně bezbariérového přístupu a realizace prvků pro nevidomé;</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zajištění přeložek vedení inženýrských sítí;</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realizace/modernizace světelných signalizačních zařízení, případně úpravy (dosazení detekce vozidel městské hromadné dopravy před světelnými signalizačními zařízeními, apod.);</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realizace/úprava signálního programu křižovatky;</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realizace dalších systémů řízení dopravy (signály v jízdních pruzích, světelné závory, inteligentní řízení dopravy za účelem preference městské veřejné dopravy);</w:t>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pořízení a instalace vybavení zastávek městské hromadné dopravy informačním systémem usnadňujícím orientaci v dopravě osobám se specifickým tělesným postižením, zejména zrakovým postižením;</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opatření zmírňující dopady na životní prostředí;</w:t>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náklady související se stavební činností (náklady na přípravu stavební činnosti, technický/stavební dozor, apod.).</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 způsobilé lze považovat také výdaje, které realizaci projektu předcházejí a jsou pro realizaci projektu nezbytné (např. výdaje spojené s přípravou projektové dokumentace).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57"/>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Specifické limity způsobilých výdajů pro EFRR projekty stanovené pro tuto výzvu:</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stanoven finanční limit max.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celkových způsobilých výdajů projektu pro osobní náklady, služby a správní a jiné poplatky přímo související s přípravou a řízením projektu, který se týká výdajů</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osobní náklady členů realizačního týmu, kteří se podílejí na managementu projektu v investiční fázi projektu (např. manažer projektu, finanční manažer, účetní projektu),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v době realizace projektu),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externí řízení projektu – služby související s řízením a administrací projektu zajišťované externími firmami (v souladu s pravidly pro zadávání veřejných zakázek) najatými příjemcem (zpracování studie proveditelnosti, žádosti o podporu, zpráv o realizaci projektu apod.),</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publicita projektu,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externí vedení účetnictví vztahující se k projektu,</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externí účetní audit,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zpracování znaleckých posudků,</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externí řízení veřejných zakázek - služby související s řízením a administrací veřejných zakázek v rámci projektu zajišťované externími firmami (v souladu s pravidly pro zadávání veřejných zakázek) najatými příjemci prostředků.</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Příklady způsobilých výdajů v této výzvě:</w:t>
      </w:r>
    </w:p>
    <w:p w:rsidR="00000000" w:rsidDel="00000000" w:rsidP="00000000" w:rsidRDefault="00000000" w:rsidRPr="00000000" w14:paraId="000000C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Odpisovaný hmotný majetek - 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hanging="72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Odpisovaný nehmotný majetek - nehmotný majetek s dobou použitelnosti delší než jeden rok, </w:t>
        <w:br w:type="textWrapping"/>
        <w:t xml:space="preserve">u kterých ocenění převyšuje částku 60 000 Kč (např. pořízení SW, know-how, patenty, licence) a přímo souvisí s realizací projektu</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Drobný neodpisovatelný hmotný a nehmotný majetek (např. PC sestava, software s pořizovací cenou pod 60 000 Kč) přímo související s realizací projektu</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této výzvy nejsou způsobilé níže uvedené výdaje:</w:t>
      </w:r>
    </w:p>
    <w:p w:rsidR="00000000" w:rsidDel="00000000" w:rsidP="00000000" w:rsidRDefault="00000000" w:rsidRPr="00000000" w14:paraId="000000C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Osobní náklady (vyjma osobních nákladů na členy realizačního týmu – management projektu viz výše)</w:t>
      </w:r>
    </w:p>
    <w:p w:rsidR="00000000" w:rsidDel="00000000" w:rsidP="00000000" w:rsidRDefault="00000000" w:rsidRPr="00000000" w14:paraId="000000D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Cestovné</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Věcné příspěvky (např. poskytnutí stavebních prací, zboží, služeb, neplacené dobrovolné práce apod.)</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Nákup stavby (budovy)</w:t>
      </w:r>
    </w:p>
    <w:p w:rsidR="00000000" w:rsidDel="00000000" w:rsidP="00000000" w:rsidRDefault="00000000" w:rsidRPr="00000000" w14:paraId="000000D3">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D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Časová způsobilost:</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Výdaje jsou způsobilé, jestliže vznikly od 1. ledna 2014 do 31. prosince 2023.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 způsobilé výdaje lze považovat výdaje, které:</w:t>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vznikly v průběhu realizace projektu, přičemž období realizace projektu (datum zahájení i datum ukončení realizace projektu) je přesně definováno ve Smlouvě </w:t>
        <w:br w:type="textWrapping"/>
        <w:t xml:space="preserve">o financování/Podmínkách realizace,</w:t>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realizaci předcházejí a jsou pro realizaci projektu nevyhnutelné (tj.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Realizace projektu nesmí být ukončena nebo plně provedena před předložením žádosti o podporu. Realizací projektu je myšleno období investiční fáze.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Informace o křížovém financování: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Křížové financování není v této výzvě povoleno.</w:t>
      </w:r>
      <w:r w:rsidDel="00000000" w:rsidR="00000000" w:rsidRPr="00000000">
        <w:rPr>
          <w:rtl w:val="0"/>
        </w:rPr>
      </w:r>
    </w:p>
    <w:p w:rsidR="00000000" w:rsidDel="00000000" w:rsidP="00000000" w:rsidRDefault="00000000" w:rsidRPr="00000000" w14:paraId="000000D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Informace o nepřímých nákladech: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Nepřímé náklady nejsou v této výzvě aplikovány.</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92"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F">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Náležitosti žádosti o podporu, způsob podání, možnost konzultací</w:t>
      </w:r>
    </w:p>
    <w:p w:rsidR="00000000" w:rsidDel="00000000" w:rsidP="00000000" w:rsidRDefault="00000000" w:rsidRPr="00000000" w14:paraId="000000E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Povinné přílohy:</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příjemce OP PPR, kap. 9.3 (viz bod 9.1. výzvy).</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Povinné přílohy společné pro všechny předkládané žádosti o podporu v této výzvě: </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6"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Studie proveditelnosti – pokyny ke zpracování této přílohy viz bod 9.1. výzvy</w:t>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6"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Doklady o právní subjektivitě žadatele</w:t>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6"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Informace o vlastnické a ovládací struktuře žadatele</w:t>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6"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Doklad na prokázání vlastnického, nebo jiného (vymezeného) práva k majetku (pokud je to relevantní)</w:t>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6"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Podklady pro posouzení finančního zdraví</w:t>
      </w:r>
    </w:p>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Projektová dokumentace (pokud je to relevantní)</w:t>
      </w:r>
    </w:p>
    <w:p w:rsidR="00000000" w:rsidDel="00000000" w:rsidP="00000000" w:rsidRDefault="00000000" w:rsidRPr="00000000" w14:paraId="000000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Rozpočet stavebních výdajů projektu (pokud je to relevantní)</w:t>
      </w:r>
    </w:p>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Územní souhlas, územní rozhodnutí a další dokumenty (dle zákona č. 183/2006 Sb., Stavební zákon v platném znění) (pokud je to relevantní)</w:t>
      </w:r>
    </w:p>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Stanovisko k posouzení vlivů na životní prostředí (pokud je to relevantní)</w:t>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Vyjádření k souladu s aktuálním celoměstským Projektem preference</w:t>
      </w:r>
    </w:p>
    <w:p w:rsidR="00000000" w:rsidDel="00000000" w:rsidP="00000000" w:rsidRDefault="00000000" w:rsidRPr="00000000" w14:paraId="000000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Vyjádření Řídicího výboru ITI o souladu/nesouladu projektového záměru s integrovanou strategií</w:t>
      </w:r>
    </w:p>
    <w:p w:rsidR="00000000" w:rsidDel="00000000" w:rsidP="00000000" w:rsidRDefault="00000000" w:rsidRPr="00000000" w14:paraId="000000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Čestné prohlášení žadatele o podporu o souladu žádosti o podporu s projektovým záměrem předloženým Řídicímu výboru ITI</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Informace o způsobu podání žádosti o podporu: </w:t>
      </w:r>
    </w:p>
    <w:p w:rsidR="00000000" w:rsidDel="00000000" w:rsidP="00000000" w:rsidRDefault="00000000" w:rsidRPr="00000000" w14:paraId="000000F2">
      <w:pPr>
        <w:ind w:left="362"/>
        <w:rPr>
          <w:sz w:val="10"/>
          <w:szCs w:val="10"/>
        </w:rPr>
      </w:pPr>
      <w:r w:rsidDel="00000000" w:rsidR="00000000" w:rsidRPr="00000000">
        <w:rPr>
          <w:color w:val="000000"/>
          <w:rtl w:val="0"/>
        </w:rPr>
        <w:t xml:space="preserve">Žádost o podporu musí být vyplněna a podána v elektronické formě prostřednictvím aplikace MS2014+, do které se vstupuje přes portál žadatele IS KP14+ na adrese </w:t>
      </w:r>
      <w:hyperlink r:id="rId8">
        <w:r w:rsidDel="00000000" w:rsidR="00000000" w:rsidRPr="00000000">
          <w:rPr>
            <w:color w:val="0000ff"/>
            <w:u w:val="single"/>
            <w:rtl w:val="0"/>
          </w:rPr>
          <w:t xml:space="preserve">https://mseu.mssf.cz/</w:t>
        </w:r>
      </w:hyperlink>
      <w:r w:rsidDel="00000000" w:rsidR="00000000" w:rsidRPr="00000000">
        <w:rPr>
          <w:color w:val="000000"/>
          <w:rtl w:val="0"/>
        </w:rPr>
        <w:t xml:space="preserve">. Při prvním vstupu do aplikace je nutné se zaregistrovat. Po provedení registrace se žadatel již může opakovaně přihlašovat do MS2014+ pomocí uživatelského jména a hesla. </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2"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4">
      <w:pPr>
        <w:ind w:left="362"/>
        <w:rPr>
          <w:color w:val="000000"/>
        </w:rPr>
      </w:pPr>
      <w:r w:rsidDel="00000000" w:rsidR="00000000" w:rsidRPr="00000000">
        <w:rPr>
          <w:color w:val="000000"/>
          <w:rtl w:val="0"/>
        </w:rPr>
        <w:t xml:space="preserve">Každá žádost o podporu je vázána na konkrétní výzvu. V aplikaci MS2014+ je přehled všech aktuálně vyhlášených a otevřených výzev. Žadatel vybere tuto výzvu a založí novou žádost o podporu.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2"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6">
      <w:pPr>
        <w:ind w:left="362"/>
        <w:rPr>
          <w:color w:val="000000"/>
        </w:rPr>
      </w:pPr>
      <w:r w:rsidDel="00000000" w:rsidR="00000000" w:rsidRPr="00000000">
        <w:rPr>
          <w:color w:val="000000"/>
          <w:rtl w:val="0"/>
        </w:rPr>
        <w:t xml:space="preserve">Před podepsáním a podáním žádosti o podporu je nutné žádost finalizovat. Finalizovaná žádost musí být v aplikaci IS KP14+ podepsána kvalifikovaným elektronickým podpisem statutárního zástupce žadatele nebo osoby k tomu zmocněné statutárním zástupcem; v takovém případě musí být k žádosti připojena plná moc podepsaná v aplikaci IS KP14+ nebo jiný dokument dokládající toto zmocnění. Osoby, které žádost podepisují, musí být registrovanými uživateli aplikace IS KP14+. </w:t>
      </w:r>
    </w:p>
    <w:p w:rsidR="00000000" w:rsidDel="00000000" w:rsidP="00000000" w:rsidRDefault="00000000" w:rsidRPr="00000000" w14:paraId="000000F7">
      <w:pPr>
        <w:ind w:left="362"/>
        <w:rPr>
          <w:color w:val="000000"/>
        </w:rPr>
      </w:pPr>
      <w:r w:rsidDel="00000000" w:rsidR="00000000" w:rsidRPr="00000000">
        <w:rPr>
          <w:rtl w:val="0"/>
        </w:rPr>
      </w:r>
    </w:p>
    <w:p w:rsidR="00000000" w:rsidDel="00000000" w:rsidP="00000000" w:rsidRDefault="00000000" w:rsidRPr="00000000" w14:paraId="000000F8">
      <w:pPr>
        <w:ind w:left="362"/>
        <w:rPr>
          <w:color w:val="000000"/>
        </w:rPr>
      </w:pPr>
      <w:r w:rsidDel="00000000" w:rsidR="00000000" w:rsidRPr="00000000">
        <w:rPr>
          <w:color w:val="000000"/>
          <w:rtl w:val="0"/>
        </w:rPr>
        <w:t xml:space="preserve">Žádost a povinné přílohy se podávají jen elektronicky prostřednictvím aplikace MS2014+. </w:t>
      </w:r>
    </w:p>
    <w:p w:rsidR="00000000" w:rsidDel="00000000" w:rsidP="00000000" w:rsidRDefault="00000000" w:rsidRPr="00000000" w14:paraId="000000F9">
      <w:pPr>
        <w:ind w:left="362"/>
        <w:rPr>
          <w:color w:val="000000"/>
          <w:sz w:val="16"/>
          <w:szCs w:val="16"/>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2"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Přílohy v tištěné podobě nejsou přípustné.</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Více informací je k dispozici v Pravidlech pro žadatele a příjemce OP PPR (viz bod 9.1. výzvy).</w:t>
      </w:r>
    </w:p>
    <w:p w:rsidR="00000000" w:rsidDel="00000000" w:rsidP="00000000" w:rsidRDefault="00000000" w:rsidRPr="00000000" w14:paraId="000000F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Informace o způsobu poskytování konzultací k přípravě žádosti o podporu:</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průběhu vyhlášené výzvy jsou poskytovány osobní, telefonické a emailové konzultace. Konzultace jsou poskytovány v období od 28. listopadu 2018 do </w:t>
      </w:r>
      <w:r w:rsidDel="00000000" w:rsidR="00000000" w:rsidRPr="00000000">
        <w:rPr>
          <w:rtl w:val="0"/>
        </w:rPr>
        <w:t xml:space="preserve">20. října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 skončení tohoto období nebudou žádné konzultace poskytovány.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Osobní konzultace jsou poskytovány pouze po předchozí dohodě s kontaktními pracovníky (viz níže bod 7. 3. výzvy) a za předpokladu, že minimálně 3 pracovní dny před dohodnutým termínem konzultace bude kontaktním pracovníkům zaslán projektový záměr. Konzultace budou poskytovány výhradně </w:t>
        <w:br w:type="textWrapping"/>
        <w:t xml:space="preserve">k projektovým záměrům. Nebude prováděno připomínkování kompletních žádostí o podporu ani jejich částí. Doporučujeme žadatelům, aby si na konzultaci připravili konkrétní dotazy k projektovému záměru. </w:t>
      </w:r>
    </w:p>
    <w:p w:rsidR="00000000" w:rsidDel="00000000" w:rsidP="00000000" w:rsidRDefault="00000000" w:rsidRPr="00000000" w14:paraId="00000100">
      <w:pPr>
        <w:ind w:left="362"/>
        <w:rPr/>
      </w:pPr>
      <w:r w:rsidDel="00000000" w:rsidR="00000000" w:rsidRPr="00000000">
        <w:rPr>
          <w:rtl w:val="0"/>
        </w:rPr>
      </w:r>
    </w:p>
    <w:p w:rsidR="00000000" w:rsidDel="00000000" w:rsidP="00000000" w:rsidRDefault="00000000" w:rsidRPr="00000000" w14:paraId="00000101">
      <w:pPr>
        <w:ind w:left="362"/>
        <w:rPr/>
      </w:pPr>
      <w:r w:rsidDel="00000000" w:rsidR="00000000" w:rsidRPr="00000000">
        <w:rPr>
          <w:rtl w:val="0"/>
        </w:rPr>
        <w:t xml:space="preserve">Konzultace budou poskytovány výhradně pracovníkům žadatele. V případě, že je pro přípravu žádosti o podporu žadatelem využívána poradenská firma, je možná účast zástupce poradenské firmy na konzultaci pouze za přítomnosti pracovníka žadatele. </w:t>
      </w:r>
    </w:p>
    <w:p w:rsidR="00000000" w:rsidDel="00000000" w:rsidP="00000000" w:rsidRDefault="00000000" w:rsidRPr="00000000" w14:paraId="00000102">
      <w:pPr>
        <w:ind w:firstLine="362"/>
        <w:rPr/>
      </w:pPr>
      <w:r w:rsidDel="00000000" w:rsidR="00000000" w:rsidRPr="00000000">
        <w:rPr>
          <w:rtl w:val="0"/>
        </w:rPr>
      </w:r>
    </w:p>
    <w:p w:rsidR="00000000" w:rsidDel="00000000" w:rsidP="00000000" w:rsidRDefault="00000000" w:rsidRPr="00000000" w14:paraId="00000103">
      <w:pPr>
        <w:ind w:firstLine="362"/>
        <w:rPr>
          <w:b w:val="1"/>
          <w:vertAlign w:val="superscript"/>
        </w:rPr>
      </w:pPr>
      <w:r w:rsidDel="00000000" w:rsidR="00000000" w:rsidRPr="00000000">
        <w:rPr>
          <w:b w:val="1"/>
          <w:rtl w:val="0"/>
        </w:rPr>
        <w:t xml:space="preserve">Kontakt na vyhlašovatele výzvy: </w:t>
      </w:r>
      <w:r w:rsidDel="00000000" w:rsidR="00000000" w:rsidRPr="00000000">
        <w:rPr>
          <w:b w:val="1"/>
          <w:vertAlign w:val="superscript"/>
          <w:rtl w:val="0"/>
        </w:rPr>
        <w:t xml:space="preserve"> </w:t>
      </w:r>
    </w:p>
    <w:p w:rsidR="00000000" w:rsidDel="00000000" w:rsidP="00000000" w:rsidRDefault="00000000" w:rsidRPr="00000000" w14:paraId="00000104">
      <w:pPr>
        <w:ind w:firstLine="362"/>
        <w:rPr>
          <w:b w:val="1"/>
        </w:rPr>
      </w:pPr>
      <w:r w:rsidDel="00000000" w:rsidR="00000000" w:rsidRPr="00000000">
        <w:rPr>
          <w:b w:val="1"/>
          <w:rtl w:val="0"/>
        </w:rPr>
        <w:t xml:space="preserve">Adresa vyhlašovatele: </w:t>
      </w:r>
      <w:r w:rsidDel="00000000" w:rsidR="00000000" w:rsidRPr="00000000">
        <w:rPr>
          <w:rtl w:val="0"/>
        </w:rPr>
        <w:t xml:space="preserve">Magistrát hl. m. Prahy, Mariánské nám. 2, 110 00 Praha 1 </w:t>
      </w:r>
      <w:r w:rsidDel="00000000" w:rsidR="00000000" w:rsidRPr="00000000">
        <w:rPr>
          <w:b w:val="1"/>
          <w:rtl w:val="0"/>
        </w:rPr>
        <w:t xml:space="preserve"> </w:t>
      </w:r>
    </w:p>
    <w:p w:rsidR="00000000" w:rsidDel="00000000" w:rsidP="00000000" w:rsidRDefault="00000000" w:rsidRPr="00000000" w14:paraId="00000105">
      <w:pPr>
        <w:ind w:firstLine="362"/>
        <w:rPr>
          <w:b w:val="1"/>
        </w:rPr>
      </w:pPr>
      <w:r w:rsidDel="00000000" w:rsidR="00000000" w:rsidRPr="00000000">
        <w:rPr>
          <w:b w:val="1"/>
          <w:rtl w:val="0"/>
        </w:rPr>
        <w:t xml:space="preserve">Kontaktní místo: </w:t>
      </w:r>
      <w:r w:rsidDel="00000000" w:rsidR="00000000" w:rsidRPr="00000000">
        <w:rPr>
          <w:rtl w:val="0"/>
        </w:rPr>
        <w:t xml:space="preserve">Magistrát hl. m. Prahy, Rytířská 406/10, 110 00 Praha 1</w:t>
      </w:r>
      <w:r w:rsidDel="00000000" w:rsidR="00000000" w:rsidRPr="00000000">
        <w:rPr>
          <w:rtl w:val="0"/>
        </w:rPr>
      </w:r>
    </w:p>
    <w:p w:rsidR="00000000" w:rsidDel="00000000" w:rsidP="00000000" w:rsidRDefault="00000000" w:rsidRPr="00000000" w14:paraId="00000106">
      <w:pPr>
        <w:ind w:firstLine="360"/>
        <w:rPr>
          <w:b w:val="1"/>
        </w:rPr>
      </w:pPr>
      <w:r w:rsidDel="00000000" w:rsidR="00000000" w:rsidRPr="00000000">
        <w:rPr>
          <w:rtl w:val="0"/>
        </w:rPr>
      </w:r>
    </w:p>
    <w:p w:rsidR="00000000" w:rsidDel="00000000" w:rsidP="00000000" w:rsidRDefault="00000000" w:rsidRPr="00000000" w14:paraId="00000107">
      <w:pPr>
        <w:ind w:firstLine="360"/>
        <w:rPr>
          <w:b w:val="1"/>
        </w:rPr>
      </w:pPr>
      <w:r w:rsidDel="00000000" w:rsidR="00000000" w:rsidRPr="00000000">
        <w:rPr>
          <w:b w:val="1"/>
          <w:rtl w:val="0"/>
        </w:rPr>
        <w:t xml:space="preserve">Kontaktní osoby:</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Ing. Tereza Fuka, e-mail: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Tereza.Fuka@praha.eu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tel.: +420 236 00 2573</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Ing. Kateřina Skanderová, e-mail: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Katerina.Skanderova@praha.eu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tel. +420 236 00 3980</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Ing. Eva Lepšová, e-mail: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Eva.Lepsova@praha.eu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tel. +420 236 00 3932</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ind w:firstLine="360"/>
        <w:rPr/>
      </w:pPr>
      <w:r w:rsidDel="00000000" w:rsidR="00000000" w:rsidRPr="00000000">
        <w:rPr>
          <w:b w:val="1"/>
          <w:rtl w:val="0"/>
        </w:rPr>
        <w:t xml:space="preserve">Webové stránky programu: </w:t>
      </w:r>
      <w:hyperlink r:id="rId12">
        <w:r w:rsidDel="00000000" w:rsidR="00000000" w:rsidRPr="00000000">
          <w:rPr>
            <w:color w:val="0000ff"/>
            <w:u w:val="single"/>
            <w:rtl w:val="0"/>
          </w:rPr>
          <w:t xml:space="preserve">www.penizeproprahu.cz</w:t>
        </w:r>
      </w:hyperlink>
      <w:r w:rsidDel="00000000" w:rsidR="00000000" w:rsidRPr="00000000">
        <w:rPr>
          <w:rtl w:val="0"/>
        </w:rPr>
        <w:t xml:space="preserve">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Nositel integrované strategie – manažer ITI (Institut plánování a rozvoje hl. m. Prahy):</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Mgr. Kristina Kleinwächterová, e-mail: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kleinwachterova@ipr.praha.eu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tel. +420 236 004 631</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Webové stránky ITI: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www.itipraha.eu</w:t>
        </w:r>
      </w:hyperlink>
      <w:r w:rsidDel="00000000" w:rsidR="00000000" w:rsidRPr="00000000">
        <w:rPr>
          <w:rtl w:val="0"/>
        </w:rPr>
      </w:r>
    </w:p>
    <w:p w:rsidR="00000000" w:rsidDel="00000000" w:rsidP="00000000" w:rsidRDefault="00000000" w:rsidRPr="00000000" w14:paraId="00000112">
      <w:pPr>
        <w:spacing w:line="360" w:lineRule="auto"/>
        <w:rPr>
          <w:b w:val="1"/>
          <w:sz w:val="22"/>
          <w:szCs w:val="22"/>
          <w:u w:val="single"/>
        </w:rPr>
      </w:pPr>
      <w:r w:rsidDel="00000000" w:rsidR="00000000" w:rsidRPr="00000000">
        <w:rPr>
          <w:rtl w:val="0"/>
        </w:rPr>
      </w:r>
    </w:p>
    <w:p w:rsidR="00000000" w:rsidDel="00000000" w:rsidP="00000000" w:rsidRDefault="00000000" w:rsidRPr="00000000" w14:paraId="00000113">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Informace o způsobu schvalování projektů</w:t>
      </w:r>
    </w:p>
    <w:p w:rsidR="00000000" w:rsidDel="00000000" w:rsidP="00000000" w:rsidRDefault="00000000" w:rsidRPr="00000000" w14:paraId="0000011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 w:right="0" w:hanging="62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Popis schvalování projektů: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Informace o způsobu schvalování projektů jsou obsaženy v kapitole 10. Pravidel pro žadatele a příjemce OP PPR (viz bod 9.1. výzvy).</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2"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Přehled navazující dokumentace</w:t>
      </w:r>
    </w:p>
    <w:p w:rsidR="00000000" w:rsidDel="00000000" w:rsidP="00000000" w:rsidRDefault="00000000" w:rsidRPr="00000000" w14:paraId="0000011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Odkaz na pravidla pro žadatele a příjemce: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Žádosti o podporu a následná realizace podpořených projektů se řídí pravidly, která jsou obsahem dokumentu Pravidla pro žadatele a příjemce OP PPR. Tato Pravidla jsou k dispozici na webových stránkách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www.penizeproprahu.cz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1" w:right="0" w:firstLine="0"/>
        <w:jc w:val="both"/>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Řídicí orgán OP PPR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Odkaz na vzor právního aktu o poskytnutí podpory:</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Vzor smlouvy o financování je k dispozici na </w:t>
      </w:r>
      <w:hyperlink r:id="rId1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www.penizeproprahu.cz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Odůvodnění zacílení výzvy:</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Zacílení výzvy na žadatele uvedené v části 3.3 této výzvy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V rámci specifického cíle 2.2 „Zvyšování atraktivity užívání městské veřejné dopravy“ je výzva v rámci aktivity 2.2.2 „Opatření pro preferenci povrchové městské veřejné dopravy v uličním provozu“ vymezena pouze na subjekty, které jsou relevantními žadateli dle věcného zaměření této výzvy. Další subjekty, které jsou uvedeny jako oprávnění žadatelé dle Pravidel pro žadatele a příjemce OP PPR v rámci tohoto specifického cíle (Městské části hl. m. Prahy, Organizace zřízené a založené hl. m. Prahou a městskými částmi hl. m. Prahy, Správa železniční dopravní cesty, ROPID / právnická osoba založená kraji a obcemi pro plnění úkolů při zřizování a organizaci integrovaných veřejných služeb v přepravě cestujících (dle zák. 194/2010 Sb. o veřejných službách v přepravě cestujících), jsou pro tyto aktivity nerelevantní z hlediska majetkoprávních vztahů.</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993" w:right="0" w:hanging="6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Odkaz na případné další relevantní dokumenty:</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w:t>
      </w:r>
      <w:hyperlink r:id="rId1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www.penizeproprahu.cz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jsou v sekci Dokumenty k dispozici tyto dokumenty: Kritéria pro hodnocení a výběr projektů, Příručka pro hodnotitele, Metodická příručka Studie proveditelnosti pro OP PPR, který obsahuje pokyny pro zpracování povinné přílohy Studie proveditelnosti a závazné vzory žádosti </w:t>
        <w:br w:type="textWrapping"/>
        <w:t xml:space="preserve">o podporu a povinných příloh žádosti o podporu.</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57"/>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5">
      <w:pPr>
        <w:numPr>
          <w:ilvl w:val="0"/>
          <w:numId w:val="12"/>
        </w:numPr>
        <w:spacing w:line="360" w:lineRule="auto"/>
        <w:ind w:left="360" w:hanging="360"/>
        <w:rPr>
          <w:b w:val="1"/>
          <w:sz w:val="22"/>
          <w:szCs w:val="22"/>
          <w:u w:val="single"/>
        </w:rPr>
      </w:pPr>
      <w:r w:rsidDel="00000000" w:rsidR="00000000" w:rsidRPr="00000000">
        <w:rPr>
          <w:b w:val="1"/>
          <w:sz w:val="22"/>
          <w:szCs w:val="22"/>
          <w:u w:val="single"/>
          <w:rtl w:val="0"/>
        </w:rPr>
        <w:t xml:space="preserve">Pravidla pro provádění změn již vyhlášené výzvy</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Případné změny zadává ŘO po jejich schválení Radou hl. m. Prahy do MS2014+. Změny výzvy budou zveřejněny na webových stránkách Magistrátu hl. m. Prahy u vyhlášené výzvy na odkaze </w:t>
      </w:r>
      <w:hyperlink r:id="rId1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www.penizeproprahu.cz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Žadatelé (tj. subjekty, které mají v dané výzvě rozpracovanou žádost o podporu) budou informováni o zveřejnění změny výzvy prostřednictvím interní depeše zaslané přes IS KP14+.</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 průběžných výzev je nepřípustné provádět následující změny podmínek pro získání podpory u žádostí o podporu, které již byly žadateli podány (pokud nejsou vynuceny právními předpisy nebo změnou metodického pokynu MMR):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zrušit výzvu,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snížit alokaci výzvy,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změnit maximální a minimální výši celkových způsobilých výdajů,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změnit míru spolufinancování,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změnit věcné zaměření výzvy,</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změnit definici oprávněného žadatele, tj. přidat nebo odebrat oprávněného žadatele,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posun nejzazšího data pro ukončení fyzické realizace operace na dřívější datum, </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posun data ukončení příjmu žádostí o podporu na dřívější datum,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měnit kritéria pro hodnocení projektů.</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35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budou předložené žádosti převyšovat stanovenou alokaci výzvy, může řídicí orgán rozhodnout o navýšení alokace výzvy.</w:t>
      </w:r>
    </w:p>
    <w:sectPr>
      <w:headerReference r:id="rId19" w:type="default"/>
      <w:footerReference r:id="rId20" w:type="default"/>
      <w:pgSz w:h="16838" w:w="11906"/>
      <w:pgMar w:bottom="993" w:top="993" w:left="1276"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Nemusí být naplněny všechny požadavky současně, ale splněním alespoň dvou požadavků či výraznějším překročením minimální hodnoty jednoho požadavku musí projektová žádost získat alespoň 7 bodů v součtu všech specifických hodnoticích kritérií č. 3 - 6 uvedených v sadě hodnoticích kritérií pro prioritní osu 2, specifický cíl 2.2, podporovanou aktivitu Opatření pro preferenci povrchové městské veřejné dopravy v uličním provozu.</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Indikátor povinný k výběru musí Ž/P v rámci projektu povinně sledovat, žadatel se ke stanovení cílové hodnoty nezavazuje, pouze monitoruje výstupy projektu, jejich případné nenaplnění není sankcionováno.</w:t>
      </w:r>
      <w:r w:rsidDel="00000000" w:rsidR="00000000" w:rsidRPr="00000000">
        <w:rPr>
          <w:rtl w:val="0"/>
        </w:rPr>
      </w:r>
    </w:p>
  </w:footnote>
  <w:footnote w:id="2">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Indikátor povinný k naplnění musí Ž/P v rámci projektu povinně sledovat, je povinen stanovit cílovou hodnotu indikátoru, která je pro něho závazná.</w:t>
      </w:r>
      <w:r w:rsidDel="00000000" w:rsidR="00000000" w:rsidRPr="00000000">
        <w:rPr>
          <w:rtl w:val="0"/>
        </w:rPr>
      </w:r>
    </w:p>
  </w:footnote>
  <w:footnote w:id="3">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Kumulativně za všechny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963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76"/>
      <w:gridCol w:w="4263"/>
      <w:tblGridChange w:id="0">
        <w:tblGrid>
          <w:gridCol w:w="5376"/>
          <w:gridCol w:w="4263"/>
        </w:tblGrid>
      </w:tblGridChange>
    </w:tblGrid>
    <w:tr>
      <w:tc>
        <w:tcPr/>
        <w:p w:rsidR="00000000" w:rsidDel="00000000" w:rsidP="00000000" w:rsidRDefault="00000000" w:rsidRPr="00000000" w14:paraId="0000013B">
          <w:pPr>
            <w:tabs>
              <w:tab w:val="center" w:pos="4536"/>
              <w:tab w:val="right" w:pos="9072"/>
            </w:tabs>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273552" cy="655320"/>
                <wp:effectExtent b="0" l="0" r="0" t="0"/>
                <wp:docPr id="3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273552" cy="6553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C">
          <w:pPr>
            <w:tabs>
              <w:tab w:val="center" w:pos="4536"/>
              <w:tab w:val="right" w:pos="9072"/>
            </w:tabs>
            <w:jc w:val="right"/>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658495" cy="658495"/>
                <wp:effectExtent b="0" l="0" r="0" t="0"/>
                <wp:docPr id="3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58495" cy="6584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4">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7">
    <w:lvl w:ilvl="0">
      <w:start w:val="1"/>
      <w:numFmt w:val="lowerLetter"/>
      <w:lvlText w:val="%1)"/>
      <w:lvlJc w:val="left"/>
      <w:pPr>
        <w:ind w:left="717" w:hanging="360"/>
      </w:pPr>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10">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11">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12">
    <w:lvl w:ilvl="0">
      <w:start w:val="1"/>
      <w:numFmt w:val="decimal"/>
      <w:lvlText w:val="%1."/>
      <w:lvlJc w:val="left"/>
      <w:pPr>
        <w:ind w:left="360" w:hanging="360"/>
      </w:pPr>
      <w:rPr/>
    </w:lvl>
    <w:lvl w:ilvl="1">
      <w:start w:val="1"/>
      <w:numFmt w:val="decimal"/>
      <w:lvlText w:val="%1.%2."/>
      <w:lvlJc w:val="left"/>
      <w:pPr>
        <w:ind w:left="1142" w:hanging="432"/>
      </w:pPr>
      <w:rPr>
        <w:b w:val="1"/>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cs-C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502" w:hanging="360"/>
    </w:pPr>
    <w:rPr>
      <w:rFonts w:ascii="Arial" w:cs="Arial" w:eastAsia="Arial" w:hAnsi="Arial"/>
      <w:b w:val="1"/>
      <w:color w:val="000000"/>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next w:val="Zkladntext"/>
    <w:qFormat w:val="1"/>
    <w:rsid w:val="003E0E70"/>
    <w:pPr>
      <w:spacing w:after="0" w:line="240" w:lineRule="auto"/>
      <w:jc w:val="both"/>
    </w:pPr>
    <w:rPr>
      <w:rFonts w:ascii="Arial" w:cs="Times New Roman" w:eastAsia="Times New Roman" w:hAnsi="Arial"/>
      <w:sz w:val="20"/>
      <w:szCs w:val="24"/>
      <w:lang w:eastAsia="cs-CZ"/>
    </w:rPr>
  </w:style>
  <w:style w:type="paragraph" w:styleId="Nadpis1">
    <w:name w:val="heading 1"/>
    <w:basedOn w:val="Nadpis2"/>
    <w:next w:val="Normln"/>
    <w:link w:val="Nadpis1Char"/>
    <w:uiPriority w:val="9"/>
    <w:qFormat w:val="1"/>
    <w:rsid w:val="00D45C20"/>
    <w:pPr>
      <w:numPr>
        <w:numId w:val="1"/>
      </w:numPr>
      <w:spacing w:after="120" w:before="120"/>
      <w:outlineLvl w:val="0"/>
    </w:pPr>
    <w:rPr>
      <w:rFonts w:ascii="Arial" w:hAnsi="Arial"/>
      <w:bCs w:val="0"/>
      <w:iCs w:val="1"/>
      <w:color w:val="000000" w:themeColor="text1"/>
      <w:sz w:val="24"/>
      <w:szCs w:val="28"/>
    </w:rPr>
  </w:style>
  <w:style w:type="paragraph" w:styleId="Nadpis2">
    <w:name w:val="heading 2"/>
    <w:basedOn w:val="Normln"/>
    <w:next w:val="Normln"/>
    <w:link w:val="Nadpis2Char"/>
    <w:uiPriority w:val="9"/>
    <w:semiHidden w:val="1"/>
    <w:unhideWhenUsed w:val="1"/>
    <w:qFormat w:val="1"/>
    <w:rsid w:val="00D45C2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D45C20"/>
    <w:rPr>
      <w:rFonts w:ascii="Arial" w:hAnsi="Arial" w:cstheme="majorBidi" w:eastAsiaTheme="majorEastAsia"/>
      <w:b w:val="1"/>
      <w:iCs w:val="1"/>
      <w:color w:val="000000" w:themeColor="text1"/>
      <w:sz w:val="24"/>
      <w:szCs w:val="28"/>
      <w:lang w:eastAsia="cs-CZ"/>
    </w:rPr>
  </w:style>
  <w:style w:type="paragraph" w:styleId="Zkladntext">
    <w:name w:val="Body Text"/>
    <w:basedOn w:val="Normln"/>
    <w:link w:val="ZkladntextChar"/>
    <w:uiPriority w:val="99"/>
    <w:unhideWhenUsed w:val="1"/>
    <w:rsid w:val="00D45C20"/>
    <w:pPr>
      <w:spacing w:after="120"/>
    </w:pPr>
  </w:style>
  <w:style w:type="character" w:styleId="ZkladntextChar" w:customStyle="1">
    <w:name w:val="Základní text Char"/>
    <w:basedOn w:val="Standardnpsmoodstavce"/>
    <w:link w:val="Zkladntext"/>
    <w:uiPriority w:val="99"/>
    <w:rsid w:val="00D45C20"/>
    <w:rPr>
      <w:rFonts w:ascii="Arial" w:cs="Times New Roman" w:eastAsia="Times New Roman" w:hAnsi="Arial"/>
      <w:sz w:val="20"/>
      <w:szCs w:val="24"/>
      <w:lang w:eastAsia="cs-CZ"/>
    </w:rPr>
  </w:style>
  <w:style w:type="paragraph" w:styleId="Obsah1">
    <w:name w:val="toc 1"/>
    <w:basedOn w:val="Normln"/>
    <w:next w:val="Normln"/>
    <w:autoRedefine w:val="1"/>
    <w:uiPriority w:val="39"/>
    <w:semiHidden w:val="1"/>
    <w:unhideWhenUsed w:val="1"/>
    <w:rsid w:val="00D45C20"/>
    <w:pPr>
      <w:spacing w:after="100"/>
    </w:pPr>
  </w:style>
  <w:style w:type="character" w:styleId="TextpoznpodarouChar" w:customStyle="1">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locked w:val="1"/>
    <w:rsid w:val="00D45C20"/>
    <w:rPr>
      <w:rFonts w:ascii="Arial" w:cs="Times New Roman" w:eastAsia="Times New Roman" w:hAnsi="Arial"/>
      <w:szCs w:val="20"/>
      <w:lang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val="1"/>
    <w:qFormat w:val="1"/>
    <w:rsid w:val="00D45C20"/>
    <w:rPr>
      <w:sz w:val="22"/>
      <w:szCs w:val="20"/>
    </w:rPr>
  </w:style>
  <w:style w:type="character" w:styleId="TextpoznpodarouChar1" w:customStyle="1">
    <w:name w:val="Text pozn. pod čarou Char1"/>
    <w:basedOn w:val="Standardnpsmoodstavce"/>
    <w:uiPriority w:val="99"/>
    <w:semiHidden w:val="1"/>
    <w:rsid w:val="00D45C20"/>
    <w:rPr>
      <w:rFonts w:ascii="Arial" w:cs="Times New Roman" w:eastAsia="Times New Roman" w:hAnsi="Arial"/>
      <w:sz w:val="20"/>
      <w:szCs w:val="20"/>
      <w:lang w:eastAsia="cs-CZ"/>
    </w:rPr>
  </w:style>
  <w:style w:type="character" w:styleId="OdstavecseseznamemChar" w:customStyle="1">
    <w:name w:val="Odstavec se seznamem Char"/>
    <w:aliases w:val="Odstavec_muj Char,Nad Char"/>
    <w:basedOn w:val="Standardnpsmoodstavce"/>
    <w:link w:val="Odstavecseseznamem"/>
    <w:uiPriority w:val="34"/>
    <w:locked w:val="1"/>
    <w:rsid w:val="00D45C20"/>
    <w:rPr>
      <w:rFonts w:ascii="Arial" w:cs="Times New Roman" w:eastAsia="Times New Roman" w:hAnsi="Arial"/>
      <w:sz w:val="20"/>
      <w:szCs w:val="24"/>
      <w:lang w:eastAsia="cs-CZ"/>
    </w:rPr>
  </w:style>
  <w:style w:type="paragraph" w:styleId="Odstavecseseznamem">
    <w:name w:val="List Paragraph"/>
    <w:aliases w:val="Odstavec_muj,Nad"/>
    <w:basedOn w:val="Normln"/>
    <w:link w:val="OdstavecseseznamemChar"/>
    <w:uiPriority w:val="34"/>
    <w:qFormat w:val="1"/>
    <w:rsid w:val="00D45C20"/>
    <w:pPr>
      <w:ind w:left="720"/>
      <w:contextualSpacing w:val="1"/>
    </w:pPr>
  </w:style>
  <w:style w:type="paragraph" w:styleId="normln0" w:customStyle="1">
    <w:name w:val="normální"/>
    <w:basedOn w:val="Normln"/>
    <w:rsid w:val="00D45C20"/>
    <w:rPr>
      <w:szCs w:val="20"/>
    </w:rPr>
  </w:style>
  <w:style w:type="paragraph" w:styleId="Nadpis3" w:customStyle="1">
    <w:name w:val="Nadpis3"/>
    <w:basedOn w:val="Nadpis1"/>
    <w:qFormat w:val="1"/>
    <w:rsid w:val="00D45C20"/>
    <w:pPr>
      <w:numPr>
        <w:ilvl w:val="2"/>
      </w:numPr>
      <w:tabs>
        <w:tab w:val="num" w:pos="360"/>
      </w:tabs>
    </w:pPr>
    <w:rPr>
      <w:sz w:val="22"/>
    </w:rPr>
  </w:style>
  <w:style w:type="paragraph" w:styleId="Nadpis4" w:customStyle="1">
    <w:name w:val="Nadpis4"/>
    <w:basedOn w:val="Nadpis1"/>
    <w:qFormat w:val="1"/>
    <w:rsid w:val="00D45C20"/>
    <w:pPr>
      <w:numPr>
        <w:ilvl w:val="3"/>
      </w:numPr>
      <w:tabs>
        <w:tab w:val="num" w:pos="360"/>
      </w:tabs>
    </w:pPr>
    <w:rPr>
      <w:sz w:val="22"/>
    </w:rPr>
  </w:style>
  <w:style w:type="character" w:styleId="PPNadpis2Char" w:customStyle="1">
    <w:name w:val="PP Nadpis 2 Char"/>
    <w:basedOn w:val="Nadpis1Char"/>
    <w:link w:val="PPNadpis2"/>
    <w:locked w:val="1"/>
    <w:rsid w:val="00D45C20"/>
    <w:rPr>
      <w:rFonts w:ascii="Arial" w:hAnsi="Arial" w:cstheme="majorBidi" w:eastAsiaTheme="majorEastAsia"/>
      <w:b w:val="1"/>
      <w:iCs w:val="1"/>
      <w:color w:val="000000" w:themeColor="text1"/>
      <w:sz w:val="24"/>
      <w:szCs w:val="28"/>
      <w:lang w:eastAsia="cs-CZ"/>
    </w:rPr>
  </w:style>
  <w:style w:type="paragraph" w:styleId="PPNadpis2" w:customStyle="1">
    <w:name w:val="PP Nadpis 2"/>
    <w:basedOn w:val="Nadpis1"/>
    <w:link w:val="PPNadpis2Char"/>
    <w:qFormat w:val="1"/>
    <w:rsid w:val="00D45C20"/>
    <w:pPr>
      <w:numPr>
        <w:ilvl w:val="1"/>
      </w:numPr>
      <w:ind w:left="431" w:hanging="431"/>
    </w:pPr>
  </w:style>
  <w:style w:type="paragraph" w:styleId="txt" w:customStyle="1">
    <w:name w:val="txt"/>
    <w:basedOn w:val="Normln"/>
    <w:qFormat w:val="1"/>
    <w:rsid w:val="00D45C20"/>
    <w:pPr>
      <w:spacing w:after="120"/>
      <w:ind w:firstLine="357"/>
    </w:pPr>
    <w:rPr>
      <w:sz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Légende;Char Car Car Car Car"/>
    <w:basedOn w:val="Standardnpsmoodstavce"/>
    <w:uiPriority w:val="99"/>
    <w:unhideWhenUsed w:val="1"/>
    <w:rsid w:val="00D45C20"/>
    <w:rPr>
      <w:vertAlign w:val="superscript"/>
    </w:rPr>
  </w:style>
  <w:style w:type="character" w:styleId="Siln">
    <w:name w:val="Strong"/>
    <w:basedOn w:val="Standardnpsmoodstavce"/>
    <w:uiPriority w:val="22"/>
    <w:qFormat w:val="1"/>
    <w:rsid w:val="00D45C20"/>
    <w:rPr>
      <w:b w:val="1"/>
      <w:bCs w:val="1"/>
    </w:rPr>
  </w:style>
  <w:style w:type="character" w:styleId="Nadpis2Char" w:customStyle="1">
    <w:name w:val="Nadpis 2 Char"/>
    <w:basedOn w:val="Standardnpsmoodstavce"/>
    <w:link w:val="Nadpis2"/>
    <w:uiPriority w:val="9"/>
    <w:semiHidden w:val="1"/>
    <w:rsid w:val="00D45C20"/>
    <w:rPr>
      <w:rFonts w:asciiTheme="majorHAnsi" w:cstheme="majorBidi" w:eastAsiaTheme="majorEastAsia" w:hAnsiTheme="majorHAnsi"/>
      <w:b w:val="1"/>
      <w:bCs w:val="1"/>
      <w:color w:val="4f81bd" w:themeColor="accent1"/>
      <w:sz w:val="26"/>
      <w:szCs w:val="26"/>
      <w:lang w:eastAsia="cs-CZ"/>
    </w:rPr>
  </w:style>
  <w:style w:type="paragraph" w:styleId="Zhlav">
    <w:name w:val="header"/>
    <w:basedOn w:val="Normln"/>
    <w:link w:val="ZhlavChar"/>
    <w:uiPriority w:val="99"/>
    <w:unhideWhenUsed w:val="1"/>
    <w:rsid w:val="008524E5"/>
    <w:pPr>
      <w:tabs>
        <w:tab w:val="center" w:pos="4536"/>
        <w:tab w:val="right" w:pos="9072"/>
      </w:tabs>
    </w:pPr>
  </w:style>
  <w:style w:type="character" w:styleId="ZhlavChar" w:customStyle="1">
    <w:name w:val="Záhlaví Char"/>
    <w:basedOn w:val="Standardnpsmoodstavce"/>
    <w:link w:val="Zhlav"/>
    <w:uiPriority w:val="99"/>
    <w:rsid w:val="008524E5"/>
    <w:rPr>
      <w:rFonts w:ascii="Arial" w:cs="Times New Roman" w:eastAsia="Times New Roman" w:hAnsi="Arial"/>
      <w:sz w:val="20"/>
      <w:szCs w:val="24"/>
      <w:lang w:eastAsia="cs-CZ"/>
    </w:rPr>
  </w:style>
  <w:style w:type="paragraph" w:styleId="Zpat">
    <w:name w:val="footer"/>
    <w:basedOn w:val="Normln"/>
    <w:link w:val="ZpatChar"/>
    <w:uiPriority w:val="99"/>
    <w:unhideWhenUsed w:val="1"/>
    <w:rsid w:val="008524E5"/>
    <w:pPr>
      <w:tabs>
        <w:tab w:val="center" w:pos="4536"/>
        <w:tab w:val="right" w:pos="9072"/>
      </w:tabs>
    </w:pPr>
  </w:style>
  <w:style w:type="character" w:styleId="ZpatChar" w:customStyle="1">
    <w:name w:val="Zápatí Char"/>
    <w:basedOn w:val="Standardnpsmoodstavce"/>
    <w:link w:val="Zpat"/>
    <w:uiPriority w:val="99"/>
    <w:rsid w:val="008524E5"/>
    <w:rPr>
      <w:rFonts w:ascii="Arial" w:cs="Times New Roman" w:eastAsia="Times New Roman" w:hAnsi="Arial"/>
      <w:sz w:val="20"/>
      <w:szCs w:val="24"/>
      <w:lang w:eastAsia="cs-CZ"/>
    </w:rPr>
  </w:style>
  <w:style w:type="table" w:styleId="Mkatabulky">
    <w:name w:val="Table Grid"/>
    <w:basedOn w:val="Normlntabulka"/>
    <w:uiPriority w:val="59"/>
    <w:rsid w:val="008524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8524E5"/>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8524E5"/>
    <w:rPr>
      <w:rFonts w:ascii="Tahoma" w:cs="Tahoma" w:eastAsia="Times New Roman" w:hAnsi="Tahoma"/>
      <w:sz w:val="16"/>
      <w:szCs w:val="16"/>
      <w:lang w:eastAsia="cs-CZ"/>
    </w:rPr>
  </w:style>
  <w:style w:type="paragraph" w:styleId="Styl1" w:customStyle="1">
    <w:name w:val="Styl1"/>
    <w:basedOn w:val="Odstavecseseznamem"/>
    <w:link w:val="Styl1Char"/>
    <w:qFormat w:val="1"/>
    <w:rsid w:val="00F4271F"/>
    <w:pPr>
      <w:overflowPunct w:val="0"/>
      <w:autoSpaceDE w:val="0"/>
      <w:autoSpaceDN w:val="0"/>
      <w:adjustRightInd w:val="0"/>
      <w:spacing w:after="120"/>
      <w:ind w:left="1224" w:hanging="504"/>
      <w:textAlignment w:val="baseline"/>
    </w:pPr>
    <w:rPr>
      <w:rFonts w:cs="Arial"/>
      <w:b w:val="1"/>
      <w:bCs w:val="1"/>
    </w:rPr>
  </w:style>
  <w:style w:type="character" w:styleId="Styl1Char" w:customStyle="1">
    <w:name w:val="Styl1 Char"/>
    <w:basedOn w:val="OdstavecseseznamemChar"/>
    <w:link w:val="Styl1"/>
    <w:rsid w:val="00F4271F"/>
    <w:rPr>
      <w:rFonts w:ascii="Arial" w:cs="Arial" w:eastAsia="Times New Roman" w:hAnsi="Arial"/>
      <w:b w:val="1"/>
      <w:bCs w:val="1"/>
      <w:sz w:val="20"/>
      <w:szCs w:val="24"/>
      <w:lang w:eastAsia="cs-CZ"/>
    </w:rPr>
  </w:style>
  <w:style w:type="paragraph" w:styleId="Styl2" w:customStyle="1">
    <w:name w:val="Styl2"/>
    <w:basedOn w:val="Odstavecseseznamem"/>
    <w:link w:val="Styl2Char"/>
    <w:qFormat w:val="1"/>
    <w:rsid w:val="00F4271F"/>
    <w:pPr>
      <w:overflowPunct w:val="0"/>
      <w:autoSpaceDE w:val="0"/>
      <w:autoSpaceDN w:val="0"/>
      <w:adjustRightInd w:val="0"/>
      <w:ind w:left="1224" w:hanging="504"/>
      <w:textAlignment w:val="baseline"/>
    </w:pPr>
    <w:rPr>
      <w:rFonts w:cs="Arial"/>
      <w:b w:val="1"/>
      <w:bCs w:val="1"/>
    </w:rPr>
  </w:style>
  <w:style w:type="paragraph" w:styleId="Styl5" w:customStyle="1">
    <w:name w:val="Styl5"/>
    <w:basedOn w:val="Styl2"/>
    <w:link w:val="Styl5Char"/>
    <w:qFormat w:val="1"/>
    <w:rsid w:val="00F4271F"/>
  </w:style>
  <w:style w:type="character" w:styleId="Styl2Char" w:customStyle="1">
    <w:name w:val="Styl2 Char"/>
    <w:basedOn w:val="OdstavecseseznamemChar"/>
    <w:link w:val="Styl2"/>
    <w:rsid w:val="00F4271F"/>
    <w:rPr>
      <w:rFonts w:ascii="Arial" w:cs="Arial" w:eastAsia="Times New Roman" w:hAnsi="Arial"/>
      <w:b w:val="1"/>
      <w:bCs w:val="1"/>
      <w:sz w:val="20"/>
      <w:szCs w:val="24"/>
      <w:lang w:eastAsia="cs-CZ"/>
    </w:rPr>
  </w:style>
  <w:style w:type="character" w:styleId="Styl5Char" w:customStyle="1">
    <w:name w:val="Styl5 Char"/>
    <w:basedOn w:val="Styl2Char"/>
    <w:link w:val="Styl5"/>
    <w:rsid w:val="00F4271F"/>
    <w:rPr>
      <w:rFonts w:ascii="Arial" w:cs="Arial" w:eastAsia="Times New Roman" w:hAnsi="Arial"/>
      <w:b w:val="1"/>
      <w:bCs w:val="1"/>
      <w:sz w:val="20"/>
      <w:szCs w:val="24"/>
      <w:lang w:eastAsia="cs-CZ"/>
    </w:rPr>
  </w:style>
  <w:style w:type="paragraph" w:styleId="Styl3" w:customStyle="1">
    <w:name w:val="Styl3"/>
    <w:basedOn w:val="Styl5"/>
    <w:link w:val="Styl3Char"/>
    <w:qFormat w:val="1"/>
    <w:rsid w:val="00F4271F"/>
    <w:pPr>
      <w:ind w:left="1728" w:hanging="648"/>
    </w:pPr>
  </w:style>
  <w:style w:type="character" w:styleId="Styl3Char" w:customStyle="1">
    <w:name w:val="Styl3 Char"/>
    <w:basedOn w:val="Styl5Char"/>
    <w:link w:val="Styl3"/>
    <w:rsid w:val="00F4271F"/>
    <w:rPr>
      <w:rFonts w:ascii="Arial" w:cs="Arial" w:eastAsia="Times New Roman" w:hAnsi="Arial"/>
      <w:b w:val="1"/>
      <w:bCs w:val="1"/>
      <w:sz w:val="20"/>
      <w:szCs w:val="24"/>
      <w:lang w:eastAsia="cs-CZ"/>
    </w:rPr>
  </w:style>
  <w:style w:type="paragraph" w:styleId="Prav-odr" w:customStyle="1">
    <w:name w:val="Prav - odr"/>
    <w:basedOn w:val="Normln"/>
    <w:link w:val="Prav-odrChar"/>
    <w:qFormat w:val="1"/>
    <w:rsid w:val="00E573AF"/>
    <w:pPr>
      <w:numPr>
        <w:numId w:val="14"/>
      </w:numPr>
      <w:spacing w:after="40" w:before="80"/>
    </w:pPr>
    <w:rPr>
      <w:rFonts w:cs="Arial"/>
      <w:szCs w:val="20"/>
    </w:rPr>
  </w:style>
  <w:style w:type="character" w:styleId="Prav-odrChar" w:customStyle="1">
    <w:name w:val="Prav - odr Char"/>
    <w:basedOn w:val="Standardnpsmoodstavce"/>
    <w:link w:val="Prav-odr"/>
    <w:rsid w:val="00E573AF"/>
    <w:rPr>
      <w:rFonts w:ascii="Arial" w:cs="Arial" w:eastAsia="Times New Roman" w:hAnsi="Arial"/>
      <w:sz w:val="20"/>
      <w:szCs w:val="20"/>
      <w:lang w:eastAsia="cs-CZ"/>
    </w:rPr>
  </w:style>
  <w:style w:type="paragraph" w:styleId="Default" w:customStyle="1">
    <w:name w:val="Default"/>
    <w:rsid w:val="00E573AF"/>
    <w:pPr>
      <w:autoSpaceDE w:val="0"/>
      <w:autoSpaceDN w:val="0"/>
      <w:adjustRightInd w:val="0"/>
      <w:spacing w:after="0" w:line="240" w:lineRule="auto"/>
    </w:pPr>
    <w:rPr>
      <w:rFonts w:ascii="Arial" w:cs="Arial" w:hAnsi="Arial"/>
      <w:color w:val="000000"/>
      <w:sz w:val="24"/>
      <w:szCs w:val="24"/>
    </w:rPr>
  </w:style>
  <w:style w:type="character" w:styleId="Hypertextovodkaz">
    <w:name w:val="Hyperlink"/>
    <w:basedOn w:val="Standardnpsmoodstavce"/>
    <w:uiPriority w:val="99"/>
    <w:unhideWhenUsed w:val="1"/>
    <w:rsid w:val="007D1AEF"/>
    <w:rPr>
      <w:color w:val="0000ff" w:themeColor="hyperlink"/>
      <w:u w:val="single"/>
    </w:rPr>
  </w:style>
  <w:style w:type="character" w:styleId="apple-converted-space" w:customStyle="1">
    <w:name w:val="apple-converted-space"/>
    <w:basedOn w:val="Standardnpsmoodstavce"/>
    <w:rsid w:val="0068523C"/>
  </w:style>
  <w:style w:type="paragraph" w:styleId="Normlnweb">
    <w:name w:val="Normal (Web)"/>
    <w:basedOn w:val="Normln"/>
    <w:uiPriority w:val="99"/>
    <w:unhideWhenUsed w:val="1"/>
    <w:rsid w:val="00E3361F"/>
    <w:pPr>
      <w:spacing w:after="100" w:afterAutospacing="1" w:before="100" w:beforeAutospacing="1"/>
      <w:jc w:val="left"/>
    </w:pPr>
    <w:rPr>
      <w:rFonts w:ascii="Times New Roman" w:hAnsi="Times New Roman"/>
      <w:sz w:val="24"/>
    </w:rPr>
  </w:style>
  <w:style w:type="paragraph" w:styleId="Prosttext">
    <w:name w:val="Plain Text"/>
    <w:basedOn w:val="Normln"/>
    <w:link w:val="ProsttextChar"/>
    <w:uiPriority w:val="99"/>
    <w:unhideWhenUsed w:val="1"/>
    <w:rsid w:val="005A3FDD"/>
    <w:pPr>
      <w:jc w:val="left"/>
    </w:pPr>
    <w:rPr>
      <w:rFonts w:ascii="Calibri" w:hAnsi="Calibri" w:cstheme="minorBidi" w:eastAsiaTheme="minorHAnsi"/>
      <w:sz w:val="22"/>
      <w:szCs w:val="21"/>
      <w:lang w:eastAsia="en-US"/>
    </w:rPr>
  </w:style>
  <w:style w:type="character" w:styleId="ProsttextChar" w:customStyle="1">
    <w:name w:val="Prostý text Char"/>
    <w:basedOn w:val="Standardnpsmoodstavce"/>
    <w:link w:val="Prosttext"/>
    <w:uiPriority w:val="99"/>
    <w:rsid w:val="005A3FDD"/>
    <w:rPr>
      <w:rFonts w:ascii="Calibri" w:hAnsi="Calibri"/>
      <w:szCs w:val="21"/>
    </w:rPr>
  </w:style>
  <w:style w:type="character" w:styleId="Odkaznakoment">
    <w:name w:val="annotation reference"/>
    <w:basedOn w:val="Standardnpsmoodstavce"/>
    <w:uiPriority w:val="99"/>
    <w:semiHidden w:val="1"/>
    <w:unhideWhenUsed w:val="1"/>
    <w:rsid w:val="000C2BBB"/>
    <w:rPr>
      <w:sz w:val="16"/>
      <w:szCs w:val="16"/>
    </w:rPr>
  </w:style>
  <w:style w:type="paragraph" w:styleId="Textkomente">
    <w:name w:val="annotation text"/>
    <w:basedOn w:val="Normln"/>
    <w:link w:val="TextkomenteChar"/>
    <w:uiPriority w:val="99"/>
    <w:semiHidden w:val="1"/>
    <w:unhideWhenUsed w:val="1"/>
    <w:rsid w:val="000C2BBB"/>
    <w:rPr>
      <w:szCs w:val="20"/>
    </w:rPr>
  </w:style>
  <w:style w:type="character" w:styleId="TextkomenteChar" w:customStyle="1">
    <w:name w:val="Text komentáře Char"/>
    <w:basedOn w:val="Standardnpsmoodstavce"/>
    <w:link w:val="Textkomente"/>
    <w:uiPriority w:val="99"/>
    <w:semiHidden w:val="1"/>
    <w:rsid w:val="000C2BBB"/>
    <w:rPr>
      <w:rFonts w:ascii="Arial" w:cs="Times New Roman" w:eastAsia="Times New Roman" w:hAnsi="Arial"/>
      <w:sz w:val="20"/>
      <w:szCs w:val="20"/>
      <w:lang w:eastAsia="cs-CZ"/>
    </w:rPr>
  </w:style>
  <w:style w:type="paragraph" w:styleId="Prav-psm" w:customStyle="1">
    <w:name w:val="Prav - písm"/>
    <w:basedOn w:val="Normln"/>
    <w:link w:val="Prav-psmChar"/>
    <w:qFormat w:val="1"/>
    <w:rsid w:val="00732F8B"/>
    <w:pPr>
      <w:numPr>
        <w:numId w:val="29"/>
      </w:numPr>
      <w:spacing w:after="40" w:before="80"/>
    </w:pPr>
    <w:rPr>
      <w:rFonts w:cs="Arial"/>
      <w:szCs w:val="20"/>
    </w:rPr>
  </w:style>
  <w:style w:type="character" w:styleId="Prav-psmChar" w:customStyle="1">
    <w:name w:val="Prav - písm Char"/>
    <w:basedOn w:val="Standardnpsmoodstavce"/>
    <w:link w:val="Prav-psm"/>
    <w:rsid w:val="00732F8B"/>
    <w:rPr>
      <w:rFonts w:ascii="Arial" w:cs="Arial" w:eastAsia="Times New Roman" w:hAnsi="Arial"/>
      <w:sz w:val="20"/>
      <w:szCs w:val="20"/>
      <w:lang w:eastAsia="cs-CZ"/>
    </w:rPr>
  </w:style>
  <w:style w:type="character" w:styleId="WW8Num3z1" w:customStyle="1">
    <w:name w:val="WW8Num3z1"/>
    <w:rsid w:val="00585B80"/>
    <w:rPr>
      <w:rFonts w:ascii="Times New Roman" w:cs="Times New Roman" w:hAnsi="Times New Roman"/>
    </w:rPr>
  </w:style>
  <w:style w:type="paragraph" w:styleId="Pedmtkomente">
    <w:name w:val="annotation subject"/>
    <w:basedOn w:val="Textkomente"/>
    <w:next w:val="Textkomente"/>
    <w:link w:val="PedmtkomenteChar"/>
    <w:uiPriority w:val="99"/>
    <w:semiHidden w:val="1"/>
    <w:unhideWhenUsed w:val="1"/>
    <w:rsid w:val="00706167"/>
    <w:rPr>
      <w:b w:val="1"/>
      <w:bCs w:val="1"/>
    </w:rPr>
  </w:style>
  <w:style w:type="character" w:styleId="PedmtkomenteChar" w:customStyle="1">
    <w:name w:val="Předmět komentáře Char"/>
    <w:basedOn w:val="TextkomenteChar"/>
    <w:link w:val="Pedmtkomente"/>
    <w:uiPriority w:val="99"/>
    <w:semiHidden w:val="1"/>
    <w:rsid w:val="00706167"/>
    <w:rPr>
      <w:rFonts w:ascii="Arial" w:cs="Times New Roman" w:eastAsia="Times New Roman" w:hAnsi="Arial"/>
      <w:b w:val="1"/>
      <w:bCs w:val="1"/>
      <w:sz w:val="20"/>
      <w:szCs w:val="20"/>
      <w:lang w:eastAsia="cs-CZ"/>
    </w:rPr>
  </w:style>
  <w:style w:type="character" w:styleId="TabulkatextChar" w:customStyle="1">
    <w:name w:val="Tabulka text Char"/>
    <w:basedOn w:val="Standardnpsmoodstavce"/>
    <w:link w:val="Tabulkatext"/>
    <w:uiPriority w:val="6"/>
    <w:qFormat w:val="1"/>
    <w:rsid w:val="005578D5"/>
    <w:rPr>
      <w:sz w:val="20"/>
    </w:rPr>
  </w:style>
  <w:style w:type="paragraph" w:styleId="Tabulkatext" w:customStyle="1">
    <w:name w:val="Tabulka text"/>
    <w:link w:val="TabulkatextChar"/>
    <w:uiPriority w:val="6"/>
    <w:qFormat w:val="1"/>
    <w:rsid w:val="005578D5"/>
    <w:pPr>
      <w:spacing w:after="60" w:before="60" w:line="240" w:lineRule="auto"/>
      <w:ind w:left="57" w:right="57"/>
    </w:pPr>
    <w:rPr>
      <w:sz w:val="20"/>
    </w:rPr>
  </w:style>
  <w:style w:type="character" w:styleId="Sledovanodkaz">
    <w:name w:val="FollowedHyperlink"/>
    <w:basedOn w:val="Standardnpsmoodstavce"/>
    <w:uiPriority w:val="99"/>
    <w:semiHidden w:val="1"/>
    <w:unhideWhenUsed w:val="1"/>
    <w:rsid w:val="00A71BF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Eva.Lepsova@praha.eu" TargetMode="External"/><Relationship Id="rId10" Type="http://schemas.openxmlformats.org/officeDocument/2006/relationships/hyperlink" Target="mailto:Katerina.Skanderova@praha.eu" TargetMode="External"/><Relationship Id="rId13" Type="http://schemas.openxmlformats.org/officeDocument/2006/relationships/hyperlink" Target="mailto:kleinwachterova@ipr.praha.eu" TargetMode="External"/><Relationship Id="rId12" Type="http://schemas.openxmlformats.org/officeDocument/2006/relationships/hyperlink" Target="http://www.penizeproprahu.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reza.fuka@praha.eu" TargetMode="External"/><Relationship Id="rId15" Type="http://schemas.openxmlformats.org/officeDocument/2006/relationships/hyperlink" Target="http://www.penizeproprahu.cz" TargetMode="External"/><Relationship Id="rId14" Type="http://schemas.openxmlformats.org/officeDocument/2006/relationships/hyperlink" Target="http://www.itipraha.eu" TargetMode="External"/><Relationship Id="rId17" Type="http://schemas.openxmlformats.org/officeDocument/2006/relationships/hyperlink" Target="http://www.penizeproprahu.cz" TargetMode="External"/><Relationship Id="rId16" Type="http://schemas.openxmlformats.org/officeDocument/2006/relationships/hyperlink" Target="http://www.penizeproprahu.cz"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www.penizeproprahu.cz" TargetMode="External"/><Relationship Id="rId7" Type="http://schemas.openxmlformats.org/officeDocument/2006/relationships/customXml" Target="../customXML/item1.xml"/><Relationship Id="rId8" Type="http://schemas.openxmlformats.org/officeDocument/2006/relationships/hyperlink" Target="https://mseu.mssf.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FYJe1SpUVoydGvEcAk0KQjFLw==">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2019-09-23T11:53:00Z</dcterms:created>
  <dc:creator>Fuka Tereza (MHMP, FON)</dc:creator>
</cp:coreProperties>
</file>