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AF6" w:rsidRDefault="00CC2AF6" w:rsidP="0087791E">
      <w:pPr>
        <w:tabs>
          <w:tab w:val="center" w:pos="4536"/>
        </w:tabs>
        <w:spacing w:after="0" w:line="480" w:lineRule="auto"/>
        <w:jc w:val="right"/>
        <w:rPr>
          <w:rFonts w:ascii="Arial" w:hAnsi="Arial" w:cs="Arial"/>
          <w:b/>
          <w:sz w:val="20"/>
          <w:szCs w:val="20"/>
        </w:rPr>
      </w:pPr>
    </w:p>
    <w:p w:rsidR="006E21FD" w:rsidRPr="006E21FD" w:rsidRDefault="0087791E" w:rsidP="0087791E">
      <w:pPr>
        <w:tabs>
          <w:tab w:val="center" w:pos="4536"/>
        </w:tabs>
        <w:spacing w:after="0" w:line="480" w:lineRule="auto"/>
        <w:jc w:val="right"/>
        <w:rPr>
          <w:rFonts w:ascii="Arial" w:hAnsi="Arial" w:cs="Arial"/>
          <w:b/>
          <w:sz w:val="20"/>
          <w:szCs w:val="20"/>
        </w:rPr>
      </w:pPr>
      <w:r>
        <w:rPr>
          <w:rFonts w:ascii="Arial" w:hAnsi="Arial" w:cs="Arial"/>
          <w:b/>
          <w:sz w:val="20"/>
          <w:szCs w:val="20"/>
        </w:rPr>
        <w:t>Tisková zpráva</w:t>
      </w:r>
    </w:p>
    <w:p w:rsidR="0087791E" w:rsidRDefault="00873A88" w:rsidP="00873A88">
      <w:pPr>
        <w:tabs>
          <w:tab w:val="left" w:pos="3255"/>
        </w:tabs>
        <w:rPr>
          <w:b/>
          <w:sz w:val="24"/>
          <w:szCs w:val="24"/>
        </w:rPr>
      </w:pPr>
      <w:r>
        <w:rPr>
          <w:b/>
          <w:sz w:val="24"/>
          <w:szCs w:val="24"/>
        </w:rPr>
        <w:tab/>
      </w:r>
    </w:p>
    <w:p w:rsidR="0087791E" w:rsidRPr="00F052D1" w:rsidRDefault="000A10B2" w:rsidP="0087791E">
      <w:pPr>
        <w:jc w:val="center"/>
        <w:rPr>
          <w:b/>
          <w:sz w:val="24"/>
          <w:szCs w:val="24"/>
        </w:rPr>
      </w:pPr>
      <w:r>
        <w:rPr>
          <w:b/>
          <w:sz w:val="24"/>
          <w:szCs w:val="24"/>
        </w:rPr>
        <w:t>Rada hl. m. Prahy odsouhlasila dal</w:t>
      </w:r>
      <w:r w:rsidR="003D0038">
        <w:rPr>
          <w:b/>
          <w:sz w:val="24"/>
          <w:szCs w:val="24"/>
        </w:rPr>
        <w:t>ší finanční podporu z OP PPR</w:t>
      </w:r>
      <w:bookmarkStart w:id="0" w:name="_GoBack"/>
      <w:bookmarkEnd w:id="0"/>
    </w:p>
    <w:p w:rsidR="00D731F9" w:rsidRDefault="00D731F9" w:rsidP="00EB1A0C">
      <w:pPr>
        <w:tabs>
          <w:tab w:val="left" w:pos="6015"/>
        </w:tabs>
        <w:rPr>
          <w:b/>
        </w:rPr>
      </w:pPr>
    </w:p>
    <w:p w:rsidR="0087791E" w:rsidRDefault="00EB1A0C" w:rsidP="00EB1A0C">
      <w:pPr>
        <w:tabs>
          <w:tab w:val="left" w:pos="6015"/>
        </w:tabs>
        <w:rPr>
          <w:b/>
        </w:rPr>
      </w:pPr>
      <w:r>
        <w:rPr>
          <w:b/>
        </w:rPr>
        <w:tab/>
      </w:r>
    </w:p>
    <w:p w:rsidR="00853FBD" w:rsidRDefault="0087791E" w:rsidP="005F5689">
      <w:pPr>
        <w:spacing w:after="120"/>
        <w:jc w:val="both"/>
        <w:rPr>
          <w:b/>
        </w:rPr>
      </w:pPr>
      <w:r>
        <w:rPr>
          <w:b/>
        </w:rPr>
        <w:t xml:space="preserve">PRAHA, </w:t>
      </w:r>
      <w:r w:rsidR="000A10B2">
        <w:rPr>
          <w:b/>
        </w:rPr>
        <w:t>17</w:t>
      </w:r>
      <w:r>
        <w:rPr>
          <w:b/>
        </w:rPr>
        <w:t>.</w:t>
      </w:r>
      <w:r w:rsidR="00E81A6F">
        <w:rPr>
          <w:b/>
        </w:rPr>
        <w:t xml:space="preserve"> </w:t>
      </w:r>
      <w:r w:rsidR="00874F54">
        <w:rPr>
          <w:b/>
        </w:rPr>
        <w:t>10</w:t>
      </w:r>
      <w:r w:rsidR="00E81A6F">
        <w:rPr>
          <w:b/>
        </w:rPr>
        <w:t>.</w:t>
      </w:r>
      <w:r>
        <w:rPr>
          <w:b/>
        </w:rPr>
        <w:t xml:space="preserve"> 2017 </w:t>
      </w:r>
      <w:r w:rsidR="00EB1A0C">
        <w:rPr>
          <w:b/>
        </w:rPr>
        <w:t>–</w:t>
      </w:r>
      <w:r>
        <w:rPr>
          <w:b/>
        </w:rPr>
        <w:t xml:space="preserve"> </w:t>
      </w:r>
      <w:r w:rsidR="000A10B2">
        <w:rPr>
          <w:b/>
        </w:rPr>
        <w:t xml:space="preserve">Radní hlavního města </w:t>
      </w:r>
      <w:r w:rsidR="00345250">
        <w:rPr>
          <w:b/>
        </w:rPr>
        <w:t xml:space="preserve">Prahy </w:t>
      </w:r>
      <w:r w:rsidR="000A10B2">
        <w:rPr>
          <w:b/>
        </w:rPr>
        <w:t>odsouhlasili další z řady projektů, které podpoří v rámci multifondového</w:t>
      </w:r>
      <w:r w:rsidR="004C6138">
        <w:rPr>
          <w:b/>
        </w:rPr>
        <w:t xml:space="preserve"> Operační</w:t>
      </w:r>
      <w:r w:rsidR="000A10B2">
        <w:rPr>
          <w:b/>
        </w:rPr>
        <w:t>ho</w:t>
      </w:r>
      <w:r w:rsidR="004C6138">
        <w:rPr>
          <w:b/>
        </w:rPr>
        <w:t xml:space="preserve"> program</w:t>
      </w:r>
      <w:r w:rsidR="000A10B2">
        <w:rPr>
          <w:b/>
        </w:rPr>
        <w:t>u</w:t>
      </w:r>
      <w:r w:rsidR="004C6138">
        <w:rPr>
          <w:b/>
        </w:rPr>
        <w:t xml:space="preserve"> Praha – pól růstu ČR</w:t>
      </w:r>
      <w:r w:rsidR="000A10B2">
        <w:rPr>
          <w:b/>
        </w:rPr>
        <w:t xml:space="preserve">. Tentokrát jde o projekty z oblasti </w:t>
      </w:r>
      <w:r w:rsidR="00CD705E">
        <w:rPr>
          <w:b/>
        </w:rPr>
        <w:t>„Udržitelná</w:t>
      </w:r>
      <w:r w:rsidR="00345250">
        <w:rPr>
          <w:b/>
        </w:rPr>
        <w:t xml:space="preserve"> mobilita a energetické úspory“ a</w:t>
      </w:r>
      <w:r w:rsidR="00CD705E">
        <w:rPr>
          <w:b/>
        </w:rPr>
        <w:t xml:space="preserve"> „Podpora sociálního začleňování a boj proti chudobě“.</w:t>
      </w:r>
    </w:p>
    <w:p w:rsidR="0087791E" w:rsidRPr="005A78C1" w:rsidRDefault="00F463ED" w:rsidP="005F5689">
      <w:pPr>
        <w:spacing w:after="120"/>
        <w:jc w:val="both"/>
      </w:pPr>
      <w:r>
        <w:t>V rámci výzvy</w:t>
      </w:r>
      <w:r w:rsidR="00084166">
        <w:t xml:space="preserve"> č. 40</w:t>
      </w:r>
      <w:r>
        <w:t xml:space="preserve"> </w:t>
      </w:r>
      <w:r w:rsidRPr="00084166">
        <w:t>Operačního programu Praha – pól růstu ČR</w:t>
      </w:r>
      <w:r w:rsidR="00084166">
        <w:t xml:space="preserve"> odsouhlasila Rada hl. m. Prahy </w:t>
      </w:r>
      <w:r w:rsidR="00DB0384">
        <w:t>podporu</w:t>
      </w:r>
      <w:r w:rsidR="00084166">
        <w:t xml:space="preserve"> </w:t>
      </w:r>
      <w:r w:rsidR="00DB0384">
        <w:t>projektu v oblasti</w:t>
      </w:r>
      <w:r w:rsidR="00084166">
        <w:t xml:space="preserve"> „</w:t>
      </w:r>
      <w:r w:rsidR="00A5320F">
        <w:t>Zvýšení energetické efektivity v soustavě veřejného osvětlení hlavního města Prahy“</w:t>
      </w:r>
      <w:r w:rsidR="00521CD0">
        <w:t>, na který je připraveno téměř 83 mil. Kč.</w:t>
      </w:r>
    </w:p>
    <w:p w:rsidR="0087791E" w:rsidRPr="00AA5FAD" w:rsidRDefault="00D61B9C" w:rsidP="005F5689">
      <w:pPr>
        <w:spacing w:after="120"/>
        <w:jc w:val="both"/>
        <w:rPr>
          <w:i/>
          <w:iCs/>
        </w:rPr>
      </w:pPr>
      <w:r>
        <w:rPr>
          <w:rStyle w:val="Zdraznn"/>
        </w:rPr>
        <w:t>„</w:t>
      </w:r>
      <w:r w:rsidR="00521CD0">
        <w:rPr>
          <w:rStyle w:val="Zdraznn"/>
        </w:rPr>
        <w:t xml:space="preserve">Velice mne těší, že sama metropole využívá unikátní možnosti </w:t>
      </w:r>
      <w:r w:rsidR="00810FF7">
        <w:rPr>
          <w:rStyle w:val="Zdraznn"/>
        </w:rPr>
        <w:t xml:space="preserve">čerpání financí z našeho operačního programu. </w:t>
      </w:r>
      <w:r w:rsidR="00FC6CA6">
        <w:rPr>
          <w:rStyle w:val="Zdraznn"/>
        </w:rPr>
        <w:t>Projekty, které sníží energetickou náročnost fungování města a celkově tuto oblast zefektivní, jsou tím ideálním cílem možných investic do rozvoje,</w:t>
      </w:r>
      <w:r w:rsidR="0087791E" w:rsidRPr="00AA5FAD">
        <w:rPr>
          <w:rStyle w:val="Zdraznn"/>
        </w:rPr>
        <w:t>“</w:t>
      </w:r>
      <w:r w:rsidR="0087791E" w:rsidRPr="00AA5FAD">
        <w:t xml:space="preserve"> </w:t>
      </w:r>
      <w:r w:rsidR="001F385F">
        <w:t>uvedla</w:t>
      </w:r>
      <w:r w:rsidR="0087791E" w:rsidRPr="00AA5FAD">
        <w:t xml:space="preserve"> radní pro oblast školství a evropských fondů Irena Ropková.</w:t>
      </w:r>
    </w:p>
    <w:p w:rsidR="00853FBD" w:rsidRDefault="00FB26F2" w:rsidP="005F5689">
      <w:pPr>
        <w:spacing w:after="120"/>
        <w:jc w:val="both"/>
      </w:pPr>
      <w:r>
        <w:t xml:space="preserve">Rada hl. m. Prahy </w:t>
      </w:r>
      <w:r w:rsidR="00DC44D2">
        <w:t>také</w:t>
      </w:r>
      <w:r>
        <w:t xml:space="preserve"> odsouhlasila </w:t>
      </w:r>
      <w:r w:rsidR="00DC44D2">
        <w:t xml:space="preserve">projekty z výzev č. 25 a č. 27., které mají posílit infrastrukturu pro sociální podnikání a </w:t>
      </w:r>
      <w:r w:rsidR="00EC00CD">
        <w:t xml:space="preserve">dále také posílit sociální infrastrukturu </w:t>
      </w:r>
      <w:r w:rsidR="00DC44D2">
        <w:t>pro integraci, komunitní služby a prevenci.</w:t>
      </w:r>
      <w:r w:rsidR="00EB40C2">
        <w:t xml:space="preserve"> </w:t>
      </w:r>
      <w:r w:rsidR="00EC00CD">
        <w:t xml:space="preserve">Odboru evropských fondů bylo předloženo celkem třicet pět žádostí o podporu, z nichž bylo celkem sedmnáct projektů vyhodnoceno a doporučeno k financování. Ve výzvě č. </w:t>
      </w:r>
      <w:r w:rsidR="00DE3DAC">
        <w:t>25 a jejím specifickém cíli 3.2</w:t>
      </w:r>
      <w:r w:rsidR="00EC00CD">
        <w:t xml:space="preserve"> „Posílení </w:t>
      </w:r>
      <w:r w:rsidR="004F2484">
        <w:t>infrastruktury pro sociální podnikání“ bude podpořeno konkrétně sedm projektů částkou více než 22,6 mil. Kč. Projekty jsou zaměřeny na pomoc například osobám se zdravotním postižením, nezaměstnaným starším 50 let, dlouhodobě nezaměstnaným, osobám po výkonu trestu, ohroženým závislostmi nebo příslušníkům etnických menšin či z odlišného sociokulturního prostředí.</w:t>
      </w:r>
      <w:r w:rsidR="00E6576A">
        <w:t xml:space="preserve"> Ve výzvě č. 27 </w:t>
      </w:r>
      <w:r w:rsidR="0048121C">
        <w:t xml:space="preserve">a jejím specifickém cíli 3.1 „Posílená sociální infrastruktura pro integraci, komunitní služby a prevenci“ </w:t>
      </w:r>
      <w:r w:rsidR="00560AB6">
        <w:t>radní odsouhlasili podporu deseti projektům, které jsou orientovány například na rodiny s dětmi a mládeží v nepříznivé sociální situaci, osoby se zdravotním postižením, rodiče samoživitele, osoby bez přístřeší, ohrožené bezdomovectvím nebo příkladně oběti trestné činnosti či domácího násilí.</w:t>
      </w:r>
    </w:p>
    <w:p w:rsidR="00560AB6" w:rsidRPr="00AA5FAD" w:rsidRDefault="00560AB6" w:rsidP="00560AB6">
      <w:pPr>
        <w:spacing w:after="120"/>
        <w:jc w:val="both"/>
        <w:rPr>
          <w:i/>
          <w:iCs/>
        </w:rPr>
      </w:pPr>
      <w:r>
        <w:rPr>
          <w:rStyle w:val="Zdraznn"/>
        </w:rPr>
        <w:t>„</w:t>
      </w:r>
      <w:r w:rsidR="003E1580">
        <w:rPr>
          <w:rStyle w:val="Zdraznn"/>
        </w:rPr>
        <w:t xml:space="preserve">Dnes jsme opět podpořili </w:t>
      </w:r>
      <w:r w:rsidR="00241B2A">
        <w:rPr>
          <w:rStyle w:val="Zdraznn"/>
        </w:rPr>
        <w:t xml:space="preserve">i </w:t>
      </w:r>
      <w:r w:rsidR="003E1580">
        <w:rPr>
          <w:rStyle w:val="Zdraznn"/>
        </w:rPr>
        <w:t xml:space="preserve">projekty, které mají </w:t>
      </w:r>
      <w:r w:rsidR="00241B2A">
        <w:rPr>
          <w:rStyle w:val="Zdraznn"/>
        </w:rPr>
        <w:t>silný</w:t>
      </w:r>
      <w:r w:rsidR="003E1580">
        <w:rPr>
          <w:rStyle w:val="Zdraznn"/>
        </w:rPr>
        <w:t xml:space="preserve"> sociální aspekt. Domnívám se, že je velmi společensky </w:t>
      </w:r>
      <w:r w:rsidR="00241B2A">
        <w:rPr>
          <w:rStyle w:val="Zdraznn"/>
        </w:rPr>
        <w:t>důležit</w:t>
      </w:r>
      <w:r w:rsidR="003E1580">
        <w:rPr>
          <w:rStyle w:val="Zdraznn"/>
        </w:rPr>
        <w:t>é, abychom využili současných možností financovat právě tento druh projektů. Pokud se společnost přestane zajímat o</w:t>
      </w:r>
      <w:r w:rsidR="004C73B1">
        <w:rPr>
          <w:rStyle w:val="Zdraznn"/>
        </w:rPr>
        <w:t xml:space="preserve"> </w:t>
      </w:r>
      <w:r w:rsidR="003E1580">
        <w:rPr>
          <w:rStyle w:val="Zdraznn"/>
        </w:rPr>
        <w:t>sociálně slabé skupiny, může to přinášet mnohem větší problémy v budoucnosti. Já osobn</w:t>
      </w:r>
      <w:r w:rsidR="008E6AEA">
        <w:rPr>
          <w:rStyle w:val="Zdraznn"/>
        </w:rPr>
        <w:t xml:space="preserve">ě jsem velmi ráda, že například </w:t>
      </w:r>
      <w:r w:rsidR="003E1580">
        <w:rPr>
          <w:rStyle w:val="Zdraznn"/>
        </w:rPr>
        <w:t xml:space="preserve">ve výzvě </w:t>
      </w:r>
      <w:r w:rsidR="00241B2A">
        <w:rPr>
          <w:rStyle w:val="Zdraznn"/>
        </w:rPr>
        <w:t xml:space="preserve">číslo </w:t>
      </w:r>
      <w:r w:rsidR="003E1580">
        <w:rPr>
          <w:rStyle w:val="Zdraznn"/>
        </w:rPr>
        <w:t xml:space="preserve">27 </w:t>
      </w:r>
      <w:r w:rsidR="00241B2A">
        <w:rPr>
          <w:rStyle w:val="Zdraznn"/>
        </w:rPr>
        <w:t>může být na projekty</w:t>
      </w:r>
      <w:r w:rsidR="003E1580" w:rsidRPr="003E1580">
        <w:rPr>
          <w:rStyle w:val="Zdraznn"/>
        </w:rPr>
        <w:t xml:space="preserve"> k</w:t>
      </w:r>
      <w:r w:rsidR="003E1580">
        <w:rPr>
          <w:rStyle w:val="Zdraznn"/>
        </w:rPr>
        <w:t> posílení</w:t>
      </w:r>
      <w:r w:rsidR="003E1580" w:rsidRPr="003E1580">
        <w:t xml:space="preserve"> </w:t>
      </w:r>
      <w:r w:rsidR="003E1580" w:rsidRPr="003E1580">
        <w:rPr>
          <w:i/>
        </w:rPr>
        <w:t>sociální infrastruktur</w:t>
      </w:r>
      <w:r w:rsidR="00241B2A">
        <w:rPr>
          <w:i/>
        </w:rPr>
        <w:t>y</w:t>
      </w:r>
      <w:r w:rsidR="003E1580" w:rsidRPr="003E1580">
        <w:rPr>
          <w:i/>
        </w:rPr>
        <w:t xml:space="preserve"> pro integraci, komunitní služby a prevenci</w:t>
      </w:r>
      <w:r>
        <w:rPr>
          <w:rStyle w:val="Zdraznn"/>
        </w:rPr>
        <w:t>,</w:t>
      </w:r>
      <w:r w:rsidR="004C73B1">
        <w:rPr>
          <w:rStyle w:val="Zdraznn"/>
        </w:rPr>
        <w:t xml:space="preserve"> využita částka </w:t>
      </w:r>
      <w:r w:rsidR="003665BA">
        <w:rPr>
          <w:rStyle w:val="Zdraznn"/>
        </w:rPr>
        <w:t>pře</w:t>
      </w:r>
      <w:r w:rsidR="00853FBD">
        <w:rPr>
          <w:rStyle w:val="Zdraznn"/>
        </w:rPr>
        <w:t>sahující 107 milionů korun,</w:t>
      </w:r>
      <w:r w:rsidRPr="00AA5FAD">
        <w:rPr>
          <w:rStyle w:val="Zdraznn"/>
        </w:rPr>
        <w:t>“</w:t>
      </w:r>
      <w:r w:rsidRPr="00AA5FAD">
        <w:t xml:space="preserve"> </w:t>
      </w:r>
      <w:r w:rsidR="00853FBD">
        <w:t>doplnila</w:t>
      </w:r>
      <w:r w:rsidRPr="00AA5FAD">
        <w:t xml:space="preserve"> radní pro oblast školství a evropských fondů Irena Ropková.</w:t>
      </w:r>
    </w:p>
    <w:p w:rsidR="00EC00CD" w:rsidRDefault="00EC00CD" w:rsidP="005F5689">
      <w:pPr>
        <w:spacing w:after="120"/>
        <w:jc w:val="both"/>
      </w:pPr>
    </w:p>
    <w:p w:rsidR="006E21FD" w:rsidRDefault="00B273CA" w:rsidP="005F5689">
      <w:pPr>
        <w:pStyle w:val="Normlnweb"/>
        <w:shd w:val="clear" w:color="auto" w:fill="FFFFFF"/>
        <w:spacing w:before="0" w:beforeAutospacing="0" w:after="120" w:afterAutospacing="0" w:line="276" w:lineRule="auto"/>
        <w:jc w:val="both"/>
        <w:rPr>
          <w:rFonts w:cs="Arial"/>
          <w:color w:val="000000"/>
          <w:shd w:val="clear" w:color="auto" w:fill="FFFFFF"/>
        </w:rPr>
      </w:pPr>
      <w:r>
        <w:rPr>
          <w:rFonts w:asciiTheme="minorHAnsi" w:eastAsiaTheme="minorEastAsia" w:hAnsiTheme="minorHAnsi" w:cs="Arial"/>
          <w:color w:val="000000"/>
          <w:sz w:val="22"/>
          <w:szCs w:val="22"/>
          <w:shd w:val="clear" w:color="auto" w:fill="FFFFFF"/>
        </w:rPr>
        <w:lastRenderedPageBreak/>
        <w:t>Veškeré</w:t>
      </w:r>
      <w:r w:rsidR="00FA7668">
        <w:rPr>
          <w:rFonts w:asciiTheme="minorHAnsi" w:eastAsiaTheme="minorEastAsia" w:hAnsiTheme="minorHAnsi" w:cs="Arial"/>
          <w:color w:val="000000"/>
          <w:sz w:val="22"/>
          <w:szCs w:val="22"/>
          <w:shd w:val="clear" w:color="auto" w:fill="FFFFFF"/>
        </w:rPr>
        <w:t xml:space="preserve"> informace</w:t>
      </w:r>
      <w:r w:rsidR="00E81A6F">
        <w:rPr>
          <w:rFonts w:asciiTheme="minorHAnsi" w:eastAsiaTheme="minorEastAsia" w:hAnsiTheme="minorHAnsi" w:cs="Arial"/>
          <w:color w:val="000000"/>
          <w:sz w:val="22"/>
          <w:szCs w:val="22"/>
          <w:shd w:val="clear" w:color="auto" w:fill="FFFFFF"/>
        </w:rPr>
        <w:t xml:space="preserve"> </w:t>
      </w:r>
      <w:r w:rsidR="007A0C43" w:rsidRPr="0087791E">
        <w:rPr>
          <w:rFonts w:asciiTheme="minorHAnsi" w:hAnsiTheme="minorHAnsi" w:cs="Arial"/>
          <w:color w:val="000000"/>
          <w:sz w:val="22"/>
          <w:szCs w:val="22"/>
          <w:shd w:val="clear" w:color="auto" w:fill="FFFFFF"/>
        </w:rPr>
        <w:t xml:space="preserve">o Operačním programu Praha – pól růstu </w:t>
      </w:r>
      <w:r w:rsidR="0087791E" w:rsidRPr="0087791E">
        <w:rPr>
          <w:rFonts w:asciiTheme="minorHAnsi" w:hAnsiTheme="minorHAnsi" w:cs="Arial"/>
          <w:color w:val="000000"/>
          <w:sz w:val="22"/>
          <w:szCs w:val="22"/>
          <w:shd w:val="clear" w:color="auto" w:fill="FFFFFF"/>
        </w:rPr>
        <w:t xml:space="preserve">ČR </w:t>
      </w:r>
      <w:r w:rsidR="00FA7668">
        <w:rPr>
          <w:rFonts w:asciiTheme="minorHAnsi" w:hAnsiTheme="minorHAnsi" w:cs="Arial"/>
          <w:color w:val="000000"/>
          <w:sz w:val="22"/>
          <w:szCs w:val="22"/>
          <w:shd w:val="clear" w:color="auto" w:fill="FFFFFF"/>
        </w:rPr>
        <w:t>jsou zájemcům k dispozici</w:t>
      </w:r>
      <w:r w:rsidR="0087791E">
        <w:rPr>
          <w:rFonts w:asciiTheme="minorHAnsi" w:hAnsiTheme="minorHAnsi" w:cs="Arial"/>
          <w:color w:val="000000"/>
          <w:sz w:val="22"/>
          <w:szCs w:val="22"/>
          <w:shd w:val="clear" w:color="auto" w:fill="FFFFFF"/>
        </w:rPr>
        <w:t xml:space="preserve"> na webových </w:t>
      </w:r>
      <w:r w:rsidR="0087791E" w:rsidRPr="0087791E">
        <w:rPr>
          <w:rFonts w:asciiTheme="minorHAnsi" w:hAnsiTheme="minorHAnsi" w:cs="Arial"/>
          <w:color w:val="000000"/>
          <w:sz w:val="22"/>
          <w:szCs w:val="22"/>
          <w:shd w:val="clear" w:color="auto" w:fill="FFFFFF"/>
        </w:rPr>
        <w:t>stránkách </w:t>
      </w:r>
      <w:hyperlink r:id="rId7" w:history="1">
        <w:r w:rsidR="0087791E" w:rsidRPr="0087791E">
          <w:rPr>
            <w:rStyle w:val="Hypertextovodkaz"/>
            <w:rFonts w:asciiTheme="minorHAnsi" w:hAnsiTheme="minorHAnsi" w:cstheme="minorHAnsi"/>
            <w:sz w:val="22"/>
            <w:szCs w:val="22"/>
            <w:shd w:val="clear" w:color="auto" w:fill="FFFFFF"/>
          </w:rPr>
          <w:t>www.penizeproprahu.cz</w:t>
        </w:r>
      </w:hyperlink>
      <w:r w:rsidR="0087791E">
        <w:rPr>
          <w:rFonts w:asciiTheme="minorHAnsi" w:hAnsiTheme="minorHAnsi" w:cstheme="minorHAnsi"/>
          <w:color w:val="000000"/>
          <w:sz w:val="22"/>
          <w:szCs w:val="22"/>
          <w:shd w:val="clear" w:color="auto" w:fill="FFFFFF"/>
        </w:rPr>
        <w:t>.</w:t>
      </w:r>
    </w:p>
    <w:p w:rsidR="0087791E" w:rsidRDefault="0087791E" w:rsidP="005F5689">
      <w:pPr>
        <w:pStyle w:val="Normlnweb"/>
        <w:shd w:val="clear" w:color="auto" w:fill="FFFFFF"/>
        <w:spacing w:before="0" w:beforeAutospacing="0" w:after="120" w:afterAutospacing="0" w:line="276" w:lineRule="auto"/>
        <w:jc w:val="both"/>
        <w:rPr>
          <w:rFonts w:asciiTheme="minorHAnsi" w:eastAsiaTheme="minorEastAsia" w:hAnsiTheme="minorHAnsi" w:cs="Arial"/>
          <w:color w:val="000000"/>
          <w:sz w:val="22"/>
          <w:szCs w:val="22"/>
          <w:shd w:val="clear" w:color="auto" w:fill="FFFFFF"/>
        </w:rPr>
      </w:pPr>
    </w:p>
    <w:p w:rsidR="00706F57" w:rsidRPr="0087791E" w:rsidRDefault="00706F57" w:rsidP="005F5689">
      <w:pPr>
        <w:pStyle w:val="Normlnweb"/>
        <w:shd w:val="clear" w:color="auto" w:fill="FFFFFF"/>
        <w:spacing w:before="0" w:beforeAutospacing="0" w:after="120" w:afterAutospacing="0" w:line="276" w:lineRule="auto"/>
        <w:jc w:val="both"/>
        <w:rPr>
          <w:rFonts w:asciiTheme="minorHAnsi" w:eastAsiaTheme="minorEastAsia" w:hAnsiTheme="minorHAnsi" w:cs="Arial"/>
          <w:color w:val="000000"/>
          <w:sz w:val="22"/>
          <w:szCs w:val="22"/>
          <w:shd w:val="clear" w:color="auto" w:fill="FFFFFF"/>
        </w:rPr>
      </w:pPr>
    </w:p>
    <w:p w:rsidR="00EE04A1" w:rsidRDefault="00EE04A1" w:rsidP="00E81A6F">
      <w:pPr>
        <w:ind w:left="709"/>
        <w:jc w:val="both"/>
        <w:rPr>
          <w:rFonts w:ascii="Arial" w:hAnsi="Arial" w:cs="Arial"/>
        </w:rPr>
      </w:pPr>
      <w:r>
        <w:rPr>
          <w:b/>
        </w:rPr>
        <w:t>_____________________________________________________________________</w:t>
      </w:r>
    </w:p>
    <w:p w:rsidR="00EE04A1" w:rsidRDefault="00EE04A1" w:rsidP="00E81A6F">
      <w:pPr>
        <w:spacing w:before="20" w:after="20"/>
        <w:ind w:left="720"/>
        <w:jc w:val="both"/>
        <w:rPr>
          <w:rFonts w:ascii="Arial" w:hAnsi="Arial" w:cs="Arial"/>
          <w:b/>
          <w:i/>
          <w:iCs/>
          <w:sz w:val="18"/>
          <w:szCs w:val="16"/>
        </w:rPr>
      </w:pPr>
    </w:p>
    <w:p w:rsidR="00EE04A1" w:rsidRDefault="00EE04A1" w:rsidP="00E81A6F">
      <w:pPr>
        <w:spacing w:before="60" w:after="60"/>
        <w:ind w:left="720"/>
        <w:jc w:val="both"/>
        <w:outlineLvl w:val="0"/>
        <w:rPr>
          <w:rFonts w:ascii="Arial" w:hAnsi="Arial" w:cs="Arial"/>
          <w:b/>
          <w:i/>
          <w:iCs/>
          <w:caps/>
          <w:sz w:val="18"/>
          <w:szCs w:val="16"/>
        </w:rPr>
      </w:pPr>
      <w:r>
        <w:rPr>
          <w:rFonts w:ascii="Arial" w:hAnsi="Arial" w:cs="Arial"/>
          <w:b/>
          <w:i/>
          <w:iCs/>
          <w:sz w:val="18"/>
          <w:szCs w:val="16"/>
        </w:rPr>
        <w:t>Ing. Mgr. Irena Ropková  – radní hl. m. Prahy (ČSSD)</w:t>
      </w:r>
    </w:p>
    <w:p w:rsidR="00EE04A1" w:rsidRDefault="00EE04A1" w:rsidP="00E81A6F">
      <w:pPr>
        <w:ind w:left="720"/>
        <w:jc w:val="both"/>
        <w:rPr>
          <w:rFonts w:ascii="Arial" w:hAnsi="Arial" w:cs="Arial"/>
          <w:szCs w:val="24"/>
        </w:rPr>
      </w:pPr>
      <w:r>
        <w:rPr>
          <w:rFonts w:ascii="Arial" w:hAnsi="Arial" w:cs="Arial"/>
          <w:i/>
          <w:iCs/>
          <w:sz w:val="18"/>
          <w:szCs w:val="18"/>
        </w:rPr>
        <w:t xml:space="preserve">Do funkce zvolena 28. 4. 2016. Působnost v oblasti školství a evropských fondů. </w:t>
      </w:r>
      <w:r>
        <w:rPr>
          <w:b/>
        </w:rPr>
        <w:t>___________________________________________________________________</w:t>
      </w:r>
    </w:p>
    <w:p w:rsidR="00EE04A1" w:rsidRDefault="00EE04A1" w:rsidP="00EE04A1"/>
    <w:p w:rsidR="009042BC" w:rsidRDefault="009042BC" w:rsidP="00ED6C23">
      <w:pPr>
        <w:spacing w:after="0" w:line="480" w:lineRule="auto"/>
        <w:jc w:val="both"/>
        <w:rPr>
          <w:rFonts w:ascii="Arial" w:hAnsi="Arial" w:cs="Arial"/>
          <w:sz w:val="20"/>
          <w:szCs w:val="20"/>
        </w:rPr>
      </w:pPr>
    </w:p>
    <w:p w:rsidR="00EE04A1" w:rsidRDefault="00EE04A1" w:rsidP="00ED6C23">
      <w:pPr>
        <w:spacing w:after="0" w:line="480" w:lineRule="auto"/>
        <w:jc w:val="both"/>
        <w:rPr>
          <w:rFonts w:ascii="Arial" w:hAnsi="Arial" w:cs="Arial"/>
          <w:sz w:val="20"/>
          <w:szCs w:val="20"/>
        </w:rPr>
      </w:pPr>
    </w:p>
    <w:p w:rsidR="00EE04A1" w:rsidRDefault="00EE04A1" w:rsidP="00ED6C23">
      <w:pPr>
        <w:spacing w:after="0" w:line="480" w:lineRule="auto"/>
        <w:jc w:val="both"/>
        <w:rPr>
          <w:rFonts w:ascii="Arial" w:hAnsi="Arial" w:cs="Arial"/>
          <w:sz w:val="20"/>
          <w:szCs w:val="20"/>
        </w:rPr>
      </w:pPr>
    </w:p>
    <w:p w:rsidR="00EE04A1" w:rsidRDefault="00EE04A1" w:rsidP="00ED6C23">
      <w:pPr>
        <w:spacing w:after="0" w:line="480" w:lineRule="auto"/>
        <w:jc w:val="both"/>
        <w:rPr>
          <w:rFonts w:ascii="Arial" w:hAnsi="Arial" w:cs="Arial"/>
          <w:sz w:val="20"/>
          <w:szCs w:val="20"/>
        </w:rPr>
      </w:pPr>
    </w:p>
    <w:p w:rsidR="00EE04A1" w:rsidRDefault="00EE04A1" w:rsidP="00ED6C23">
      <w:pPr>
        <w:spacing w:after="0" w:line="480" w:lineRule="auto"/>
        <w:jc w:val="both"/>
        <w:rPr>
          <w:rFonts w:ascii="Arial" w:hAnsi="Arial" w:cs="Arial"/>
          <w:sz w:val="20"/>
          <w:szCs w:val="20"/>
        </w:rPr>
      </w:pPr>
    </w:p>
    <w:p w:rsidR="009042BC" w:rsidRDefault="009042BC" w:rsidP="00ED6C23">
      <w:pPr>
        <w:spacing w:after="0" w:line="480" w:lineRule="auto"/>
        <w:jc w:val="both"/>
        <w:rPr>
          <w:rFonts w:ascii="Arial" w:hAnsi="Arial" w:cs="Arial"/>
          <w:sz w:val="20"/>
          <w:szCs w:val="20"/>
        </w:rPr>
      </w:pPr>
    </w:p>
    <w:p w:rsidR="009042BC" w:rsidRDefault="009042BC" w:rsidP="00ED6C23">
      <w:pPr>
        <w:spacing w:after="0" w:line="480" w:lineRule="auto"/>
        <w:jc w:val="both"/>
        <w:rPr>
          <w:rFonts w:ascii="Arial" w:hAnsi="Arial" w:cs="Arial"/>
          <w:sz w:val="20"/>
          <w:szCs w:val="20"/>
        </w:rPr>
      </w:pPr>
    </w:p>
    <w:p w:rsidR="009042BC" w:rsidRDefault="009042BC" w:rsidP="00ED6C23">
      <w:pPr>
        <w:spacing w:after="0" w:line="480" w:lineRule="auto"/>
        <w:jc w:val="both"/>
        <w:rPr>
          <w:rFonts w:ascii="Arial" w:hAnsi="Arial" w:cs="Arial"/>
          <w:sz w:val="20"/>
          <w:szCs w:val="20"/>
        </w:rPr>
      </w:pPr>
    </w:p>
    <w:p w:rsidR="009042BC" w:rsidRDefault="009042BC" w:rsidP="00ED6C23">
      <w:pPr>
        <w:spacing w:after="0" w:line="480" w:lineRule="auto"/>
        <w:jc w:val="both"/>
        <w:rPr>
          <w:rFonts w:ascii="Arial" w:hAnsi="Arial" w:cs="Arial"/>
          <w:sz w:val="20"/>
          <w:szCs w:val="20"/>
        </w:rPr>
      </w:pPr>
    </w:p>
    <w:p w:rsidR="009042BC" w:rsidRDefault="009042BC" w:rsidP="00ED6C23">
      <w:pPr>
        <w:spacing w:after="0" w:line="480" w:lineRule="auto"/>
        <w:jc w:val="both"/>
        <w:rPr>
          <w:rFonts w:ascii="Arial" w:hAnsi="Arial" w:cs="Arial"/>
          <w:sz w:val="20"/>
          <w:szCs w:val="20"/>
        </w:rPr>
      </w:pPr>
    </w:p>
    <w:p w:rsidR="009042BC" w:rsidRDefault="009042BC" w:rsidP="00ED6C23">
      <w:pPr>
        <w:spacing w:after="0" w:line="480" w:lineRule="auto"/>
        <w:jc w:val="both"/>
        <w:rPr>
          <w:rFonts w:ascii="Arial" w:hAnsi="Arial" w:cs="Arial"/>
          <w:sz w:val="20"/>
          <w:szCs w:val="20"/>
        </w:rPr>
      </w:pPr>
    </w:p>
    <w:p w:rsidR="009042BC" w:rsidRDefault="009042BC" w:rsidP="00ED6C23">
      <w:pPr>
        <w:spacing w:after="0" w:line="480" w:lineRule="auto"/>
        <w:jc w:val="both"/>
        <w:rPr>
          <w:rFonts w:ascii="Arial" w:hAnsi="Arial" w:cs="Arial"/>
          <w:sz w:val="20"/>
          <w:szCs w:val="20"/>
        </w:rPr>
      </w:pPr>
    </w:p>
    <w:p w:rsidR="009042BC" w:rsidRDefault="009042BC" w:rsidP="00ED6C23">
      <w:pPr>
        <w:spacing w:after="0" w:line="480" w:lineRule="auto"/>
        <w:jc w:val="both"/>
        <w:rPr>
          <w:rFonts w:ascii="Arial" w:hAnsi="Arial" w:cs="Arial"/>
          <w:sz w:val="20"/>
          <w:szCs w:val="20"/>
        </w:rPr>
      </w:pPr>
    </w:p>
    <w:p w:rsidR="009042BC" w:rsidRDefault="009042BC" w:rsidP="00ED6C23">
      <w:pPr>
        <w:spacing w:after="0" w:line="480" w:lineRule="auto"/>
        <w:jc w:val="both"/>
        <w:rPr>
          <w:rFonts w:ascii="Arial" w:hAnsi="Arial" w:cs="Arial"/>
          <w:sz w:val="20"/>
          <w:szCs w:val="20"/>
        </w:rPr>
      </w:pPr>
    </w:p>
    <w:p w:rsidR="009042BC" w:rsidRDefault="009042BC" w:rsidP="00ED6C23">
      <w:pPr>
        <w:spacing w:after="0" w:line="480" w:lineRule="auto"/>
        <w:jc w:val="both"/>
        <w:rPr>
          <w:rFonts w:ascii="Arial" w:hAnsi="Arial" w:cs="Arial"/>
          <w:sz w:val="20"/>
          <w:szCs w:val="20"/>
        </w:rPr>
      </w:pPr>
    </w:p>
    <w:p w:rsidR="009042BC" w:rsidRDefault="009042BC" w:rsidP="00ED6C23">
      <w:pPr>
        <w:spacing w:after="0" w:line="480" w:lineRule="auto"/>
        <w:jc w:val="both"/>
        <w:rPr>
          <w:rFonts w:ascii="Arial" w:hAnsi="Arial" w:cs="Arial"/>
          <w:sz w:val="20"/>
          <w:szCs w:val="20"/>
        </w:rPr>
      </w:pPr>
    </w:p>
    <w:p w:rsidR="009042BC" w:rsidRPr="001943E1" w:rsidRDefault="009042BC" w:rsidP="00ED6C23">
      <w:pPr>
        <w:spacing w:after="0" w:line="480" w:lineRule="auto"/>
        <w:jc w:val="both"/>
        <w:rPr>
          <w:rFonts w:ascii="Arial" w:hAnsi="Arial" w:cs="Arial"/>
          <w:sz w:val="20"/>
          <w:szCs w:val="20"/>
        </w:rPr>
      </w:pPr>
    </w:p>
    <w:p w:rsidR="009042BC" w:rsidRPr="00F70FEF" w:rsidRDefault="009042BC" w:rsidP="009042BC">
      <w:pPr>
        <w:spacing w:after="0" w:line="240" w:lineRule="auto"/>
        <w:jc w:val="center"/>
        <w:rPr>
          <w:rFonts w:ascii="Arial" w:hAnsi="Arial" w:cs="Arial"/>
          <w:sz w:val="16"/>
          <w:szCs w:val="16"/>
        </w:rPr>
      </w:pPr>
      <w:r w:rsidRPr="00F70FEF">
        <w:rPr>
          <w:rFonts w:ascii="Arial" w:hAnsi="Arial" w:cs="Arial"/>
          <w:sz w:val="16"/>
          <w:szCs w:val="16"/>
        </w:rPr>
        <w:t>Hlavní město Praha, Magistrát hl. m. Prahy - Odbor evropských fondů Jungmannova 35/29, 110 00 Praha 1 – Nové Město</w:t>
      </w:r>
    </w:p>
    <w:p w:rsidR="009042BC" w:rsidRPr="00F70FEF" w:rsidRDefault="009042BC" w:rsidP="009042BC">
      <w:pPr>
        <w:spacing w:after="0" w:line="240" w:lineRule="auto"/>
        <w:jc w:val="center"/>
        <w:rPr>
          <w:rStyle w:val="Internetlink"/>
          <w:rFonts w:ascii="Arial" w:hAnsi="Arial" w:cs="Arial"/>
          <w:sz w:val="16"/>
          <w:szCs w:val="16"/>
          <w:lang w:eastAsia="en-US"/>
        </w:rPr>
      </w:pPr>
      <w:r w:rsidRPr="00F70FEF">
        <w:rPr>
          <w:rStyle w:val="Internetlink"/>
          <w:rFonts w:ascii="Arial" w:hAnsi="Arial" w:cs="Arial"/>
          <w:sz w:val="16"/>
          <w:szCs w:val="16"/>
          <w:lang w:eastAsia="en-US"/>
        </w:rPr>
        <w:t xml:space="preserve">e-mail: </w:t>
      </w:r>
      <w:hyperlink r:id="rId8" w:history="1">
        <w:r w:rsidRPr="00F70FEF">
          <w:rPr>
            <w:rStyle w:val="Hypertextovodkaz"/>
            <w:rFonts w:ascii="Arial" w:hAnsi="Arial" w:cs="Arial"/>
            <w:sz w:val="16"/>
            <w:szCs w:val="16"/>
            <w:lang w:eastAsia="en-US"/>
          </w:rPr>
          <w:t>info@penizeproprahu.cz</w:t>
        </w:r>
      </w:hyperlink>
      <w:r w:rsidRPr="00F70FEF">
        <w:rPr>
          <w:rStyle w:val="Internetlink"/>
          <w:rFonts w:ascii="Arial" w:hAnsi="Arial" w:cs="Arial"/>
          <w:sz w:val="16"/>
          <w:szCs w:val="16"/>
          <w:lang w:eastAsia="en-US"/>
        </w:rPr>
        <w:t xml:space="preserve">, </w:t>
      </w:r>
      <w:r w:rsidR="00D443C1">
        <w:rPr>
          <w:rStyle w:val="Internetlink"/>
          <w:rFonts w:ascii="Arial" w:hAnsi="Arial" w:cs="Arial"/>
          <w:sz w:val="16"/>
          <w:szCs w:val="16"/>
          <w:lang w:eastAsia="en-US"/>
        </w:rPr>
        <w:t>patricie.holasova</w:t>
      </w:r>
      <w:r w:rsidRPr="00F70FEF">
        <w:rPr>
          <w:rStyle w:val="Internetlink"/>
          <w:rFonts w:ascii="Arial" w:hAnsi="Arial" w:cs="Arial"/>
          <w:sz w:val="16"/>
          <w:szCs w:val="16"/>
          <w:lang w:eastAsia="en-US"/>
        </w:rPr>
        <w:t>@praha.eu</w:t>
      </w:r>
    </w:p>
    <w:p w:rsidR="009042BC" w:rsidRPr="00F70FEF" w:rsidRDefault="009042BC" w:rsidP="009042BC">
      <w:pPr>
        <w:spacing w:after="0" w:line="240" w:lineRule="auto"/>
        <w:jc w:val="center"/>
        <w:rPr>
          <w:rFonts w:ascii="Arial" w:hAnsi="Arial" w:cs="Arial"/>
          <w:sz w:val="16"/>
          <w:szCs w:val="16"/>
        </w:rPr>
      </w:pPr>
      <w:r w:rsidRPr="00F70FEF">
        <w:rPr>
          <w:rFonts w:ascii="Arial" w:hAnsi="Arial" w:cs="Arial"/>
          <w:sz w:val="16"/>
          <w:szCs w:val="16"/>
        </w:rPr>
        <w:t>tel.: +420 236 003 985</w:t>
      </w:r>
    </w:p>
    <w:p w:rsidR="006E21FD" w:rsidRPr="009042BC" w:rsidRDefault="009042BC" w:rsidP="009042BC">
      <w:pPr>
        <w:spacing w:after="0" w:line="240" w:lineRule="auto"/>
        <w:jc w:val="center"/>
        <w:rPr>
          <w:sz w:val="16"/>
          <w:szCs w:val="16"/>
        </w:rPr>
      </w:pPr>
      <w:r w:rsidRPr="00F70FEF">
        <w:rPr>
          <w:rFonts w:ascii="Arial" w:hAnsi="Arial" w:cs="Arial"/>
          <w:sz w:val="16"/>
          <w:szCs w:val="16"/>
        </w:rPr>
        <w:t>web: www.penizeproprahu.cz</w:t>
      </w:r>
    </w:p>
    <w:sectPr w:rsidR="006E21FD" w:rsidRPr="009042BC" w:rsidSect="00010A0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AE6" w:rsidRDefault="00E24AE6" w:rsidP="006E21FD">
      <w:pPr>
        <w:spacing w:after="0" w:line="240" w:lineRule="auto"/>
      </w:pPr>
      <w:r>
        <w:separator/>
      </w:r>
    </w:p>
  </w:endnote>
  <w:endnote w:type="continuationSeparator" w:id="0">
    <w:p w:rsidR="00E24AE6" w:rsidRDefault="00E24AE6" w:rsidP="006E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588834"/>
      <w:docPartObj>
        <w:docPartGallery w:val="Page Numbers (Bottom of Page)"/>
        <w:docPartUnique/>
      </w:docPartObj>
    </w:sdtPr>
    <w:sdtEndPr/>
    <w:sdtContent>
      <w:p w:rsidR="004C73B1" w:rsidRDefault="004C73B1">
        <w:pPr>
          <w:pStyle w:val="Zpat"/>
          <w:jc w:val="right"/>
        </w:pPr>
        <w:r>
          <w:fldChar w:fldCharType="begin"/>
        </w:r>
        <w:r>
          <w:instrText>PAGE   \* MERGEFORMAT</w:instrText>
        </w:r>
        <w:r>
          <w:fldChar w:fldCharType="separate"/>
        </w:r>
        <w:r w:rsidR="003D0038">
          <w:rPr>
            <w:noProof/>
          </w:rPr>
          <w:t>1</w:t>
        </w:r>
        <w:r>
          <w:rPr>
            <w:noProof/>
          </w:rPr>
          <w:fldChar w:fldCharType="end"/>
        </w:r>
      </w:p>
    </w:sdtContent>
  </w:sdt>
  <w:p w:rsidR="004C73B1" w:rsidRDefault="004C73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AE6" w:rsidRDefault="00E24AE6" w:rsidP="006E21FD">
      <w:pPr>
        <w:spacing w:after="0" w:line="240" w:lineRule="auto"/>
      </w:pPr>
      <w:r>
        <w:separator/>
      </w:r>
    </w:p>
  </w:footnote>
  <w:footnote w:type="continuationSeparator" w:id="0">
    <w:p w:rsidR="00E24AE6" w:rsidRDefault="00E24AE6" w:rsidP="006E2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3B1" w:rsidRDefault="004C73B1">
    <w:pPr>
      <w:pStyle w:val="Zhlav"/>
      <w:rPr>
        <w:sz w:val="16"/>
      </w:rPr>
    </w:pPr>
    <w:r>
      <w:rPr>
        <w:noProof/>
      </w:rPr>
      <w:drawing>
        <wp:inline distT="0" distB="0" distL="0" distR="0">
          <wp:extent cx="2114550" cy="4286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428625"/>
                  </a:xfrm>
                  <a:prstGeom prst="rect">
                    <a:avLst/>
                  </a:prstGeom>
                  <a:noFill/>
                  <a:ln>
                    <a:noFill/>
                  </a:ln>
                </pic:spPr>
              </pic:pic>
            </a:graphicData>
          </a:graphic>
        </wp:inline>
      </w:drawing>
    </w:r>
    <w:r>
      <w:tab/>
    </w:r>
    <w:r>
      <w:tab/>
    </w:r>
    <w:r>
      <w:rPr>
        <w:noProof/>
        <w:sz w:val="16"/>
      </w:rPr>
      <w:drawing>
        <wp:inline distT="0" distB="0" distL="0" distR="0">
          <wp:extent cx="423545" cy="423545"/>
          <wp:effectExtent l="0" t="0" r="0" b="0"/>
          <wp:docPr id="2" name="obrázek 1" descr="http://magistrat.praha-mesto.cz/zdroj.aspx?typ=4&amp;Id=35457&amp;sh=-1222873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gistrat.praha-mesto.cz/zdroj.aspx?typ=4&amp;Id=35457&amp;sh=-1222873186"/>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423545" cy="423545"/>
                  </a:xfrm>
                  <a:prstGeom prst="rect">
                    <a:avLst/>
                  </a:prstGeom>
                  <a:noFill/>
                  <a:ln>
                    <a:noFill/>
                  </a:ln>
                </pic:spPr>
              </pic:pic>
            </a:graphicData>
          </a:graphic>
        </wp:inline>
      </w:drawing>
    </w:r>
  </w:p>
  <w:p w:rsidR="004C73B1" w:rsidRDefault="004C73B1">
    <w:pPr>
      <w:pStyle w:val="Zhlav"/>
      <w:rPr>
        <w:sz w:val="16"/>
      </w:rPr>
    </w:pPr>
  </w:p>
  <w:p w:rsidR="004C73B1" w:rsidRPr="005C0346" w:rsidRDefault="004C73B1">
    <w:pPr>
      <w:pStyle w:val="Zhlav"/>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22103"/>
    <w:rsid w:val="00010A04"/>
    <w:rsid w:val="000118A7"/>
    <w:rsid w:val="000839F8"/>
    <w:rsid w:val="00084166"/>
    <w:rsid w:val="00086F3E"/>
    <w:rsid w:val="0009690C"/>
    <w:rsid w:val="000A10B2"/>
    <w:rsid w:val="000A55B9"/>
    <w:rsid w:val="000E3C18"/>
    <w:rsid w:val="000F0B25"/>
    <w:rsid w:val="000F1675"/>
    <w:rsid w:val="001029A9"/>
    <w:rsid w:val="0011191B"/>
    <w:rsid w:val="00126364"/>
    <w:rsid w:val="001321FF"/>
    <w:rsid w:val="001343D6"/>
    <w:rsid w:val="00134E63"/>
    <w:rsid w:val="00167DB2"/>
    <w:rsid w:val="00173A6C"/>
    <w:rsid w:val="00176CEC"/>
    <w:rsid w:val="001871F8"/>
    <w:rsid w:val="001943E1"/>
    <w:rsid w:val="00195ED1"/>
    <w:rsid w:val="00197F2B"/>
    <w:rsid w:val="001A4F78"/>
    <w:rsid w:val="001A7DDA"/>
    <w:rsid w:val="001A7E08"/>
    <w:rsid w:val="001D0C20"/>
    <w:rsid w:val="001E042B"/>
    <w:rsid w:val="001F25B9"/>
    <w:rsid w:val="001F385F"/>
    <w:rsid w:val="00235E2C"/>
    <w:rsid w:val="00241B2A"/>
    <w:rsid w:val="00274305"/>
    <w:rsid w:val="002758A6"/>
    <w:rsid w:val="00285776"/>
    <w:rsid w:val="00290C37"/>
    <w:rsid w:val="002A1B95"/>
    <w:rsid w:val="002A39D8"/>
    <w:rsid w:val="002B26CC"/>
    <w:rsid w:val="002B4348"/>
    <w:rsid w:val="002C7C3D"/>
    <w:rsid w:val="002D183E"/>
    <w:rsid w:val="002D4F7B"/>
    <w:rsid w:val="002D6DD8"/>
    <w:rsid w:val="002E0CC8"/>
    <w:rsid w:val="002F5DA8"/>
    <w:rsid w:val="00315A4D"/>
    <w:rsid w:val="00341075"/>
    <w:rsid w:val="00345250"/>
    <w:rsid w:val="003665BA"/>
    <w:rsid w:val="00371852"/>
    <w:rsid w:val="00374F82"/>
    <w:rsid w:val="00391CE5"/>
    <w:rsid w:val="003B0EFD"/>
    <w:rsid w:val="003C4525"/>
    <w:rsid w:val="003D0038"/>
    <w:rsid w:val="003D38BF"/>
    <w:rsid w:val="003D7CFE"/>
    <w:rsid w:val="003E1580"/>
    <w:rsid w:val="003F4BA5"/>
    <w:rsid w:val="00410F1F"/>
    <w:rsid w:val="00423B4F"/>
    <w:rsid w:val="00426258"/>
    <w:rsid w:val="00426988"/>
    <w:rsid w:val="004545E8"/>
    <w:rsid w:val="004565D4"/>
    <w:rsid w:val="00462859"/>
    <w:rsid w:val="0046327D"/>
    <w:rsid w:val="004701A0"/>
    <w:rsid w:val="0048121C"/>
    <w:rsid w:val="004C6138"/>
    <w:rsid w:val="004C73B1"/>
    <w:rsid w:val="004D4E1B"/>
    <w:rsid w:val="004D64EC"/>
    <w:rsid w:val="004E603A"/>
    <w:rsid w:val="004F2484"/>
    <w:rsid w:val="00503365"/>
    <w:rsid w:val="0051290D"/>
    <w:rsid w:val="005137FC"/>
    <w:rsid w:val="00521CD0"/>
    <w:rsid w:val="00532EB3"/>
    <w:rsid w:val="005364D2"/>
    <w:rsid w:val="005568AD"/>
    <w:rsid w:val="00560AB6"/>
    <w:rsid w:val="00596B2B"/>
    <w:rsid w:val="005A78C1"/>
    <w:rsid w:val="005A7F00"/>
    <w:rsid w:val="005B6642"/>
    <w:rsid w:val="005C0346"/>
    <w:rsid w:val="005D2F28"/>
    <w:rsid w:val="005F5689"/>
    <w:rsid w:val="00634768"/>
    <w:rsid w:val="00646399"/>
    <w:rsid w:val="0067079D"/>
    <w:rsid w:val="00692B09"/>
    <w:rsid w:val="00692D69"/>
    <w:rsid w:val="006C3398"/>
    <w:rsid w:val="006E21FD"/>
    <w:rsid w:val="006F2957"/>
    <w:rsid w:val="006F3894"/>
    <w:rsid w:val="006F3984"/>
    <w:rsid w:val="00706F57"/>
    <w:rsid w:val="00710160"/>
    <w:rsid w:val="00711BCA"/>
    <w:rsid w:val="00727FA9"/>
    <w:rsid w:val="00771474"/>
    <w:rsid w:val="0078611F"/>
    <w:rsid w:val="007A0C43"/>
    <w:rsid w:val="007A68B0"/>
    <w:rsid w:val="007C2563"/>
    <w:rsid w:val="007D4007"/>
    <w:rsid w:val="007E0AA2"/>
    <w:rsid w:val="007F2F4A"/>
    <w:rsid w:val="007F4D93"/>
    <w:rsid w:val="007F597B"/>
    <w:rsid w:val="007F752D"/>
    <w:rsid w:val="00810FF7"/>
    <w:rsid w:val="008231D2"/>
    <w:rsid w:val="008255ED"/>
    <w:rsid w:val="00827726"/>
    <w:rsid w:val="00830588"/>
    <w:rsid w:val="00843A9E"/>
    <w:rsid w:val="00844CCE"/>
    <w:rsid w:val="00853FBD"/>
    <w:rsid w:val="0085721A"/>
    <w:rsid w:val="008672C1"/>
    <w:rsid w:val="00873A88"/>
    <w:rsid w:val="00874F54"/>
    <w:rsid w:val="0087791E"/>
    <w:rsid w:val="008A36B2"/>
    <w:rsid w:val="008A53DE"/>
    <w:rsid w:val="008B4041"/>
    <w:rsid w:val="008B64BB"/>
    <w:rsid w:val="008C4072"/>
    <w:rsid w:val="008C40A3"/>
    <w:rsid w:val="008C496E"/>
    <w:rsid w:val="008D252E"/>
    <w:rsid w:val="008E0E82"/>
    <w:rsid w:val="008E18F3"/>
    <w:rsid w:val="008E1AFC"/>
    <w:rsid w:val="008E612D"/>
    <w:rsid w:val="008E6AEA"/>
    <w:rsid w:val="008F7786"/>
    <w:rsid w:val="009042BC"/>
    <w:rsid w:val="0090577E"/>
    <w:rsid w:val="00917196"/>
    <w:rsid w:val="00931472"/>
    <w:rsid w:val="00933203"/>
    <w:rsid w:val="00943701"/>
    <w:rsid w:val="00951386"/>
    <w:rsid w:val="00992222"/>
    <w:rsid w:val="00996961"/>
    <w:rsid w:val="009A3437"/>
    <w:rsid w:val="009A7DB5"/>
    <w:rsid w:val="009B13AA"/>
    <w:rsid w:val="009B387E"/>
    <w:rsid w:val="00A00F1B"/>
    <w:rsid w:val="00A05E8B"/>
    <w:rsid w:val="00A11AE3"/>
    <w:rsid w:val="00A26FC0"/>
    <w:rsid w:val="00A34007"/>
    <w:rsid w:val="00A5320F"/>
    <w:rsid w:val="00A5365D"/>
    <w:rsid w:val="00A53ECD"/>
    <w:rsid w:val="00A64698"/>
    <w:rsid w:val="00A71BF7"/>
    <w:rsid w:val="00A81251"/>
    <w:rsid w:val="00A90816"/>
    <w:rsid w:val="00A9096E"/>
    <w:rsid w:val="00AA13D5"/>
    <w:rsid w:val="00AA5FAD"/>
    <w:rsid w:val="00AA73B0"/>
    <w:rsid w:val="00AD5CAD"/>
    <w:rsid w:val="00B04A48"/>
    <w:rsid w:val="00B22103"/>
    <w:rsid w:val="00B273CA"/>
    <w:rsid w:val="00B459AF"/>
    <w:rsid w:val="00B56247"/>
    <w:rsid w:val="00B56D55"/>
    <w:rsid w:val="00B72CB5"/>
    <w:rsid w:val="00B802B1"/>
    <w:rsid w:val="00B84835"/>
    <w:rsid w:val="00B91D9D"/>
    <w:rsid w:val="00B9214C"/>
    <w:rsid w:val="00B94B42"/>
    <w:rsid w:val="00B96F29"/>
    <w:rsid w:val="00BB4C6F"/>
    <w:rsid w:val="00BD6E2B"/>
    <w:rsid w:val="00C06664"/>
    <w:rsid w:val="00C10474"/>
    <w:rsid w:val="00C13294"/>
    <w:rsid w:val="00C16698"/>
    <w:rsid w:val="00C203EE"/>
    <w:rsid w:val="00C241A1"/>
    <w:rsid w:val="00C44E91"/>
    <w:rsid w:val="00C95988"/>
    <w:rsid w:val="00CA7878"/>
    <w:rsid w:val="00CC2AF6"/>
    <w:rsid w:val="00CD5356"/>
    <w:rsid w:val="00CD705E"/>
    <w:rsid w:val="00D00E9D"/>
    <w:rsid w:val="00D17FA2"/>
    <w:rsid w:val="00D23FC5"/>
    <w:rsid w:val="00D32C49"/>
    <w:rsid w:val="00D443C1"/>
    <w:rsid w:val="00D61B9C"/>
    <w:rsid w:val="00D67E60"/>
    <w:rsid w:val="00D731A4"/>
    <w:rsid w:val="00D731F9"/>
    <w:rsid w:val="00D75A6D"/>
    <w:rsid w:val="00D80F2E"/>
    <w:rsid w:val="00D92B51"/>
    <w:rsid w:val="00D951C4"/>
    <w:rsid w:val="00D95E18"/>
    <w:rsid w:val="00DA4B3F"/>
    <w:rsid w:val="00DB0384"/>
    <w:rsid w:val="00DC3FC5"/>
    <w:rsid w:val="00DC44D2"/>
    <w:rsid w:val="00DC526B"/>
    <w:rsid w:val="00DD57FE"/>
    <w:rsid w:val="00DE3DAC"/>
    <w:rsid w:val="00DF3D9D"/>
    <w:rsid w:val="00DF6679"/>
    <w:rsid w:val="00E14E8E"/>
    <w:rsid w:val="00E15739"/>
    <w:rsid w:val="00E24442"/>
    <w:rsid w:val="00E24AE6"/>
    <w:rsid w:val="00E45FE4"/>
    <w:rsid w:val="00E47B81"/>
    <w:rsid w:val="00E6576A"/>
    <w:rsid w:val="00E7326F"/>
    <w:rsid w:val="00E7393F"/>
    <w:rsid w:val="00E743BA"/>
    <w:rsid w:val="00E81A6F"/>
    <w:rsid w:val="00E84536"/>
    <w:rsid w:val="00E91CB7"/>
    <w:rsid w:val="00EA02B6"/>
    <w:rsid w:val="00EA0D38"/>
    <w:rsid w:val="00EA191F"/>
    <w:rsid w:val="00EB1A0C"/>
    <w:rsid w:val="00EB40C2"/>
    <w:rsid w:val="00EC00CD"/>
    <w:rsid w:val="00ED6C23"/>
    <w:rsid w:val="00EE04A1"/>
    <w:rsid w:val="00EE6D1F"/>
    <w:rsid w:val="00F05413"/>
    <w:rsid w:val="00F2482B"/>
    <w:rsid w:val="00F307C1"/>
    <w:rsid w:val="00F31B89"/>
    <w:rsid w:val="00F4638E"/>
    <w:rsid w:val="00F463ED"/>
    <w:rsid w:val="00F56847"/>
    <w:rsid w:val="00F62788"/>
    <w:rsid w:val="00F83B99"/>
    <w:rsid w:val="00F862E4"/>
    <w:rsid w:val="00FA1E83"/>
    <w:rsid w:val="00FA7668"/>
    <w:rsid w:val="00FB26F2"/>
    <w:rsid w:val="00FB5D53"/>
    <w:rsid w:val="00FC6CA6"/>
    <w:rsid w:val="00FD36D8"/>
    <w:rsid w:val="00FF4436"/>
    <w:rsid w:val="00FF5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C367D"/>
  <w15:docId w15:val="{3FBA5B28-F915-48A9-9074-69978A15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4107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E21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21FD"/>
  </w:style>
  <w:style w:type="paragraph" w:styleId="Zpat">
    <w:name w:val="footer"/>
    <w:basedOn w:val="Normln"/>
    <w:link w:val="ZpatChar"/>
    <w:uiPriority w:val="99"/>
    <w:unhideWhenUsed/>
    <w:rsid w:val="006E21FD"/>
    <w:pPr>
      <w:tabs>
        <w:tab w:val="center" w:pos="4536"/>
        <w:tab w:val="right" w:pos="9072"/>
      </w:tabs>
      <w:spacing w:after="0" w:line="240" w:lineRule="auto"/>
    </w:pPr>
  </w:style>
  <w:style w:type="character" w:customStyle="1" w:styleId="ZpatChar">
    <w:name w:val="Zápatí Char"/>
    <w:basedOn w:val="Standardnpsmoodstavce"/>
    <w:link w:val="Zpat"/>
    <w:uiPriority w:val="99"/>
    <w:rsid w:val="006E21FD"/>
  </w:style>
  <w:style w:type="paragraph" w:styleId="Textbubliny">
    <w:name w:val="Balloon Text"/>
    <w:basedOn w:val="Normln"/>
    <w:link w:val="TextbublinyChar"/>
    <w:uiPriority w:val="99"/>
    <w:semiHidden/>
    <w:unhideWhenUsed/>
    <w:rsid w:val="0042625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6258"/>
    <w:rPr>
      <w:rFonts w:ascii="Tahoma" w:hAnsi="Tahoma" w:cs="Tahoma"/>
      <w:sz w:val="16"/>
      <w:szCs w:val="16"/>
    </w:rPr>
  </w:style>
  <w:style w:type="character" w:customStyle="1" w:styleId="Internetlink">
    <w:name w:val="Internet link"/>
    <w:rsid w:val="009042BC"/>
    <w:rPr>
      <w:color w:val="0000FF"/>
      <w:u w:val="single"/>
    </w:rPr>
  </w:style>
  <w:style w:type="character" w:styleId="Hypertextovodkaz">
    <w:name w:val="Hyperlink"/>
    <w:basedOn w:val="Standardnpsmoodstavce"/>
    <w:uiPriority w:val="99"/>
    <w:unhideWhenUsed/>
    <w:rsid w:val="009042BC"/>
    <w:rPr>
      <w:color w:val="0000FF" w:themeColor="hyperlink"/>
      <w:u w:val="single"/>
    </w:rPr>
  </w:style>
  <w:style w:type="paragraph" w:styleId="Normlnweb">
    <w:name w:val="Normal (Web)"/>
    <w:basedOn w:val="Normln"/>
    <w:uiPriority w:val="99"/>
    <w:unhideWhenUsed/>
    <w:rsid w:val="0087791E"/>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87791E"/>
    <w:rPr>
      <w:b/>
      <w:bCs/>
    </w:rPr>
  </w:style>
  <w:style w:type="character" w:styleId="Zdraznn">
    <w:name w:val="Emphasis"/>
    <w:basedOn w:val="Standardnpsmoodstavce"/>
    <w:uiPriority w:val="20"/>
    <w:qFormat/>
    <w:rsid w:val="0087791E"/>
    <w:rPr>
      <w:i/>
      <w:iCs/>
    </w:rPr>
  </w:style>
  <w:style w:type="character" w:customStyle="1" w:styleId="Nevyeenzmnka1">
    <w:name w:val="Nevyřešená zmínka1"/>
    <w:basedOn w:val="Standardnpsmoodstavce"/>
    <w:uiPriority w:val="99"/>
    <w:semiHidden/>
    <w:unhideWhenUsed/>
    <w:rsid w:val="008779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75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enizeproprahu.cz" TargetMode="External"/><Relationship Id="rId3" Type="http://schemas.openxmlformats.org/officeDocument/2006/relationships/settings" Target="settings.xml"/><Relationship Id="rId7" Type="http://schemas.openxmlformats.org/officeDocument/2006/relationships/hyperlink" Target="http://www.penizeproprahu.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40FF3-BF5B-4E5E-ACA4-2F7E1F66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2974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Klára Stuchlíková</cp:lastModifiedBy>
  <cp:revision>2</cp:revision>
  <dcterms:created xsi:type="dcterms:W3CDTF">2017-10-18T12:42:00Z</dcterms:created>
  <dcterms:modified xsi:type="dcterms:W3CDTF">2017-10-18T12:42:00Z</dcterms:modified>
</cp:coreProperties>
</file>