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605D" w14:textId="132F06EE" w:rsidR="00DD22CB" w:rsidRDefault="00CE3CB5">
      <w:pPr>
        <w:tabs>
          <w:tab w:val="left" w:pos="6840"/>
        </w:tabs>
        <w:spacing w:before="40" w:after="40"/>
        <w:rPr>
          <w:rFonts w:ascii="Arial" w:hAnsi="Arial" w:cs="Arial"/>
          <w:i/>
        </w:rPr>
      </w:pPr>
      <w:r>
        <w:rPr>
          <w:rFonts w:ascii="Arial" w:hAnsi="Arial" w:cs="Arial"/>
          <w:i/>
        </w:rPr>
        <w:t>Příloha</w:t>
      </w:r>
      <w:r w:rsidR="00C54F52">
        <w:rPr>
          <w:rFonts w:ascii="Arial" w:hAnsi="Arial" w:cs="Arial"/>
          <w:i/>
        </w:rPr>
        <w:t xml:space="preserve"> č. </w:t>
      </w:r>
      <w:r w:rsidR="00BC4388">
        <w:rPr>
          <w:rFonts w:ascii="Arial" w:hAnsi="Arial" w:cs="Arial"/>
          <w:i/>
        </w:rPr>
        <w:t>1</w:t>
      </w:r>
      <w:r w:rsidR="008D3A6C">
        <w:rPr>
          <w:rFonts w:ascii="Arial" w:hAnsi="Arial" w:cs="Arial"/>
          <w:i/>
        </w:rPr>
        <w:t xml:space="preserve"> k usnesení Rady hl. m. </w:t>
      </w:r>
      <w:r>
        <w:rPr>
          <w:rFonts w:ascii="Arial" w:hAnsi="Arial" w:cs="Arial"/>
          <w:i/>
        </w:rPr>
        <w:t>Prahy</w:t>
      </w:r>
      <w:r w:rsidR="00C54F52">
        <w:rPr>
          <w:rFonts w:ascii="Arial" w:hAnsi="Arial" w:cs="Arial"/>
          <w:i/>
        </w:rPr>
        <w:t xml:space="preserve"> č. </w:t>
      </w:r>
      <w:r w:rsidR="00E274E1">
        <w:rPr>
          <w:rFonts w:ascii="Arial" w:hAnsi="Arial" w:cs="Arial"/>
          <w:i/>
        </w:rPr>
        <w:t xml:space="preserve">          ze dne      </w:t>
      </w:r>
    </w:p>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proofErr w:type="spellStart"/>
      <w:r>
        <w:rPr>
          <w:rFonts w:ascii="Arial" w:hAnsi="Arial" w:cs="Arial"/>
          <w:b/>
        </w:rPr>
        <w:t>Reg</w:t>
      </w:r>
      <w:proofErr w:type="spellEnd"/>
      <w:r>
        <w:rPr>
          <w:rFonts w:ascii="Arial" w:hAnsi="Arial" w:cs="Arial"/>
          <w:b/>
        </w:rPr>
        <w:t xml:space="preserve">. </w:t>
      </w:r>
      <w:proofErr w:type="gramStart"/>
      <w:r>
        <w:rPr>
          <w:rFonts w:ascii="Arial" w:hAnsi="Arial" w:cs="Arial"/>
          <w:b/>
        </w:rPr>
        <w:t>číslo</w:t>
      </w:r>
      <w:proofErr w:type="gramEnd"/>
      <w:r>
        <w:rPr>
          <w:rFonts w:ascii="Arial" w:hAnsi="Arial" w:cs="Arial"/>
          <w:b/>
        </w:rPr>
        <w:t>:</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9C469B7"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FC5AA8" w:rsidRPr="00DC7B1C">
        <w:rPr>
          <w:rFonts w:ascii="Arial" w:hAnsi="Arial" w:cs="Arial"/>
          <w:snapToGrid w:val="0"/>
          <w:sz w:val="20"/>
          <w:highlight w:val="yellow"/>
        </w:rPr>
        <w:t xml:space="preserve">Ing. Karlem Andrlem, pověřeným ředitelem </w:t>
      </w:r>
      <w:r w:rsidR="00FC5AA8" w:rsidRPr="00DC7B1C">
        <w:rPr>
          <w:rFonts w:ascii="Arial" w:hAnsi="Arial" w:cs="Arial"/>
          <w:sz w:val="20"/>
          <w:highlight w:val="yellow"/>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48192AE2"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83A4F9B"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00CA2BC" w14:textId="715F7691" w:rsidR="00DD22CB" w:rsidRDefault="00DD22CB">
      <w:pPr>
        <w:widowControl w:val="0"/>
        <w:tabs>
          <w:tab w:val="left" w:pos="708"/>
          <w:tab w:val="left" w:pos="2700"/>
        </w:tabs>
        <w:spacing w:before="40" w:after="40"/>
        <w:rPr>
          <w:rFonts w:ascii="Arial" w:hAnsi="Arial" w:cs="Arial"/>
          <w:snapToGrid w:val="0"/>
          <w:szCs w:val="24"/>
          <w:highlight w:val="cyan"/>
        </w:rPr>
      </w:pPr>
    </w:p>
    <w:p w14:paraId="42B08A1D" w14:textId="77777777"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09AF4C96" w14:textId="3D079C80"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67071E0B" w14:textId="641BD7D2" w:rsidR="00962296" w:rsidRDefault="00962296" w:rsidP="00962296">
      <w:pPr>
        <w:widowControl w:val="0"/>
        <w:tabs>
          <w:tab w:val="left" w:pos="708"/>
          <w:tab w:val="left" w:pos="2700"/>
        </w:tabs>
        <w:spacing w:before="40" w:after="40"/>
        <w:rPr>
          <w:rFonts w:ascii="Arial" w:hAnsi="Arial" w:cs="Arial"/>
          <w:highlight w:val="cyan"/>
        </w:rPr>
      </w:pPr>
      <w:r w:rsidRPr="00844653">
        <w:rPr>
          <w:rFonts w:ascii="Arial" w:hAnsi="Arial" w:cs="Arial"/>
          <w:highlight w:val="cyan"/>
        </w:rPr>
        <w:t xml:space="preserve">číslo účtu zřizovatele příjemce </w:t>
      </w:r>
      <w:r w:rsidRPr="00844653">
        <w:rPr>
          <w:rFonts w:ascii="Arial" w:hAnsi="Arial" w:cs="Arial"/>
          <w:i/>
          <w:highlight w:val="cyan"/>
        </w:rPr>
        <w:t xml:space="preserve">(použije se jen u </w:t>
      </w:r>
      <w:r>
        <w:rPr>
          <w:rFonts w:ascii="Arial" w:hAnsi="Arial" w:cs="Arial"/>
          <w:i/>
          <w:highlight w:val="cyan"/>
        </w:rPr>
        <w:t>příspěvkových organizací</w:t>
      </w:r>
      <w:r w:rsidRPr="00844653">
        <w:rPr>
          <w:rFonts w:ascii="Arial" w:hAnsi="Arial" w:cs="Arial"/>
          <w:i/>
          <w:highlight w:val="cyan"/>
        </w:rPr>
        <w:t>)</w:t>
      </w:r>
    </w:p>
    <w:p w14:paraId="2519C600" w14:textId="77777777" w:rsidR="00962296" w:rsidRPr="006B6DEE" w:rsidRDefault="00962296" w:rsidP="00962296">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76549D25" w14:textId="77777777" w:rsidR="00962296" w:rsidRDefault="00962296">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28AB26C7" w14:textId="555E946B"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8709F85" w14:textId="77777777" w:rsidR="00962296" w:rsidRDefault="00962296">
      <w:pPr>
        <w:pStyle w:val="Nadpis2-zprva"/>
        <w:keepNext w:val="0"/>
        <w:widowControl w:val="0"/>
        <w:tabs>
          <w:tab w:val="left" w:pos="708"/>
        </w:tabs>
        <w:spacing w:before="40" w:after="40" w:line="312" w:lineRule="auto"/>
        <w:jc w:val="left"/>
        <w:outlineLvl w:val="9"/>
        <w:rPr>
          <w:b w:val="0"/>
          <w:bCs w:val="0"/>
          <w:iCs w:val="0"/>
          <w:sz w:val="16"/>
          <w:szCs w:val="20"/>
        </w:rPr>
      </w:pPr>
    </w:p>
    <w:p w14:paraId="0FDFEFC6" w14:textId="77777777" w:rsidR="00D723B7" w:rsidRDefault="00D723B7" w:rsidP="00D723B7">
      <w:pPr>
        <w:pStyle w:val="Nadpis2-zprva"/>
        <w:keepNext w:val="0"/>
        <w:widowControl w:val="0"/>
        <w:tabs>
          <w:tab w:val="left" w:pos="708"/>
        </w:tabs>
        <w:spacing w:before="40" w:after="40" w:line="312" w:lineRule="auto"/>
        <w:jc w:val="both"/>
        <w:outlineLvl w:val="9"/>
        <w:rPr>
          <w:iCs w:val="0"/>
          <w:szCs w:val="20"/>
        </w:rPr>
      </w:pPr>
      <w:r>
        <w:rPr>
          <w:iCs w:val="0"/>
          <w:szCs w:val="20"/>
        </w:rPr>
        <w:t xml:space="preserve">uzavírají spolu ve smyslu </w:t>
      </w:r>
      <w:proofErr w:type="spellStart"/>
      <w:r>
        <w:rPr>
          <w:iCs w:val="0"/>
          <w:szCs w:val="20"/>
        </w:rPr>
        <w:t>ust</w:t>
      </w:r>
      <w:proofErr w:type="spellEnd"/>
      <w:r>
        <w:rPr>
          <w:iCs w:val="0"/>
          <w:szCs w:val="20"/>
        </w:rPr>
        <w:t>. § 10a odst. 3 a násl. zákona č. 250/2000 Sb., o rozpočtových pravidlech územních rozpočtů, ve znění pozdějších předpisů, a § 159 a násl. zákona č. 500/2004 Sb., správní řád, ve znění pozdějších předpisů tuto:</w:t>
      </w:r>
    </w:p>
    <w:p w14:paraId="5304C4B3" w14:textId="1CFE437E" w:rsidR="00DD22CB" w:rsidRDefault="00D723B7" w:rsidP="00D723B7">
      <w:pPr>
        <w:pStyle w:val="Nadpis2-zprva"/>
        <w:keepNext w:val="0"/>
        <w:widowControl w:val="0"/>
        <w:tabs>
          <w:tab w:val="left" w:pos="708"/>
        </w:tabs>
        <w:spacing w:before="40" w:after="40" w:line="312" w:lineRule="auto"/>
        <w:jc w:val="left"/>
        <w:outlineLvl w:val="9"/>
        <w:rPr>
          <w:iCs w:val="0"/>
          <w:snapToGrid w:val="0"/>
          <w:szCs w:val="20"/>
        </w:rPr>
      </w:pPr>
      <w:r>
        <w:rPr>
          <w:iCs w:val="0"/>
          <w:szCs w:val="20"/>
        </w:rPr>
        <w:t>smlouvu o financování projektu v rámci Operačního programu Praha – pól růstu ČR (dále jen „smlouva“).</w:t>
      </w:r>
      <w:r w:rsidR="00CE3CB5">
        <w:rPr>
          <w:iCs w:val="0"/>
          <w:szCs w:val="20"/>
        </w:rPr>
        <w:t xml:space="preserve"> </w:t>
      </w:r>
      <w:r w:rsidR="00CE3CB5">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17CFE75C" w:rsidR="00DD22CB" w:rsidRDefault="00CE3CB5" w:rsidP="00FC5AA8">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962296">
        <w:rPr>
          <w:rFonts w:ascii="Arial" w:hAnsi="Arial" w:cs="Arial"/>
        </w:rPr>
        <w:t>……</w:t>
      </w:r>
      <w:proofErr w:type="gramStart"/>
      <w:r w:rsidR="00962296">
        <w:rPr>
          <w:rFonts w:ascii="Arial" w:hAnsi="Arial" w:cs="Arial"/>
        </w:rPr>
        <w:t>….ze</w:t>
      </w:r>
      <w:proofErr w:type="gramEnd"/>
      <w:r w:rsidR="00962296">
        <w:rPr>
          <w:rFonts w:ascii="Arial" w:hAnsi="Arial" w:cs="Arial"/>
        </w:rPr>
        <w:t xml:space="preserve"> dne …….. </w:t>
      </w:r>
      <w:r>
        <w:rPr>
          <w:rFonts w:ascii="Arial" w:hAnsi="Arial" w:cs="Arial"/>
        </w:rPr>
        <w:t xml:space="preserve">, </w:t>
      </w:r>
    </w:p>
    <w:p w14:paraId="4B146B6F" w14:textId="0960D492" w:rsidR="00DD22CB" w:rsidRDefault="00CE3CB5" w:rsidP="00FC5AA8">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sidR="00D723B7">
        <w:rPr>
          <w:rFonts w:ascii="Arial" w:hAnsi="Arial" w:cs="Arial"/>
        </w:rPr>
        <w:t xml:space="preserve">C(2015) 4092 </w:t>
      </w:r>
      <w:r>
        <w:rPr>
          <w:rFonts w:ascii="Arial" w:hAnsi="Arial" w:cs="Arial"/>
        </w:rPr>
        <w:t>ze dne 11.</w:t>
      </w:r>
      <w:r>
        <w:t> </w:t>
      </w:r>
      <w:r>
        <w:rPr>
          <w:rFonts w:ascii="Arial" w:hAnsi="Arial" w:cs="Arial"/>
        </w:rPr>
        <w:t>6. 2015</w:t>
      </w:r>
      <w:r w:rsidR="00962296">
        <w:rPr>
          <w:rFonts w:ascii="Arial" w:hAnsi="Arial" w:cs="Arial"/>
        </w:rPr>
        <w:t>, v revidované verzi přijatého Rozhodnutím Evropské komise č. C(2017) 3425 ze dne 23. 5. 2017</w:t>
      </w:r>
      <w:r>
        <w:rPr>
          <w:rFonts w:ascii="Arial" w:hAnsi="Arial" w:cs="Arial"/>
        </w:rPr>
        <w:t xml:space="preserve"> (dále jen „OP PPR“), </w:t>
      </w:r>
    </w:p>
    <w:p w14:paraId="696A5671"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23E9640E"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w:t>
      </w:r>
      <w:r w:rsidR="003C3307">
        <w:rPr>
          <w:rFonts w:ascii="Arial" w:hAnsi="Arial" w:cs="Arial"/>
        </w:rPr>
        <w:t>1</w:t>
      </w:r>
      <w:r>
        <w:rPr>
          <w:rFonts w:ascii="Arial" w:hAnsi="Arial" w:cs="Arial"/>
        </w:rPr>
        <w:t>/2013 ze dne 17. prosince 2013</w:t>
      </w:r>
      <w:r w:rsidR="00C54F52">
        <w:rPr>
          <w:rFonts w:ascii="Arial" w:hAnsi="Arial" w:cs="Arial"/>
        </w:rPr>
        <w:t xml:space="preserve"> o </w:t>
      </w:r>
      <w:r>
        <w:rPr>
          <w:rFonts w:ascii="Arial" w:hAnsi="Arial" w:cs="Arial"/>
        </w:rPr>
        <w:t>Evropském fondu</w:t>
      </w:r>
      <w:r w:rsidR="00F1023B">
        <w:rPr>
          <w:rFonts w:ascii="Arial" w:hAnsi="Arial" w:cs="Arial"/>
        </w:rPr>
        <w:t xml:space="preserve"> </w:t>
      </w:r>
      <w:r w:rsidR="003C3307">
        <w:rPr>
          <w:rFonts w:ascii="Arial" w:hAnsi="Arial" w:cs="Arial"/>
        </w:rPr>
        <w:t>pro regionální rozvoj, o zvláštních ustanoveních týkajících se cíle Investice pro růst a zaměstnanost a o zrušení nařízení (ES) č. 1080/2006</w:t>
      </w:r>
      <w:r w:rsidR="00D723B7">
        <w:rPr>
          <w:rFonts w:ascii="Arial" w:hAnsi="Arial" w:cs="Arial"/>
        </w:rPr>
        <w:t>,</w:t>
      </w:r>
      <w:r w:rsidR="003C3307">
        <w:rPr>
          <w:rFonts w:ascii="Arial" w:hAnsi="Arial" w:cs="Arial"/>
        </w:rPr>
        <w:t xml:space="preserve"> </w:t>
      </w:r>
    </w:p>
    <w:p w14:paraId="52A613BD"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3DCF4E7C"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723B7">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sidR="00D723B7">
        <w:rPr>
          <w:rFonts w:ascii="Arial" w:hAnsi="Arial" w:cs="Arial"/>
        </w:rPr>
        <w:t xml:space="preserve">smyslu </w:t>
      </w:r>
      <w:proofErr w:type="spellStart"/>
      <w:r w:rsidR="00D723B7">
        <w:rPr>
          <w:rFonts w:ascii="Arial" w:hAnsi="Arial" w:cs="Arial"/>
        </w:rPr>
        <w:t>ust</w:t>
      </w:r>
      <w:proofErr w:type="spellEnd"/>
      <w:r w:rsidR="00D723B7">
        <w:rPr>
          <w:rFonts w:ascii="Arial" w:hAnsi="Arial" w:cs="Arial"/>
        </w:rPr>
        <w:t>.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7F60C1E4" w:rsidR="00DD22CB" w:rsidRPr="00C54F52" w:rsidRDefault="00CE3CB5" w:rsidP="00FC5AA8">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D723B7">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4F8720AB" w14:textId="77777777" w:rsidR="00962296" w:rsidRDefault="00962296">
      <w:pPr>
        <w:rPr>
          <w:rFonts w:ascii="Arial" w:hAnsi="Arial" w:cs="Arial"/>
          <w:b/>
          <w:bCs/>
          <w:iCs/>
          <w:szCs w:val="28"/>
        </w:rPr>
      </w:pPr>
      <w:r>
        <w:br w:type="page"/>
      </w:r>
    </w:p>
    <w:p w14:paraId="3F96FCA7" w14:textId="5D884335" w:rsidR="00DD22CB" w:rsidRDefault="00CE3CB5">
      <w:pPr>
        <w:pStyle w:val="Nadpis2-zprva"/>
        <w:spacing w:before="40" w:after="40"/>
      </w:pPr>
      <w:r>
        <w:lastRenderedPageBreak/>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30D767A5" w:rsidR="00DD22CB" w:rsidRDefault="00D723B7"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 se zavazuje postupovat při realizaci projektu v souladu s touto smlouvou, platnými právními předpisy, aktuální verzí Pravidel pro žadatele a příjemce OP PPR a Výzvou k předkládání žádostí o podporu uvedenou v příloze č. 1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9"/>
        <w:gridCol w:w="5871"/>
      </w:tblGrid>
      <w:tr w:rsidR="00DD22CB" w14:paraId="38D56FC5" w14:textId="77777777" w:rsidTr="005375D0">
        <w:tc>
          <w:tcPr>
            <w:tcW w:w="2759"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871"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5375D0">
        <w:tc>
          <w:tcPr>
            <w:tcW w:w="2759"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871"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5375D0">
        <w:tc>
          <w:tcPr>
            <w:tcW w:w="2759"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871"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5375D0">
        <w:tc>
          <w:tcPr>
            <w:tcW w:w="2759"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871" w:type="dxa"/>
            <w:vAlign w:val="center"/>
          </w:tcPr>
          <w:p w14:paraId="7DEC0C6D" w14:textId="524F7933" w:rsidR="00DD22CB" w:rsidRPr="004F05FC" w:rsidRDefault="00554950" w:rsidP="005375D0">
            <w:pPr>
              <w:pStyle w:val="Default"/>
            </w:pPr>
            <w:r>
              <w:rPr>
                <w:sz w:val="20"/>
                <w:szCs w:val="20"/>
              </w:rPr>
              <w:t xml:space="preserve">2 Udržitelná mobilita a energetické úspory </w:t>
            </w:r>
          </w:p>
        </w:tc>
      </w:tr>
      <w:tr w:rsidR="00DD22CB" w14:paraId="7EA6722D" w14:textId="77777777" w:rsidTr="005375D0">
        <w:tc>
          <w:tcPr>
            <w:tcW w:w="2759"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871" w:type="dxa"/>
            <w:vAlign w:val="center"/>
          </w:tcPr>
          <w:p w14:paraId="6D30A7E8" w14:textId="538C275B" w:rsidR="00DD22CB" w:rsidRPr="00554950" w:rsidRDefault="00554950" w:rsidP="005375D0">
            <w:pPr>
              <w:pStyle w:val="Default"/>
            </w:pPr>
            <w:r>
              <w:rPr>
                <w:sz w:val="20"/>
                <w:szCs w:val="20"/>
              </w:rPr>
              <w:t>2.1 Energetické úspory v městských objektech dosažené také s využitím vhodných obnovitelných zdrojů energie, energeticky efektivních zařízení a inteligentních systémů řízení</w:t>
            </w:r>
          </w:p>
        </w:tc>
      </w:tr>
      <w:tr w:rsidR="00DD22CB" w14:paraId="6EBEDA15" w14:textId="77777777" w:rsidTr="005375D0">
        <w:tc>
          <w:tcPr>
            <w:tcW w:w="2759"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871"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5375D0">
        <w:tc>
          <w:tcPr>
            <w:tcW w:w="2759"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871"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r w:rsidR="003C3307" w14:paraId="4FDE8F94" w14:textId="77777777" w:rsidTr="005375D0">
        <w:tc>
          <w:tcPr>
            <w:tcW w:w="2759" w:type="dxa"/>
            <w:vAlign w:val="center"/>
          </w:tcPr>
          <w:p w14:paraId="73F454C2" w14:textId="77777777" w:rsidR="003C3307" w:rsidRDefault="003C3307">
            <w:pPr>
              <w:widowControl w:val="0"/>
              <w:tabs>
                <w:tab w:val="left" w:pos="426"/>
              </w:tabs>
              <w:spacing w:before="40" w:after="40"/>
              <w:rPr>
                <w:rFonts w:ascii="Arial" w:hAnsi="Arial" w:cs="Arial"/>
                <w:szCs w:val="24"/>
              </w:rPr>
            </w:pPr>
            <w:r>
              <w:rPr>
                <w:rFonts w:ascii="Arial" w:hAnsi="Arial" w:cs="Arial"/>
                <w:szCs w:val="24"/>
              </w:rPr>
              <w:t>Doba udržitelnosti</w:t>
            </w:r>
          </w:p>
        </w:tc>
        <w:tc>
          <w:tcPr>
            <w:tcW w:w="5871" w:type="dxa"/>
            <w:vAlign w:val="center"/>
          </w:tcPr>
          <w:p w14:paraId="7F648F68" w14:textId="022FF3FE" w:rsidR="003C3307" w:rsidRDefault="00554950" w:rsidP="00554950">
            <w:pPr>
              <w:widowControl w:val="0"/>
              <w:tabs>
                <w:tab w:val="left" w:pos="426"/>
              </w:tabs>
              <w:spacing w:before="40" w:after="40"/>
              <w:rPr>
                <w:rFonts w:ascii="Arial" w:hAnsi="Arial" w:cs="Arial"/>
                <w:szCs w:val="24"/>
              </w:rPr>
            </w:pPr>
            <w:r w:rsidRPr="005375D0">
              <w:rPr>
                <w:rFonts w:ascii="Arial" w:hAnsi="Arial" w:cs="Arial"/>
                <w:szCs w:val="24"/>
              </w:rPr>
              <w:t>5</w:t>
            </w:r>
            <w:r w:rsidR="003C3307" w:rsidRPr="005375D0">
              <w:rPr>
                <w:rFonts w:ascii="Arial" w:hAnsi="Arial" w:cs="Arial"/>
                <w:szCs w:val="24"/>
              </w:rPr>
              <w:t>let od data, kdy projekt nabyl v MS 2014+ stav „projekt finančně ukončen ze strany ŘO“</w:t>
            </w:r>
          </w:p>
        </w:tc>
      </w:tr>
    </w:tbl>
    <w:p w14:paraId="2836F1EA" w14:textId="19E970E1"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962296">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08C0C443" w14:textId="77777777"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5A4F795A"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435C56C3" w14:textId="77777777" w:rsidR="00962296"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Podíl na celkových způsobilých výdajích </w:t>
            </w:r>
            <w:r w:rsidRPr="00962296">
              <w:rPr>
                <w:rFonts w:ascii="Arial" w:hAnsi="Arial" w:cs="Arial"/>
                <w:b/>
                <w:snapToGrid w:val="0"/>
                <w:szCs w:val="24"/>
                <w:highlight w:val="yellow"/>
              </w:rPr>
              <w:t>očištěných o čisté příjmy</w:t>
            </w:r>
          </w:p>
          <w:p w14:paraId="60D4E0D9" w14:textId="48795A6B" w:rsidR="00DD22CB"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 </w:t>
            </w:r>
            <w:r w:rsidR="00CE3CB5">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55F7B171" w:rsidR="00DD22CB" w:rsidRDefault="00C46F05">
            <w:pPr>
              <w:widowControl w:val="0"/>
              <w:spacing w:before="40" w:after="40"/>
              <w:jc w:val="center"/>
              <w:rPr>
                <w:rFonts w:ascii="Arial" w:hAnsi="Arial" w:cs="Arial"/>
              </w:rPr>
            </w:pPr>
            <w:r>
              <w:rPr>
                <w:rFonts w:ascii="Arial" w:hAnsi="Arial" w:cs="Arial"/>
              </w:rPr>
              <w:t>-</w:t>
            </w:r>
          </w:p>
        </w:tc>
      </w:tr>
      <w:tr w:rsidR="00962296" w14:paraId="3D4B08AD" w14:textId="77777777">
        <w:tc>
          <w:tcPr>
            <w:tcW w:w="4680" w:type="dxa"/>
            <w:vAlign w:val="center"/>
          </w:tcPr>
          <w:p w14:paraId="1FA54391" w14:textId="4A53A380" w:rsidR="00962296" w:rsidRDefault="00962296" w:rsidP="00352785">
            <w:pPr>
              <w:pStyle w:val="Normln12TNRCharCharCharChar"/>
              <w:widowControl w:val="0"/>
              <w:tabs>
                <w:tab w:val="left" w:pos="830"/>
              </w:tabs>
              <w:spacing w:before="40" w:after="40"/>
              <w:rPr>
                <w:rFonts w:ascii="Arial" w:hAnsi="Arial" w:cs="Arial"/>
                <w:snapToGrid w:val="0"/>
                <w:sz w:val="20"/>
                <w:szCs w:val="24"/>
              </w:rPr>
            </w:pPr>
            <w:r w:rsidRPr="00962296">
              <w:rPr>
                <w:rFonts w:ascii="Arial" w:hAnsi="Arial" w:cs="Arial"/>
                <w:snapToGrid w:val="0"/>
                <w:sz w:val="20"/>
                <w:szCs w:val="24"/>
                <w:highlight w:val="yellow"/>
              </w:rPr>
              <w:t>Čisté příjmy projektu (předpokládané)</w:t>
            </w:r>
          </w:p>
        </w:tc>
        <w:tc>
          <w:tcPr>
            <w:tcW w:w="1800" w:type="dxa"/>
            <w:vAlign w:val="center"/>
          </w:tcPr>
          <w:p w14:paraId="221DD62A" w14:textId="77777777" w:rsidR="00962296" w:rsidRDefault="00962296">
            <w:pPr>
              <w:widowControl w:val="0"/>
              <w:spacing w:before="40" w:after="40"/>
              <w:jc w:val="center"/>
              <w:rPr>
                <w:rFonts w:ascii="Arial" w:hAnsi="Arial" w:cs="Arial"/>
              </w:rPr>
            </w:pPr>
          </w:p>
        </w:tc>
        <w:tc>
          <w:tcPr>
            <w:tcW w:w="2160" w:type="dxa"/>
            <w:vAlign w:val="center"/>
          </w:tcPr>
          <w:p w14:paraId="6DADBD7B" w14:textId="1A5F1332" w:rsidR="00962296" w:rsidRDefault="00C46F05">
            <w:pPr>
              <w:widowControl w:val="0"/>
              <w:spacing w:before="40" w:after="40"/>
              <w:jc w:val="center"/>
              <w:rPr>
                <w:rFonts w:ascii="Arial" w:hAnsi="Arial" w:cs="Arial"/>
              </w:rPr>
            </w:pPr>
            <w:r>
              <w:rPr>
                <w:rFonts w:ascii="Arial" w:hAnsi="Arial" w:cs="Arial"/>
              </w:rPr>
              <w:t>-</w:t>
            </w:r>
          </w:p>
        </w:tc>
      </w:tr>
      <w:tr w:rsidR="00BC1CCB" w14:paraId="542B290D" w14:textId="77777777">
        <w:tc>
          <w:tcPr>
            <w:tcW w:w="4680" w:type="dxa"/>
            <w:vAlign w:val="center"/>
          </w:tcPr>
          <w:p w14:paraId="62BE8FF3" w14:textId="07682118" w:rsidR="00BC1CCB" w:rsidRDefault="00962296">
            <w:pPr>
              <w:pStyle w:val="N1"/>
              <w:widowControl w:val="0"/>
              <w:spacing w:before="40" w:after="40"/>
              <w:rPr>
                <w:b w:val="0"/>
                <w:bCs/>
                <w:caps w:val="0"/>
                <w:snapToGrid w:val="0"/>
                <w:sz w:val="20"/>
              </w:rPr>
            </w:pPr>
            <w:r w:rsidRPr="00962296">
              <w:rPr>
                <w:b w:val="0"/>
                <w:bCs/>
                <w:caps w:val="0"/>
                <w:snapToGrid w:val="0"/>
                <w:sz w:val="20"/>
                <w:highlight w:val="yellow"/>
              </w:rPr>
              <w:t>Celkové způsobilé výdaje očištěné o čisté příjmy</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1B524785" w:rsidR="00BC1CCB" w:rsidRDefault="00962296">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EFRR</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4AA0DB35" w:rsidR="00407B0E" w:rsidRDefault="00962296">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40FEF6BF" w14:textId="37671775" w:rsidR="000A0E9E"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lastRenderedPageBreak/>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celkových způsobilých výdajích </w:t>
      </w:r>
      <w:r w:rsidR="00407B0E" w:rsidRPr="009C123A">
        <w:rPr>
          <w:rFonts w:ascii="Arial" w:hAnsi="Arial" w:cs="Arial"/>
          <w:highlight w:val="yellow"/>
          <w:u w:val="single"/>
        </w:rPr>
        <w:t xml:space="preserve">očištěných o </w:t>
      </w:r>
      <w:r w:rsidR="00962296">
        <w:rPr>
          <w:rFonts w:ascii="Arial" w:hAnsi="Arial" w:cs="Arial"/>
          <w:highlight w:val="yellow"/>
          <w:u w:val="single"/>
        </w:rPr>
        <w:t xml:space="preserve">čisté </w:t>
      </w:r>
      <w:r w:rsidR="00407B0E" w:rsidRPr="009C123A">
        <w:rPr>
          <w:rFonts w:ascii="Arial" w:hAnsi="Arial" w:cs="Arial"/>
          <w:highlight w:val="yellow"/>
          <w:u w:val="single"/>
        </w:rPr>
        <w:t>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1627B6A7" w14:textId="0B77FE46" w:rsidR="00962296" w:rsidRPr="00B10C52" w:rsidRDefault="00962296" w:rsidP="00FC5AA8">
      <w:pPr>
        <w:pStyle w:val="Odstavecseseznamem"/>
        <w:numPr>
          <w:ilvl w:val="0"/>
          <w:numId w:val="12"/>
        </w:numPr>
        <w:tabs>
          <w:tab w:val="clear" w:pos="1080"/>
          <w:tab w:val="num" w:pos="567"/>
        </w:tabs>
        <w:ind w:left="567" w:hanging="567"/>
        <w:jc w:val="both"/>
        <w:rPr>
          <w:rFonts w:ascii="Arial" w:hAnsi="Arial" w:cs="Arial"/>
          <w:highlight w:val="yellow"/>
        </w:rPr>
      </w:pPr>
      <w:r w:rsidRPr="00B10C52">
        <w:rPr>
          <w:rFonts w:ascii="Arial" w:hAnsi="Arial" w:cs="Arial"/>
          <w:bCs/>
          <w:highlight w:val="yellow"/>
        </w:rPr>
        <w:t xml:space="preserve">Uvedené částky ve finančním rámci projektu jsou maximální. Příjemci ale bude poskytnuta pouze taková částka, která nezpůsobí překročení limitu podpory de </w:t>
      </w:r>
      <w:proofErr w:type="spellStart"/>
      <w:r w:rsidRPr="00B10C52">
        <w:rPr>
          <w:rFonts w:ascii="Arial" w:hAnsi="Arial" w:cs="Arial"/>
          <w:bCs/>
          <w:highlight w:val="yellow"/>
        </w:rPr>
        <w:t>minimis</w:t>
      </w:r>
      <w:proofErr w:type="spellEnd"/>
      <w:r w:rsidRPr="00B10C52">
        <w:rPr>
          <w:rFonts w:ascii="Arial" w:hAnsi="Arial" w:cs="Arial"/>
          <w:highlight w:val="yellow"/>
        </w:rPr>
        <w:t xml:space="preserve"> ve výši</w:t>
      </w:r>
      <w:r w:rsidRPr="00B10C52">
        <w:rPr>
          <w:rStyle w:val="Znakapoznpodarou"/>
          <w:rFonts w:ascii="Arial" w:hAnsi="Arial" w:cs="Arial"/>
          <w:sz w:val="16"/>
          <w:szCs w:val="16"/>
          <w:highlight w:val="yellow"/>
        </w:rPr>
        <w:footnoteReference w:id="1"/>
      </w:r>
      <w:r w:rsidRPr="00B10C52">
        <w:rPr>
          <w:rFonts w:ascii="Arial" w:hAnsi="Arial" w:cs="Arial"/>
          <w:highlight w:val="yellow"/>
        </w:rPr>
        <w:t xml:space="preserve"> 200 tis. EUR/</w:t>
      </w:r>
      <w:r w:rsidR="00670798">
        <w:rPr>
          <w:rFonts w:ascii="Arial" w:hAnsi="Arial" w:cs="Arial"/>
          <w:highlight w:val="yellow"/>
        </w:rPr>
        <w:br/>
      </w:r>
      <w:r w:rsidRPr="00B10C52">
        <w:rPr>
          <w:rFonts w:ascii="Arial" w:hAnsi="Arial" w:cs="Arial"/>
          <w:highlight w:val="yellow"/>
        </w:rPr>
        <w:t xml:space="preserve">500 tis. EUR, </w:t>
      </w:r>
      <w:r w:rsidRPr="00B10C52">
        <w:rPr>
          <w:rFonts w:ascii="Arial" w:hAnsi="Arial" w:cs="Arial"/>
          <w:bCs/>
          <w:highlight w:val="yellow"/>
        </w:rPr>
        <w:t xml:space="preserve">kterou je jeden podnik dle příslušného nařízení EU oprávněn v rozhodném období čerpat. </w:t>
      </w:r>
    </w:p>
    <w:p w14:paraId="104CD428" w14:textId="4E60FBAB" w:rsidR="00D32516" w:rsidRDefault="000A0E9E"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 z OP PPR je poskytována na způsobilé výdaje projektu, které nejsou či nebudou kryty z jiných zdrojů příjemce. Prostředky OP PPR jsou poskytovány z rozpoč</w:t>
      </w:r>
      <w:r w:rsidR="00553D87">
        <w:rPr>
          <w:rFonts w:ascii="Arial" w:hAnsi="Arial" w:cs="Arial"/>
        </w:rPr>
        <w:t>tu hlavního města Prahy.</w:t>
      </w:r>
    </w:p>
    <w:p w14:paraId="6E73C30B" w14:textId="2FF26BFF" w:rsidR="00DD22CB" w:rsidRPr="00D32516" w:rsidRDefault="00D723B7"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szCs w:val="24"/>
        </w:rPr>
        <w:t xml:space="preserve">Pro zapojení zdrojů financování dle výše uvedené tabulky jsou rozhodující hodnoty podílů jednotlivých zdrojů financování poskytované podpory vyjádřené v procentech. </w:t>
      </w:r>
      <w:r>
        <w:rPr>
          <w:rFonts w:ascii="Arial" w:hAnsi="Arial" w:cs="Arial"/>
        </w:rPr>
        <w:t>Příjemce zajistí úhradu veškerých výdajů projektu, které nejsou kryty výše uvedeným zdrojem finanční pomoci (zejména nezpůsobilé výdaje a veškeré dodatečné výdaje) z vlastních zdrojů.</w:t>
      </w:r>
      <w:r w:rsidR="00CE3CB5" w:rsidRPr="00D32516">
        <w:rPr>
          <w:rFonts w:ascii="Arial" w:hAnsi="Arial" w:cs="Arial"/>
        </w:rPr>
        <w:t xml:space="preserve"> </w:t>
      </w:r>
    </w:p>
    <w:p w14:paraId="6A0E65E5"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3C3307">
        <w:rPr>
          <w:rFonts w:ascii="Arial" w:hAnsi="Arial" w:cs="Arial"/>
        </w:rPr>
        <w:t>výdajů</w:t>
      </w:r>
      <w:r>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4567E76B" w14:textId="6682FD28" w:rsidR="00C91FE6" w:rsidRPr="00B10C52" w:rsidRDefault="00962296"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B10C52">
        <w:rPr>
          <w:rFonts w:ascii="Arial" w:hAnsi="Arial" w:cs="Arial"/>
          <w:highlight w:val="yellow"/>
        </w:rPr>
        <w:t>Z poskytnuté podpory představuje částka……</w:t>
      </w:r>
      <w:proofErr w:type="gramStart"/>
      <w:r w:rsidRPr="00B10C52">
        <w:rPr>
          <w:rFonts w:ascii="Arial" w:hAnsi="Arial" w:cs="Arial"/>
          <w:highlight w:val="yellow"/>
        </w:rPr>
        <w:t>….Kč</w:t>
      </w:r>
      <w:proofErr w:type="gramEnd"/>
      <w:r w:rsidRPr="00B10C52">
        <w:rPr>
          <w:rFonts w:ascii="Arial" w:hAnsi="Arial" w:cs="Arial"/>
          <w:highlight w:val="yellow"/>
        </w:rPr>
        <w:t xml:space="preserve"> maximální podporu de </w:t>
      </w:r>
      <w:proofErr w:type="spellStart"/>
      <w:r w:rsidRPr="00B10C52">
        <w:rPr>
          <w:rFonts w:ascii="Arial" w:hAnsi="Arial" w:cs="Arial"/>
          <w:highlight w:val="yellow"/>
        </w:rPr>
        <w:t>minimis</w:t>
      </w:r>
      <w:proofErr w:type="spellEnd"/>
      <w:r w:rsidRPr="00B10C52">
        <w:rPr>
          <w:rFonts w:ascii="Arial" w:hAnsi="Arial" w:cs="Arial"/>
          <w:highlight w:val="yellow"/>
        </w:rPr>
        <w:t xml:space="preserve"> (malého rozsahu), </w:t>
      </w:r>
      <w:r w:rsidRPr="00B10C52">
        <w:rPr>
          <w:rFonts w:ascii="Arial" w:hAnsi="Arial" w:cs="Arial"/>
          <w:bCs/>
          <w:highlight w:val="yellow"/>
        </w:rPr>
        <w:t xml:space="preserve">kterou je možné poskytnout, s tím, že bude příjemci poskytnuta pouze částka, která nezpůsobí překročení limitu podpory de </w:t>
      </w:r>
      <w:proofErr w:type="spellStart"/>
      <w:r w:rsidRPr="00B10C52">
        <w:rPr>
          <w:rFonts w:ascii="Arial" w:hAnsi="Arial" w:cs="Arial"/>
          <w:bCs/>
          <w:highlight w:val="yellow"/>
        </w:rPr>
        <w:t>minimis</w:t>
      </w:r>
      <w:proofErr w:type="spellEnd"/>
      <w:r w:rsidRPr="00B10C52">
        <w:rPr>
          <w:rFonts w:ascii="Arial" w:hAnsi="Arial" w:cs="Arial"/>
          <w:highlight w:val="yellow"/>
        </w:rPr>
        <w:t xml:space="preserve"> ve výši 200 tis. EUR/500 tis. EUR, </w:t>
      </w:r>
      <w:r w:rsidRPr="00B10C52">
        <w:rPr>
          <w:rFonts w:ascii="Arial" w:hAnsi="Arial" w:cs="Arial"/>
          <w:bCs/>
          <w:highlight w:val="yellow"/>
        </w:rPr>
        <w:t>kterou je jeden podnik dle příslušného nařízení EU oprávněn v rozhodném období čerpat</w:t>
      </w:r>
      <w:r w:rsidRPr="00B10C52">
        <w:rPr>
          <w:rFonts w:ascii="Arial" w:hAnsi="Arial" w:cs="Arial"/>
          <w:highlight w:val="yellow"/>
        </w:rPr>
        <w:t xml:space="preserve">. Podpora de </w:t>
      </w:r>
      <w:proofErr w:type="spellStart"/>
      <w:r w:rsidRPr="00B10C52">
        <w:rPr>
          <w:rFonts w:ascii="Arial" w:hAnsi="Arial" w:cs="Arial"/>
          <w:highlight w:val="yellow"/>
        </w:rPr>
        <w:t>minimis</w:t>
      </w:r>
      <w:proofErr w:type="spellEnd"/>
      <w:r w:rsidRPr="00B10C52">
        <w:rPr>
          <w:rFonts w:ascii="Arial" w:hAnsi="Arial" w:cs="Arial"/>
          <w:highlight w:val="yellow"/>
        </w:rPr>
        <w:t xml:space="preserve"> je poskytována v souladu s nařízením Komise (EU) č. 1407/</w:t>
      </w:r>
      <w:r w:rsidR="00A27D34" w:rsidRPr="00B10C52">
        <w:rPr>
          <w:rFonts w:ascii="Arial" w:hAnsi="Arial" w:cs="Arial"/>
          <w:highlight w:val="yellow"/>
        </w:rPr>
        <w:t>2013 ze dne 18. prosince 2013 o </w:t>
      </w:r>
      <w:r w:rsidRPr="00B10C52">
        <w:rPr>
          <w:rFonts w:ascii="Arial" w:hAnsi="Arial" w:cs="Arial"/>
          <w:highlight w:val="yellow"/>
        </w:rPr>
        <w:t>použití článků 107 a 108 Smlouvy o fungování Evro</w:t>
      </w:r>
      <w:r w:rsidR="005375D0" w:rsidRPr="00B10C52">
        <w:rPr>
          <w:rFonts w:ascii="Arial" w:hAnsi="Arial" w:cs="Arial"/>
          <w:highlight w:val="yellow"/>
        </w:rPr>
        <w:t xml:space="preserve">pské unie na podporu de </w:t>
      </w:r>
      <w:proofErr w:type="spellStart"/>
      <w:r w:rsidR="005375D0" w:rsidRPr="00B10C52">
        <w:rPr>
          <w:rFonts w:ascii="Arial" w:hAnsi="Arial" w:cs="Arial"/>
          <w:highlight w:val="yellow"/>
        </w:rPr>
        <w:t>minimis</w:t>
      </w:r>
      <w:proofErr w:type="spellEnd"/>
      <w:r w:rsidRPr="00B10C52">
        <w:rPr>
          <w:rFonts w:ascii="Arial" w:hAnsi="Arial" w:cs="Arial"/>
          <w:highlight w:val="yellow"/>
        </w:rPr>
        <w:t xml:space="preserve"> / </w:t>
      </w:r>
      <w:r w:rsidR="005375D0" w:rsidRPr="00B10C52">
        <w:rPr>
          <w:rFonts w:ascii="Arial" w:hAnsi="Arial" w:cs="Arial"/>
          <w:highlight w:val="yellow"/>
        </w:rPr>
        <w:br/>
      </w:r>
      <w:r w:rsidRPr="00B10C52">
        <w:rPr>
          <w:rFonts w:ascii="Arial" w:hAnsi="Arial" w:cs="Arial"/>
          <w:highlight w:val="yellow"/>
        </w:rPr>
        <w:t xml:space="preserve">s nařízením Komise (EU) č. 360/2012 ze dne 25. dubna 2012 o použití článků 107 a 108 Smlouvy o fungování Evropské unie na podporu de </w:t>
      </w:r>
      <w:proofErr w:type="spellStart"/>
      <w:r w:rsidRPr="00B10C52">
        <w:rPr>
          <w:rFonts w:ascii="Arial" w:hAnsi="Arial" w:cs="Arial"/>
          <w:highlight w:val="yellow"/>
        </w:rPr>
        <w:t>minimis</w:t>
      </w:r>
      <w:proofErr w:type="spellEnd"/>
      <w:r w:rsidRPr="00B10C52">
        <w:rPr>
          <w:rFonts w:ascii="Arial" w:hAnsi="Arial" w:cs="Arial"/>
          <w:highlight w:val="yellow"/>
        </w:rPr>
        <w:t xml:space="preserve"> udílenou podnikům poskytujícím služby obecného hospodářského zájmu.</w:t>
      </w:r>
      <w:r w:rsidR="00C91FE6" w:rsidRPr="00B10C52">
        <w:rPr>
          <w:rFonts w:ascii="Arial" w:hAnsi="Arial" w:cs="Arial"/>
        </w:rPr>
        <w:t xml:space="preserve"> </w:t>
      </w:r>
    </w:p>
    <w:p w14:paraId="3E25DCEC" w14:textId="77777777" w:rsidR="00DD22CB" w:rsidRPr="005375D0"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budou způsobilé výdaje projektu sníženy</w:t>
      </w:r>
      <w:r w:rsidR="00C54F52" w:rsidRPr="005375D0">
        <w:rPr>
          <w:rFonts w:ascii="Arial" w:hAnsi="Arial" w:cs="Arial"/>
        </w:rPr>
        <w:t xml:space="preserve"> o </w:t>
      </w:r>
      <w:r w:rsidRPr="005375D0">
        <w:rPr>
          <w:rFonts w:ascii="Arial" w:hAnsi="Arial" w:cs="Arial"/>
        </w:rPr>
        <w:t>tento čistý příjem.</w:t>
      </w:r>
    </w:p>
    <w:p w14:paraId="4D991689" w14:textId="77777777" w:rsidR="003C3307" w:rsidRPr="005375D0" w:rsidRDefault="008306B8"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 že po realizaci projektu vzniknou čisté příjmy dle článku 61 nařízení č. 1303/2013, způsobilé výdaje projektu budou předem sníženy s ohledem na potenciál projektu vytvářet čistý příjem.</w:t>
      </w:r>
    </w:p>
    <w:p w14:paraId="05026695"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15D7608D" w:rsidR="00DD22CB" w:rsidRPr="005375D0"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Příjemce</w:t>
      </w:r>
      <w:r w:rsidR="00C54F52" w:rsidRPr="005375D0">
        <w:rPr>
          <w:rFonts w:ascii="Arial" w:hAnsi="Arial" w:cs="Arial"/>
        </w:rPr>
        <w:t xml:space="preserve"> se </w:t>
      </w:r>
      <w:r w:rsidRPr="005375D0">
        <w:rPr>
          <w:rFonts w:ascii="Arial" w:hAnsi="Arial" w:cs="Arial"/>
        </w:rPr>
        <w:t>zavazuje při realizaci projektu dodržet parametry, které jsou uvedeny</w:t>
      </w:r>
      <w:r w:rsidR="00C54F52" w:rsidRPr="005375D0">
        <w:rPr>
          <w:rFonts w:ascii="Arial" w:hAnsi="Arial" w:cs="Arial"/>
        </w:rPr>
        <w:t xml:space="preserve"> v</w:t>
      </w:r>
      <w:r w:rsidR="00D723B7" w:rsidRPr="005375D0">
        <w:rPr>
          <w:rFonts w:ascii="Arial" w:hAnsi="Arial" w:cs="Arial"/>
        </w:rPr>
        <w:t> žádosti </w:t>
      </w:r>
      <w:r w:rsidR="00962296" w:rsidRPr="005375D0">
        <w:rPr>
          <w:rFonts w:ascii="Arial" w:hAnsi="Arial" w:cs="Arial"/>
        </w:rPr>
        <w:t>o </w:t>
      </w:r>
      <w:r w:rsidR="001E49E4" w:rsidRPr="005375D0">
        <w:rPr>
          <w:rFonts w:ascii="Arial" w:hAnsi="Arial" w:cs="Arial"/>
        </w:rPr>
        <w:t>podporu</w:t>
      </w:r>
      <w:r w:rsidR="0040267C" w:rsidRPr="005375D0">
        <w:rPr>
          <w:rStyle w:val="Znakapoznpodarou"/>
          <w:rFonts w:ascii="Arial" w:hAnsi="Arial" w:cs="Arial"/>
          <w:sz w:val="16"/>
        </w:rPr>
        <w:footnoteReference w:id="2"/>
      </w:r>
      <w:r w:rsidR="00962296" w:rsidRPr="005375D0">
        <w:rPr>
          <w:rFonts w:ascii="Arial" w:hAnsi="Arial" w:cs="Arial"/>
        </w:rPr>
        <w:t> </w:t>
      </w:r>
      <w:r w:rsidR="00C54F52" w:rsidRPr="005375D0">
        <w:rPr>
          <w:rFonts w:ascii="Arial" w:hAnsi="Arial" w:cs="Arial"/>
        </w:rPr>
        <w:t>a </w:t>
      </w:r>
      <w:r w:rsidRPr="005375D0">
        <w:rPr>
          <w:rFonts w:ascii="Arial" w:hAnsi="Arial" w:cs="Arial"/>
        </w:rPr>
        <w:t>aktuální</w:t>
      </w:r>
      <w:r w:rsidR="00E1676B" w:rsidRPr="005375D0">
        <w:rPr>
          <w:rFonts w:ascii="Arial" w:hAnsi="Arial" w:cs="Arial"/>
        </w:rPr>
        <w:t>m</w:t>
      </w:r>
      <w:r w:rsidRPr="005375D0">
        <w:rPr>
          <w:rFonts w:ascii="Arial" w:hAnsi="Arial" w:cs="Arial"/>
        </w:rPr>
        <w:t xml:space="preserve"> schválené</w:t>
      </w:r>
      <w:r w:rsidR="00E1676B" w:rsidRPr="005375D0">
        <w:rPr>
          <w:rFonts w:ascii="Arial" w:hAnsi="Arial" w:cs="Arial"/>
        </w:rPr>
        <w:t>m</w:t>
      </w:r>
      <w:r w:rsidRPr="005375D0">
        <w:rPr>
          <w:rFonts w:ascii="Arial" w:hAnsi="Arial" w:cs="Arial"/>
        </w:rPr>
        <w:t xml:space="preserve"> rozpočtu projektu</w:t>
      </w:r>
      <w:r w:rsidRPr="005375D0">
        <w:rPr>
          <w:rStyle w:val="Znakapoznpodarou"/>
          <w:rFonts w:ascii="Arial" w:hAnsi="Arial" w:cs="Arial"/>
          <w:sz w:val="16"/>
        </w:rPr>
        <w:footnoteReference w:id="3"/>
      </w:r>
      <w:r w:rsidRPr="005375D0">
        <w:rPr>
          <w:rFonts w:ascii="Arial" w:hAnsi="Arial" w:cs="Arial"/>
        </w:rPr>
        <w:t>. Pokud dojde ke změnám</w:t>
      </w:r>
      <w:r w:rsidR="00C54F52" w:rsidRPr="005375D0">
        <w:rPr>
          <w:rFonts w:ascii="Arial" w:hAnsi="Arial" w:cs="Arial"/>
        </w:rPr>
        <w:t xml:space="preserve"> v </w:t>
      </w:r>
      <w:r w:rsidRPr="005375D0">
        <w:rPr>
          <w:rFonts w:ascii="Arial" w:hAnsi="Arial" w:cs="Arial"/>
        </w:rPr>
        <w:t>těchto parametrech projektu, musí</w:t>
      </w:r>
      <w:r w:rsidR="00C54F52" w:rsidRPr="005375D0">
        <w:rPr>
          <w:rFonts w:ascii="Arial" w:hAnsi="Arial" w:cs="Arial"/>
        </w:rPr>
        <w:t xml:space="preserve"> o </w:t>
      </w:r>
      <w:r w:rsidRPr="005375D0">
        <w:rPr>
          <w:rFonts w:ascii="Arial" w:hAnsi="Arial" w:cs="Arial"/>
        </w:rPr>
        <w:t>tom</w:t>
      </w:r>
      <w:r w:rsidR="00962296" w:rsidRPr="005375D0">
        <w:rPr>
          <w:rFonts w:ascii="Arial" w:hAnsi="Arial" w:cs="Arial"/>
        </w:rPr>
        <w:t xml:space="preserve"> příjemce</w:t>
      </w:r>
      <w:r w:rsidRPr="005375D0">
        <w:rPr>
          <w:rFonts w:ascii="Arial" w:hAnsi="Arial" w:cs="Arial"/>
        </w:rPr>
        <w:t xml:space="preserve"> informovat poskytovatele způsobem</w:t>
      </w:r>
      <w:r w:rsidR="00C54F52" w:rsidRPr="005375D0">
        <w:rPr>
          <w:rFonts w:ascii="Arial" w:hAnsi="Arial" w:cs="Arial"/>
        </w:rPr>
        <w:t xml:space="preserve"> a v </w:t>
      </w:r>
      <w:r w:rsidRPr="005375D0">
        <w:rPr>
          <w:rFonts w:ascii="Arial" w:hAnsi="Arial" w:cs="Arial"/>
        </w:rPr>
        <w:t>termínech stanovených</w:t>
      </w:r>
      <w:r w:rsidR="00C54F52" w:rsidRPr="005375D0">
        <w:rPr>
          <w:rFonts w:ascii="Arial" w:hAnsi="Arial" w:cs="Arial"/>
        </w:rPr>
        <w:t xml:space="preserve"> v </w:t>
      </w:r>
      <w:r w:rsidRPr="005375D0">
        <w:rPr>
          <w:rFonts w:ascii="Arial" w:hAnsi="Arial" w:cs="Arial"/>
        </w:rPr>
        <w:t>Pravidlech pro žadatele</w:t>
      </w:r>
      <w:r w:rsidR="00C54F52" w:rsidRPr="005375D0">
        <w:rPr>
          <w:rFonts w:ascii="Arial" w:hAnsi="Arial" w:cs="Arial"/>
        </w:rPr>
        <w:t xml:space="preserve"> a </w:t>
      </w:r>
      <w:r w:rsidRPr="005375D0">
        <w:rPr>
          <w:rFonts w:ascii="Arial" w:hAnsi="Arial" w:cs="Arial"/>
        </w:rPr>
        <w:t>příjemce OP PPR.</w:t>
      </w:r>
    </w:p>
    <w:p w14:paraId="379956BC" w14:textId="236697D4"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962296">
        <w:rPr>
          <w:rStyle w:val="Znakapoznpodarou"/>
          <w:rFonts w:ascii="Arial" w:hAnsi="Arial" w:cs="Arial"/>
          <w:sz w:val="16"/>
        </w:rPr>
        <w:footnoteReference w:id="4"/>
      </w:r>
      <w:r w:rsidR="00962296">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sidR="00D723B7">
        <w:rPr>
          <w:rFonts w:ascii="Arial" w:hAnsi="Arial" w:cs="Arial"/>
        </w:rPr>
        <w:t>příjemce OP </w:t>
      </w:r>
      <w:r>
        <w:rPr>
          <w:rFonts w:ascii="Arial" w:hAnsi="Arial" w:cs="Arial"/>
        </w:rPr>
        <w:t>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 xml:space="preserve">textu příslušné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p>
    <w:p w14:paraId="371D906A" w14:textId="237E25D4" w:rsidR="00E53EAA" w:rsidRDefault="00E53EAA" w:rsidP="00FC5AA8">
      <w:pPr>
        <w:widowControl w:val="0"/>
        <w:numPr>
          <w:ilvl w:val="0"/>
          <w:numId w:val="2"/>
        </w:numPr>
        <w:tabs>
          <w:tab w:val="clear" w:pos="1080"/>
          <w:tab w:val="num" w:pos="567"/>
        </w:tabs>
        <w:spacing w:before="40" w:after="40"/>
        <w:ind w:left="567" w:hanging="567"/>
        <w:jc w:val="both"/>
        <w:rPr>
          <w:rFonts w:ascii="Arial" w:hAnsi="Arial" w:cs="Arial"/>
        </w:rPr>
      </w:pPr>
      <w:r w:rsidRPr="007E07EB">
        <w:rPr>
          <w:rFonts w:ascii="Arial" w:hAnsi="Arial" w:cs="Arial"/>
        </w:rPr>
        <w:lastRenderedPageBreak/>
        <w:t>V případě, že je podpora poskytována v režimu de</w:t>
      </w:r>
      <w:r>
        <w:rPr>
          <w:rFonts w:ascii="Arial" w:hAnsi="Arial" w:cs="Arial"/>
        </w:rPr>
        <w:t xml:space="preserve"> </w:t>
      </w:r>
      <w:proofErr w:type="spellStart"/>
      <w:r w:rsidRPr="007E07EB">
        <w:rPr>
          <w:rFonts w:ascii="Arial" w:hAnsi="Arial" w:cs="Arial"/>
        </w:rPr>
        <w:t>minimis</w:t>
      </w:r>
      <w:proofErr w:type="spellEnd"/>
      <w:r w:rsidRPr="007E07EB">
        <w:rPr>
          <w:rFonts w:ascii="Arial" w:hAnsi="Arial" w:cs="Arial"/>
        </w:rPr>
        <w:t xml:space="preserve"> a ke dni účinnosti této smlouvy se zjistí, že částka podpory de</w:t>
      </w:r>
      <w:r>
        <w:rPr>
          <w:rFonts w:ascii="Arial" w:hAnsi="Arial" w:cs="Arial"/>
        </w:rPr>
        <w:t xml:space="preserve"> </w:t>
      </w:r>
      <w:proofErr w:type="spellStart"/>
      <w:r w:rsidRPr="007E07EB">
        <w:rPr>
          <w:rFonts w:ascii="Arial" w:hAnsi="Arial" w:cs="Arial"/>
        </w:rPr>
        <w:t>minimis</w:t>
      </w:r>
      <w:proofErr w:type="spellEnd"/>
      <w:r w:rsidRPr="007E07EB">
        <w:rPr>
          <w:rFonts w:ascii="Arial" w:hAnsi="Arial" w:cs="Arial"/>
        </w:rPr>
        <w:t xml:space="preserve"> uvedená v této smlouvě je vyšší než povolený limit </w:t>
      </w:r>
      <w:r>
        <w:rPr>
          <w:rFonts w:ascii="Arial" w:hAnsi="Arial" w:cs="Arial"/>
        </w:rPr>
        <w:br/>
      </w:r>
      <w:r w:rsidRPr="007E07EB">
        <w:rPr>
          <w:rFonts w:ascii="Arial" w:hAnsi="Arial" w:cs="Arial"/>
        </w:rPr>
        <w:t>de</w:t>
      </w:r>
      <w:r>
        <w:rPr>
          <w:rFonts w:ascii="Arial" w:hAnsi="Arial" w:cs="Arial"/>
        </w:rPr>
        <w:t xml:space="preserve"> </w:t>
      </w:r>
      <w:proofErr w:type="spellStart"/>
      <w:r w:rsidRPr="007E07EB">
        <w:rPr>
          <w:rFonts w:ascii="Arial" w:hAnsi="Arial" w:cs="Arial"/>
        </w:rPr>
        <w:t>minimis</w:t>
      </w:r>
      <w:proofErr w:type="spellEnd"/>
      <w:r w:rsidRPr="007E07EB">
        <w:rPr>
          <w:rFonts w:ascii="Arial" w:hAnsi="Arial" w:cs="Arial"/>
        </w:rPr>
        <w:t xml:space="preserve">, je příjemce povinen na vyzvání </w:t>
      </w:r>
      <w:r>
        <w:rPr>
          <w:rFonts w:ascii="Arial" w:hAnsi="Arial" w:cs="Arial"/>
        </w:rPr>
        <w:t>poskytovatele v poskytovatelem stanoveném termínu</w:t>
      </w:r>
      <w:r w:rsidRPr="007E07EB">
        <w:rPr>
          <w:rFonts w:ascii="Arial" w:hAnsi="Arial" w:cs="Arial"/>
        </w:rPr>
        <w:t xml:space="preserve"> provést úpravu žádosti, resp. úpravu rozpočtu projektu tak, aby byl dodržen </w:t>
      </w:r>
      <w:r>
        <w:rPr>
          <w:rFonts w:ascii="Arial" w:hAnsi="Arial" w:cs="Arial"/>
        </w:rPr>
        <w:t xml:space="preserve">soulad s nařízením de </w:t>
      </w:r>
      <w:proofErr w:type="spellStart"/>
      <w:r>
        <w:rPr>
          <w:rFonts w:ascii="Arial" w:hAnsi="Arial" w:cs="Arial"/>
        </w:rPr>
        <w:t>minimis</w:t>
      </w:r>
      <w:proofErr w:type="spellEnd"/>
      <w:r>
        <w:rPr>
          <w:rFonts w:ascii="Arial" w:hAnsi="Arial" w:cs="Arial"/>
        </w:rPr>
        <w:t xml:space="preserve"> a </w:t>
      </w:r>
      <w:r w:rsidRPr="007E07EB">
        <w:rPr>
          <w:rFonts w:ascii="Arial" w:hAnsi="Arial" w:cs="Arial"/>
        </w:rPr>
        <w:t>současně dodr</w:t>
      </w:r>
      <w:r>
        <w:rPr>
          <w:rFonts w:ascii="Arial" w:hAnsi="Arial" w:cs="Arial"/>
        </w:rPr>
        <w:t>žen limit spolufinancování dle V</w:t>
      </w:r>
      <w:r w:rsidRPr="007E07EB">
        <w:rPr>
          <w:rFonts w:ascii="Arial" w:hAnsi="Arial" w:cs="Arial"/>
        </w:rPr>
        <w:t>ýzvy k předkládání žádostí o podporu</w:t>
      </w:r>
      <w:r>
        <w:rPr>
          <w:rFonts w:ascii="Arial" w:hAnsi="Arial" w:cs="Arial"/>
        </w:rPr>
        <w:t xml:space="preserve"> uvedené v příloze č. 1 této smlouvy a dodrženy i další oprávněné požadavky poskytovatele související s financováním projektu</w:t>
      </w:r>
      <w:r w:rsidRPr="007E07EB">
        <w:rPr>
          <w:rFonts w:ascii="Arial" w:hAnsi="Arial" w:cs="Arial"/>
        </w:rPr>
        <w:t>.</w:t>
      </w:r>
    </w:p>
    <w:p w14:paraId="10A14B42" w14:textId="3525DA74" w:rsidR="00DD22CB" w:rsidRPr="005375D0"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je příjemce povinen tyto příjmy nahlásit poskytovateli dotace</w:t>
      </w:r>
      <w:r w:rsidR="00C54F52" w:rsidRPr="005375D0">
        <w:rPr>
          <w:rFonts w:ascii="Arial" w:hAnsi="Arial" w:cs="Arial"/>
        </w:rPr>
        <w:t xml:space="preserve"> v </w:t>
      </w:r>
      <w:r w:rsidRPr="005375D0">
        <w:rPr>
          <w:rFonts w:ascii="Arial" w:hAnsi="Arial" w:cs="Arial"/>
        </w:rPr>
        <w:t xml:space="preserve">nejbližší </w:t>
      </w:r>
      <w:r w:rsidR="00962296" w:rsidRPr="005375D0">
        <w:rPr>
          <w:rFonts w:ascii="Arial" w:hAnsi="Arial" w:cs="Arial"/>
        </w:rPr>
        <w:t>Z</w:t>
      </w:r>
      <w:r w:rsidRPr="005375D0">
        <w:rPr>
          <w:rFonts w:ascii="Arial" w:hAnsi="Arial" w:cs="Arial"/>
        </w:rPr>
        <w:t>právě</w:t>
      </w:r>
      <w:r w:rsidR="00C54F52" w:rsidRPr="005375D0">
        <w:rPr>
          <w:rFonts w:ascii="Arial" w:hAnsi="Arial" w:cs="Arial"/>
        </w:rPr>
        <w:t xml:space="preserve"> o </w:t>
      </w:r>
      <w:r w:rsidRPr="005375D0">
        <w:rPr>
          <w:rFonts w:ascii="Arial" w:hAnsi="Arial" w:cs="Arial"/>
        </w:rPr>
        <w:t>realizaci projektu</w:t>
      </w:r>
      <w:r w:rsidR="008306B8" w:rsidRPr="005375D0">
        <w:rPr>
          <w:rFonts w:ascii="Arial" w:hAnsi="Arial" w:cs="Arial"/>
        </w:rPr>
        <w:t>, nejpozději však v okamžiku podání závěrečné žádosti o platbu</w:t>
      </w:r>
      <w:r w:rsidR="00C54F52" w:rsidRPr="005375D0">
        <w:rPr>
          <w:rFonts w:ascii="Arial" w:hAnsi="Arial" w:cs="Arial"/>
        </w:rPr>
        <w:t xml:space="preserve"> a </w:t>
      </w:r>
      <w:r w:rsidRPr="005375D0">
        <w:rPr>
          <w:rFonts w:ascii="Arial" w:hAnsi="Arial" w:cs="Arial"/>
        </w:rPr>
        <w:t>způsobilé výdaje projektu budou sníženy</w:t>
      </w:r>
      <w:r w:rsidR="00C54F52" w:rsidRPr="005375D0">
        <w:rPr>
          <w:rFonts w:ascii="Arial" w:hAnsi="Arial" w:cs="Arial"/>
        </w:rPr>
        <w:t xml:space="preserve"> o </w:t>
      </w:r>
      <w:r w:rsidRPr="005375D0">
        <w:rPr>
          <w:rFonts w:ascii="Arial" w:hAnsi="Arial" w:cs="Arial"/>
        </w:rPr>
        <w:t xml:space="preserve">tento čistý příjem. </w:t>
      </w:r>
    </w:p>
    <w:p w14:paraId="6681AE83" w14:textId="032481B9" w:rsidR="00962296" w:rsidRPr="009B6327"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B6327">
        <w:rPr>
          <w:rFonts w:ascii="Arial" w:hAnsi="Arial" w:cs="Arial"/>
          <w:highlight w:val="yellow"/>
        </w:rPr>
        <w:t xml:space="preserve">V případě projektů generujících čisté příjmy dle článku 61 nařízení č. 1303/2013, u kterých došlo k úpravě dotace dle výpočtu finanční mezery, je příjemce povinen v průběhu </w:t>
      </w:r>
      <w:r w:rsidRPr="005375D0">
        <w:rPr>
          <w:rFonts w:ascii="Arial" w:hAnsi="Arial" w:cs="Arial"/>
          <w:highlight w:val="yellow"/>
        </w:rPr>
        <w:t xml:space="preserve">realizace projektu doložit prostřednictvím Zpráv o realizaci skutečně dosažené hodnoty příjmů a výdajů. </w:t>
      </w:r>
      <w:r w:rsidR="005375D0">
        <w:rPr>
          <w:rFonts w:ascii="Arial" w:hAnsi="Arial" w:cs="Arial"/>
          <w:highlight w:val="yellow"/>
        </w:rPr>
        <w:br/>
      </w:r>
      <w:r w:rsidR="004F05FC" w:rsidRPr="005375D0">
        <w:rPr>
          <w:rFonts w:ascii="Arial" w:hAnsi="Arial" w:cs="Arial"/>
          <w:highlight w:val="yellow"/>
        </w:rPr>
        <w:t>Se závěrečnou</w:t>
      </w:r>
      <w:r w:rsidRPr="005375D0">
        <w:rPr>
          <w:rFonts w:ascii="Arial" w:hAnsi="Arial" w:cs="Arial"/>
          <w:highlight w:val="yellow"/>
        </w:rPr>
        <w:t xml:space="preserve"> Zprávou o realizaci je příjemce </w:t>
      </w:r>
      <w:r w:rsidR="004F05FC" w:rsidRPr="005375D0">
        <w:rPr>
          <w:rFonts w:ascii="Arial" w:hAnsi="Arial" w:cs="Arial"/>
          <w:highlight w:val="yellow"/>
        </w:rPr>
        <w:t xml:space="preserve">zároveň </w:t>
      </w:r>
      <w:r w:rsidRPr="005375D0">
        <w:rPr>
          <w:rFonts w:ascii="Arial" w:hAnsi="Arial" w:cs="Arial"/>
          <w:highlight w:val="yellow"/>
        </w:rPr>
        <w:t xml:space="preserve">povinen doložit přepočet finanční mezery dle skutečně dosažených hodnot. Dále je příjemce i v době udržitelnosti povinen předložit skutečně dosažené hodnoty příjmů a výdajů prostřednictvím Zpráv o udržitelnosti projektu. </w:t>
      </w:r>
      <w:r w:rsidR="005375D0">
        <w:rPr>
          <w:rFonts w:ascii="Arial" w:hAnsi="Arial" w:cs="Arial"/>
          <w:highlight w:val="yellow"/>
        </w:rPr>
        <w:br/>
      </w:r>
      <w:r w:rsidR="004F05FC" w:rsidRPr="005375D0">
        <w:rPr>
          <w:rFonts w:ascii="Arial" w:hAnsi="Arial" w:cs="Arial"/>
          <w:highlight w:val="yellow"/>
        </w:rPr>
        <w:t>Se závěrečnou</w:t>
      </w:r>
      <w:r w:rsidRPr="005375D0">
        <w:rPr>
          <w:rFonts w:ascii="Arial" w:hAnsi="Arial" w:cs="Arial"/>
          <w:highlight w:val="yellow"/>
        </w:rPr>
        <w:t xml:space="preserve"> Zp</w:t>
      </w:r>
      <w:r w:rsidR="00A27D34" w:rsidRPr="005375D0">
        <w:rPr>
          <w:rFonts w:ascii="Arial" w:hAnsi="Arial" w:cs="Arial"/>
          <w:highlight w:val="yellow"/>
        </w:rPr>
        <w:t>rávou o </w:t>
      </w:r>
      <w:r w:rsidRPr="005375D0">
        <w:rPr>
          <w:rFonts w:ascii="Arial" w:hAnsi="Arial" w:cs="Arial"/>
          <w:highlight w:val="yellow"/>
        </w:rPr>
        <w:t xml:space="preserve">udržitelnosti projektu (nebo s uzavíráním programu – co nastane dříve) dokládá příjemce přepočet finanční mezery. Příjemce je povinen vrátit odpovídající část podpory (v období </w:t>
      </w:r>
      <w:r w:rsidRPr="009B6327">
        <w:rPr>
          <w:rFonts w:ascii="Arial" w:hAnsi="Arial" w:cs="Arial"/>
          <w:highlight w:val="yellow"/>
        </w:rPr>
        <w:t xml:space="preserve">realizace odečíst dodatečné příjmy od způsobilých výdajů operace nejpozději při závěrečné žádosti o platbu předkládané příjemcem, v období udržitelnosti provést vratku), pokud odchylka ve finanční mezeře přesahuje 10 % oproti finanční mezeře na začátku projektu. V případě projektů generujících čisté příjmy dle článku 61 nařízení č. 1303/2013, kde z důvodu </w:t>
      </w:r>
      <w:proofErr w:type="spellStart"/>
      <w:r w:rsidRPr="009B6327">
        <w:rPr>
          <w:rFonts w:ascii="Arial" w:hAnsi="Arial" w:cs="Arial"/>
          <w:highlight w:val="yellow"/>
        </w:rPr>
        <w:t>neodhadnutelnosti</w:t>
      </w:r>
      <w:proofErr w:type="spellEnd"/>
      <w:r w:rsidRPr="009B6327">
        <w:rPr>
          <w:rFonts w:ascii="Arial" w:hAnsi="Arial" w:cs="Arial"/>
          <w:highlight w:val="yellow"/>
        </w:rPr>
        <w:t xml:space="preserve"> příjmů nedošlo k úpravě dotace, je příjemce povinen jak v průběhu realizace projektu prostřednictvím Zpráv o realizaci, tak v průběhu udržitelnosti </w:t>
      </w:r>
      <w:bookmarkStart w:id="0" w:name="_Hlk485046224"/>
      <w:r w:rsidRPr="009B6327">
        <w:rPr>
          <w:rFonts w:ascii="Arial" w:hAnsi="Arial" w:cs="Arial"/>
          <w:highlight w:val="yellow"/>
        </w:rPr>
        <w:t>po dobu tří let od ukončení realizace projektu</w:t>
      </w:r>
      <w:bookmarkEnd w:id="0"/>
      <w:r w:rsidRPr="009B6327">
        <w:rPr>
          <w:rFonts w:ascii="Arial" w:hAnsi="Arial" w:cs="Arial"/>
          <w:highlight w:val="yellow"/>
        </w:rPr>
        <w:t xml:space="preserve"> prostřednictvím Zpráv o udržitelnosti projektu vykázat skutečně dosažené hodnoty příjmů a výdajů. Způsobilé výdaje projektu budou sníženy o čisté příjmy a příjemce je povinen vrátit odpovídající část podpory, tj. v období realiz</w:t>
      </w:r>
      <w:r w:rsidR="00A27D34">
        <w:rPr>
          <w:rFonts w:ascii="Arial" w:hAnsi="Arial" w:cs="Arial"/>
          <w:highlight w:val="yellow"/>
        </w:rPr>
        <w:t>ace odečíst dodatečné příjmy od </w:t>
      </w:r>
      <w:r w:rsidRPr="009B6327">
        <w:rPr>
          <w:rFonts w:ascii="Arial" w:hAnsi="Arial" w:cs="Arial"/>
          <w:highlight w:val="yellow"/>
        </w:rPr>
        <w:t xml:space="preserve">způsobilých výdajů operace nejpozději při závěrečné žádosti o </w:t>
      </w:r>
      <w:r w:rsidR="00A27D34">
        <w:rPr>
          <w:rFonts w:ascii="Arial" w:hAnsi="Arial" w:cs="Arial"/>
          <w:highlight w:val="yellow"/>
        </w:rPr>
        <w:t>platbu předkládané příjemcem, v </w:t>
      </w:r>
      <w:r w:rsidRPr="009B6327">
        <w:rPr>
          <w:rFonts w:ascii="Arial" w:hAnsi="Arial" w:cs="Arial"/>
          <w:highlight w:val="yellow"/>
        </w:rPr>
        <w:t xml:space="preserve">období udržitelnosti provést vratku v rámci sledovaných období. </w:t>
      </w:r>
    </w:p>
    <w:p w14:paraId="64FF2EF7" w14:textId="3AF062EC" w:rsidR="00404E5F" w:rsidRPr="009C123A"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B6327">
        <w:rPr>
          <w:rFonts w:ascii="Arial" w:hAnsi="Arial" w:cs="Arial"/>
          <w:highlight w:val="yellow"/>
        </w:rPr>
        <w:t>V případě, že v průběhu realizace projektu nebo udržitelnosti projektu (po dobu tří let od ukončení realizace projektu v případě příjmů dle článku 61 nařízení č 1303/2013, jejichž výši nelze odhadnout předem) vzniknou nové čisté příjmy, je příjemce povinen tyto příjmy nahlásit poskytovateli dotace v nejbližší Zprávě o realizaci projektu nebo Zprávě o udržitel</w:t>
      </w:r>
      <w:r w:rsidR="00A27D34">
        <w:rPr>
          <w:rFonts w:ascii="Arial" w:hAnsi="Arial" w:cs="Arial"/>
          <w:highlight w:val="yellow"/>
        </w:rPr>
        <w:t>nosti projektu a </w:t>
      </w:r>
      <w:r w:rsidRPr="009B6327">
        <w:rPr>
          <w:rFonts w:ascii="Arial" w:hAnsi="Arial" w:cs="Arial"/>
          <w:highlight w:val="yellow"/>
        </w:rPr>
        <w:t>způsobilé výdaje projektu budou sníženy o tento čistý příjem.</w:t>
      </w:r>
    </w:p>
    <w:p w14:paraId="458D53AA" w14:textId="72912488" w:rsidR="004F05FC" w:rsidRPr="00D629DF" w:rsidRDefault="004F05FC" w:rsidP="004F05FC">
      <w:pPr>
        <w:pStyle w:val="Odstavecseseznamem"/>
        <w:numPr>
          <w:ilvl w:val="0"/>
          <w:numId w:val="2"/>
        </w:numPr>
        <w:tabs>
          <w:tab w:val="clear" w:pos="1080"/>
        </w:tabs>
        <w:ind w:left="567" w:hanging="567"/>
        <w:jc w:val="both"/>
        <w:rPr>
          <w:rFonts w:ascii="Arial" w:hAnsi="Arial" w:cs="Arial"/>
          <w:highlight w:val="yellow"/>
        </w:rPr>
      </w:pPr>
      <w:r w:rsidRPr="00D629DF">
        <w:rPr>
          <w:rFonts w:ascii="Arial" w:hAnsi="Arial" w:cs="Arial"/>
          <w:highlight w:val="yellow"/>
        </w:rPr>
        <w:t>Případná úspora provozních nákladů vyvolaná realizací projektu musí být vyvážena odpovídajícím snížením kompenzace za veřejné služby/provozních dotací, které příjemce obdrží. V opačném případě je úspora provozních nákladů považována za čistý příjem dle článku 61 nařízení č. 1303/2013. Tato povinnost platí po celou dobu realizace a udržitelnosti</w:t>
      </w:r>
      <w:r w:rsidRPr="00D629DF">
        <w:rPr>
          <w:rStyle w:val="Znakapoznpodarou"/>
          <w:rFonts w:ascii="Arial" w:hAnsi="Arial" w:cs="Arial"/>
          <w:highlight w:val="yellow"/>
        </w:rPr>
        <w:footnoteReference w:id="5"/>
      </w:r>
      <w:r w:rsidRPr="00D629DF">
        <w:rPr>
          <w:rFonts w:ascii="Arial" w:hAnsi="Arial" w:cs="Arial"/>
          <w:highlight w:val="yellow"/>
        </w:rPr>
        <w:t>. Příjemce je povinen odpovídající snížení kompenzace/provozních dotací doložit.</w:t>
      </w:r>
    </w:p>
    <w:p w14:paraId="2CB9AB8C" w14:textId="77777777"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výdaje 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 xml:space="preserve">případě faktur musí příjemce navíc </w:t>
      </w:r>
      <w:r w:rsidRPr="005375D0">
        <w:rPr>
          <w:rFonts w:ascii="Arial" w:hAnsi="Arial" w:cs="Arial"/>
        </w:rPr>
        <w:t>zajistit, aby číslo projektu uváděl</w:t>
      </w:r>
      <w:r w:rsidR="00C54F52" w:rsidRPr="005375D0">
        <w:rPr>
          <w:rFonts w:ascii="Arial" w:hAnsi="Arial" w:cs="Arial"/>
        </w:rPr>
        <w:t xml:space="preserve"> ve </w:t>
      </w:r>
      <w:r w:rsidRPr="005375D0">
        <w:rPr>
          <w:rFonts w:ascii="Arial" w:hAnsi="Arial" w:cs="Arial"/>
        </w:rPr>
        <w:t>faktuře již dodavatel</w:t>
      </w:r>
      <w:r>
        <w:rPr>
          <w:rFonts w:ascii="Arial" w:hAnsi="Arial" w:cs="Arial"/>
        </w:rPr>
        <w:t xml:space="preserve">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1F32710D"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Pr>
          <w:rFonts w:ascii="Arial" w:hAnsi="Arial" w:cs="Arial"/>
        </w:rPr>
        <w:t>výdaje</w:t>
      </w:r>
      <w:r w:rsidR="00C54F52">
        <w:rPr>
          <w:rFonts w:ascii="Arial" w:hAnsi="Arial" w:cs="Arial"/>
        </w:rPr>
        <w:t xml:space="preserve"> na </w:t>
      </w:r>
      <w:r>
        <w:rPr>
          <w:rFonts w:ascii="Arial" w:hAnsi="Arial" w:cs="Arial"/>
        </w:rPr>
        <w:t xml:space="preserve">zachování výsledků realizace projektu)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723B7">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 a udržitelnosti </w:t>
      </w:r>
      <w:r w:rsidR="00404E5F">
        <w:rPr>
          <w:rFonts w:ascii="Arial" w:hAnsi="Arial" w:cs="Arial"/>
        </w:rPr>
        <w:lastRenderedPageBreak/>
        <w:t>projektu</w:t>
      </w:r>
      <w:r w:rsidR="000A0E9E">
        <w:rPr>
          <w:rFonts w:ascii="Arial" w:hAnsi="Arial" w:cs="Arial"/>
        </w:rPr>
        <w:t>.</w:t>
      </w:r>
    </w:p>
    <w:p w14:paraId="49D16E56" w14:textId="121DA38B"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D723B7">
        <w:rPr>
          <w:rFonts w:ascii="Arial" w:hAnsi="Arial" w:cs="Arial"/>
        </w:rPr>
        <w:t> </w:t>
      </w:r>
      <w:r w:rsidR="00C54F52">
        <w:rPr>
          <w:rFonts w:ascii="Arial" w:hAnsi="Arial" w:cs="Arial"/>
        </w:rPr>
        <w:t>článku</w:t>
      </w:r>
      <w:r w:rsidR="00D723B7">
        <w:rPr>
          <w:rFonts w:ascii="Arial" w:hAnsi="Arial" w:cs="Arial"/>
        </w:rPr>
        <w:t> </w:t>
      </w:r>
      <w:r>
        <w:rPr>
          <w:rFonts w:ascii="Arial" w:hAnsi="Arial" w:cs="Arial"/>
        </w:rPr>
        <w:t>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sidR="00D723B7">
        <w:rPr>
          <w:rFonts w:ascii="Arial" w:hAnsi="Arial" w:cs="Arial"/>
        </w:rPr>
        <w:t>pořízení či </w:t>
      </w:r>
      <w:r>
        <w:rPr>
          <w:rFonts w:ascii="Arial" w:hAnsi="Arial" w:cs="Arial"/>
        </w:rPr>
        <w:t>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986D3A" w14:textId="296A1C4C"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je </w:t>
      </w:r>
      <w:r w:rsidR="00AA2443">
        <w:rPr>
          <w:rFonts w:ascii="Arial" w:hAnsi="Arial" w:cs="Arial"/>
        </w:rPr>
        <w:t>v průběhu realizace a udržitelnosti projektu</w:t>
      </w:r>
      <w:r w:rsidR="00AA2443" w:rsidRPr="00B45500">
        <w:rPr>
          <w:rFonts w:ascii="Arial" w:hAnsi="Arial" w:cs="Arial"/>
        </w:rPr>
        <w:t xml:space="preserve"> </w:t>
      </w:r>
      <w:r>
        <w:rPr>
          <w:rFonts w:ascii="Arial" w:hAnsi="Arial" w:cs="Arial"/>
        </w:rPr>
        <w:t>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vedeny s jednoznačnou</w:t>
      </w:r>
      <w:r>
        <w:rPr>
          <w:rFonts w:ascii="Arial" w:hAnsi="Arial" w:cs="Arial"/>
        </w:rPr>
        <w:t xml:space="preserve"> vazbou</w:t>
      </w:r>
      <w:r w:rsidR="00C54F52">
        <w:rPr>
          <w:rFonts w:ascii="Arial" w:hAnsi="Arial" w:cs="Arial"/>
        </w:rPr>
        <w:t xml:space="preserve"> na </w:t>
      </w:r>
      <w:r>
        <w:rPr>
          <w:rFonts w:ascii="Arial" w:hAnsi="Arial" w:cs="Arial"/>
        </w:rPr>
        <w:t xml:space="preserve">projekt. </w:t>
      </w:r>
    </w:p>
    <w:p w14:paraId="2EA342EF" w14:textId="39A88E7E"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sidR="00D723B7">
        <w:rPr>
          <w:rFonts w:ascii="Arial" w:hAnsi="Arial" w:cs="Arial"/>
        </w:rPr>
        <w:t>této 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962296">
        <w:rPr>
          <w:rStyle w:val="Znakapoznpodarou"/>
          <w:rFonts w:ascii="Arial" w:hAnsi="Arial" w:cs="Arial"/>
          <w:sz w:val="16"/>
        </w:rPr>
        <w:footnoteReference w:id="6"/>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613E51">
        <w:rPr>
          <w:rFonts w:ascii="Arial" w:hAnsi="Arial" w:cs="Arial"/>
        </w:rPr>
        <w:t xml:space="preserve">a udržitelnosti </w:t>
      </w:r>
      <w:r>
        <w:rPr>
          <w:rFonts w:ascii="Arial" w:hAnsi="Arial" w:cs="Arial"/>
        </w:rPr>
        <w:t>projektu</w:t>
      </w:r>
      <w:r w:rsidR="002C02C3">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p>
    <w:p w14:paraId="484B94C7" w14:textId="2F2FB126" w:rsidR="00DD22CB" w:rsidRDefault="00CE3CB5" w:rsidP="00FC5AA8">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w:t>
      </w:r>
      <w:r w:rsidR="00A27D34">
        <w:rPr>
          <w:rFonts w:ascii="Arial" w:hAnsi="Arial" w:cs="Arial"/>
        </w:rPr>
        <w:t xml:space="preserve"> zahájených, prováděných, anebo </w:t>
      </w:r>
      <w:r>
        <w:rPr>
          <w:rFonts w:ascii="Arial" w:hAnsi="Arial" w:cs="Arial"/>
        </w:rPr>
        <w:t>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2A91460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962296">
        <w:rPr>
          <w:rFonts w:ascii="Arial" w:hAnsi="Arial" w:cs="Arial"/>
        </w:rPr>
        <w:t xml:space="preserve">je upřesněno Metodickým pokynem pro publicitu a komunikaci ESI fondů v programovém období 2014 - 2020, a s pravidly stanovenými Pravidly pro žadatele a příjemce OP PPR (podrobný rozpis prvků </w:t>
      </w:r>
      <w:r w:rsidR="00962296" w:rsidRPr="00774805">
        <w:rPr>
          <w:rFonts w:ascii="Arial" w:hAnsi="Arial" w:cs="Arial"/>
        </w:rPr>
        <w:t>povinné publicity obsahuje kapitola č. 16 Pravidel pro žadatele a příjemce OP</w:t>
      </w:r>
      <w:r w:rsidR="00962296">
        <w:rPr>
          <w:rFonts w:ascii="Arial" w:hAnsi="Arial" w:cs="Arial"/>
        </w:rPr>
        <w:t> </w:t>
      </w:r>
      <w:r w:rsidR="00962296" w:rsidRPr="00774805">
        <w:rPr>
          <w:rFonts w:ascii="Arial" w:hAnsi="Arial" w:cs="Arial"/>
        </w:rPr>
        <w:t>PPR).</w:t>
      </w:r>
      <w:r w:rsidR="00962296">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w:t>
      </w:r>
      <w:r w:rsidR="005375D0">
        <w:rPr>
          <w:rFonts w:ascii="Arial" w:hAnsi="Arial" w:cs="Arial"/>
        </w:rPr>
        <w:br/>
      </w:r>
      <w:r w:rsidR="00C54F52">
        <w:rPr>
          <w:rFonts w:ascii="Arial" w:hAnsi="Arial" w:cs="Arial"/>
        </w:rPr>
        <w:t>a </w:t>
      </w:r>
      <w:r>
        <w:rPr>
          <w:rFonts w:ascii="Arial" w:hAnsi="Arial" w:cs="Arial"/>
        </w:rPr>
        <w:t>to po celou dobu realizace</w:t>
      </w:r>
      <w:r w:rsidR="00613E51">
        <w:rPr>
          <w:rFonts w:ascii="Arial" w:hAnsi="Arial" w:cs="Arial"/>
        </w:rPr>
        <w:t xml:space="preserve"> a udržitelnosti</w:t>
      </w:r>
      <w:r w:rsidR="002C02C3">
        <w:rPr>
          <w:rFonts w:ascii="Arial" w:hAnsi="Arial" w:cs="Arial"/>
        </w:rPr>
        <w:t xml:space="preserve"> </w:t>
      </w:r>
      <w:r>
        <w:rPr>
          <w:rFonts w:ascii="Arial" w:hAnsi="Arial" w:cs="Arial"/>
        </w:rPr>
        <w:t xml:space="preserve">projektu. </w:t>
      </w:r>
    </w:p>
    <w:p w14:paraId="4C50A788" w14:textId="2925B7B0" w:rsidR="00667C9C" w:rsidRPr="000066F1"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lastRenderedPageBreak/>
        <w:t xml:space="preserve">Příjemce se zavazuje pojistit veškerý pojistitelný dlouhodobý majetek v souladu s podmínkami definovanými v Pravidlech pro žadatele a příjemce OP PPR </w:t>
      </w:r>
      <w:r w:rsidR="00962296" w:rsidRPr="005375D0">
        <w:rPr>
          <w:rFonts w:ascii="Arial" w:hAnsi="Arial" w:cs="Arial"/>
        </w:rPr>
        <w:t xml:space="preserve">v kapitole č. 11 Řízení projektu. Pojištění sjednané příjemcem v pojistné smlouvě musí být </w:t>
      </w:r>
      <w:r w:rsidR="00E6386B" w:rsidRPr="005375D0">
        <w:rPr>
          <w:rFonts w:ascii="Arial" w:hAnsi="Arial" w:cs="Arial"/>
        </w:rPr>
        <w:t xml:space="preserve">zajištěno </w:t>
      </w:r>
      <w:r w:rsidR="00962296" w:rsidRPr="005375D0">
        <w:rPr>
          <w:rFonts w:ascii="Arial" w:hAnsi="Arial" w:cs="Arial"/>
        </w:rPr>
        <w:t>po dobu realizace projektu a po dobu udržitelnosti projektu</w:t>
      </w:r>
      <w:r w:rsidR="00962296" w:rsidRPr="00483067">
        <w:rPr>
          <w:rFonts w:ascii="Arial" w:hAnsi="Arial" w:cs="Arial"/>
        </w:rPr>
        <w:t>.</w:t>
      </w:r>
      <w:r w:rsidRPr="000066F1">
        <w:rPr>
          <w:rFonts w:ascii="Arial" w:hAnsi="Arial" w:cs="Arial"/>
        </w:rPr>
        <w:t xml:space="preserve"> </w:t>
      </w:r>
    </w:p>
    <w:p w14:paraId="4D37D7EF" w14:textId="32232276" w:rsidR="00DD22CB" w:rsidRPr="00667C9C"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w:t>
      </w:r>
      <w:r w:rsidR="00962296">
        <w:rPr>
          <w:rFonts w:ascii="Arial" w:hAnsi="Arial" w:cs="Arial"/>
        </w:rPr>
        <w:t> realizací projektu v souladu s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Rady (EU) č</w:t>
      </w:r>
      <w:r w:rsidR="00962296">
        <w:rPr>
          <w:rFonts w:ascii="Arial" w:hAnsi="Arial" w:cs="Arial"/>
          <w:snapToGrid w:val="0"/>
          <w:szCs w:val="24"/>
        </w:rPr>
        <w:t>. 1303/2013 ze dne 17. prosince </w:t>
      </w:r>
      <w:r w:rsidRPr="00CE76BC">
        <w:rPr>
          <w:rFonts w:ascii="Arial" w:hAnsi="Arial" w:cs="Arial"/>
          <w:snapToGrid w:val="0"/>
          <w:szCs w:val="24"/>
        </w:rPr>
        <w:t xml:space="preserve">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p>
    <w:p w14:paraId="7263C942" w14:textId="3A7EFAED" w:rsidR="00DD22CB" w:rsidRPr="003923F3"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E53EAA">
        <w:rPr>
          <w:rFonts w:ascii="Arial" w:hAnsi="Arial" w:cs="Arial"/>
          <w:snapToGrid w:val="0"/>
          <w:szCs w:val="24"/>
        </w:rPr>
        <w:t xml:space="preserve">13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E53EAA">
        <w:rPr>
          <w:rFonts w:ascii="Arial" w:hAnsi="Arial" w:cs="Arial"/>
          <w:snapToGrid w:val="0"/>
          <w:szCs w:val="24"/>
        </w:rPr>
        <w:t xml:space="preserve">17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6AF8C86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73720871"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sidR="00962296">
        <w:rPr>
          <w:rFonts w:ascii="Arial" w:hAnsi="Arial" w:cs="Arial"/>
          <w:snapToGrid w:val="0"/>
          <w:szCs w:val="24"/>
        </w:rPr>
        <w:t>veškerým majetkem</w:t>
      </w:r>
      <w:r>
        <w:rPr>
          <w:rFonts w:ascii="Arial" w:hAnsi="Arial" w:cs="Arial"/>
          <w:snapToGrid w:val="0"/>
          <w:szCs w:val="24"/>
        </w:rPr>
        <w:t xml:space="preserve"> získaným</w:t>
      </w:r>
      <w:r w:rsidR="00962296">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sidR="00A27D34">
        <w:rPr>
          <w:rFonts w:ascii="Arial" w:hAnsi="Arial" w:cs="Arial"/>
          <w:snapToGrid w:val="0"/>
          <w:szCs w:val="24"/>
        </w:rPr>
        <w:t>finanční pomoci dle </w:t>
      </w:r>
      <w:r>
        <w:rPr>
          <w:rFonts w:ascii="Arial" w:hAnsi="Arial" w:cs="Arial"/>
          <w:snapToGrid w:val="0"/>
          <w:szCs w:val="24"/>
        </w:rPr>
        <w:t>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5E09F20D" w:rsidR="00DD22CB" w:rsidRPr="00D32516" w:rsidRDefault="00962296"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že bude poskytovatele neprodleně písemně informovat o změnách svého majetkoprávního postavení, jako je např. přeměna či zrušení společnosti, vstup do likvidace, úpadek apod. a poskytne nezbytnou součinnosti pro případné ukončení realizace projektu a finanční vypořádání podle pokynů a odůvodněných požadavků poskytovatele. </w:t>
      </w:r>
      <w:r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a udržitelnosti projektu. </w:t>
      </w:r>
      <w:r>
        <w:rPr>
          <w:rFonts w:ascii="Arial" w:hAnsi="Arial" w:cs="Arial"/>
          <w:snapToGrid w:val="0"/>
          <w:szCs w:val="24"/>
        </w:rPr>
        <w:t>Pokud poskytovatel nebude souhlasit s navrhovanou přeměnou příjemce s ohledem na podmínky OP PPR a příjemce bude trvat na její realizaci, vznikne příjemci povinnost vrátit finanční pomoc poskytnutou dle této smlouvy na účet poskytovatele před učiněním právních jednání vedoucích k takové přeměně příjemce.</w:t>
      </w:r>
    </w:p>
    <w:p w14:paraId="3D4829DA" w14:textId="3353A530" w:rsidR="00CB4309" w:rsidRPr="00201E0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není </w:t>
      </w:r>
      <w:r w:rsidR="004671C4">
        <w:rPr>
          <w:rFonts w:ascii="Arial" w:hAnsi="Arial" w:cs="Arial"/>
        </w:rPr>
        <w:t>právnickou osobou veřejného práva</w:t>
      </w:r>
      <w:r w:rsidR="004671C4" w:rsidRPr="00962296">
        <w:rPr>
          <w:rStyle w:val="Znakapoznpodarou"/>
          <w:rFonts w:ascii="Arial" w:hAnsi="Arial" w:cs="Arial"/>
          <w:sz w:val="16"/>
        </w:rPr>
        <w:footnoteReference w:id="7"/>
      </w:r>
      <w:r w:rsidR="004671C4">
        <w:rPr>
          <w:rFonts w:ascii="Arial" w:hAnsi="Arial" w:cs="Arial"/>
        </w:rPr>
        <w:t>,</w:t>
      </w:r>
      <w:r w:rsidRPr="00201E06">
        <w:rPr>
          <w:rFonts w:ascii="Arial" w:hAnsi="Arial" w:cs="Arial"/>
        </w:rPr>
        <w:t xml:space="preserve"> je povinen bezodkladně informovat poskytovatele dotace o změnách skutečného majitele nebo skutečných majitelů ve s</w:t>
      </w:r>
      <w:r w:rsidR="00962296">
        <w:rPr>
          <w:rFonts w:ascii="Arial" w:hAnsi="Arial" w:cs="Arial"/>
        </w:rPr>
        <w:t>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47A6132" w14:textId="34CF0D12" w:rsidR="00CB4309" w:rsidRPr="00D3251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w:t>
      </w:r>
      <w:r w:rsidR="00962296">
        <w:rPr>
          <w:rFonts w:ascii="Arial" w:hAnsi="Arial" w:cs="Arial"/>
        </w:rPr>
        <w:t>jitelích ve smyslu § 4 odst. 4 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35EF7C34" w14:textId="6D9E8BD9"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216208FF" w14:textId="4EFA9827" w:rsidR="00962296" w:rsidRPr="00AA2443"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AA2443">
        <w:rPr>
          <w:rFonts w:ascii="Arial" w:hAnsi="Arial" w:cs="Arial"/>
          <w:highlight w:val="yellow"/>
        </w:rPr>
        <w:t>Příjemce nesmí</w:t>
      </w:r>
    </w:p>
    <w:p w14:paraId="48FFE0F3" w14:textId="78A9A4C6" w:rsidR="00962296" w:rsidRPr="00AA2443" w:rsidRDefault="00962296" w:rsidP="00AA2443">
      <w:pPr>
        <w:pStyle w:val="Odstavecseseznamem"/>
        <w:widowControl w:val="0"/>
        <w:numPr>
          <w:ilvl w:val="0"/>
          <w:numId w:val="44"/>
        </w:numPr>
        <w:spacing w:before="40" w:after="40"/>
        <w:jc w:val="both"/>
        <w:rPr>
          <w:rFonts w:ascii="Arial" w:hAnsi="Arial" w:cs="Arial"/>
          <w:highlight w:val="yellow"/>
        </w:rPr>
      </w:pPr>
      <w:r w:rsidRPr="00AA2443">
        <w:rPr>
          <w:rFonts w:ascii="Arial" w:hAnsi="Arial" w:cs="Arial"/>
          <w:highlight w:val="yellow"/>
        </w:rPr>
        <w:t xml:space="preserve">v době realizace a udržitelnosti zastavit nebo přemístit činnost podporovanou z EFRR mimo </w:t>
      </w:r>
      <w:r w:rsidRPr="00AA2443">
        <w:rPr>
          <w:rFonts w:ascii="Arial" w:hAnsi="Arial" w:cs="Arial"/>
          <w:highlight w:val="yellow"/>
        </w:rPr>
        <w:lastRenderedPageBreak/>
        <w:t>přípustné místo realizace,</w:t>
      </w:r>
    </w:p>
    <w:p w14:paraId="1B659A9A" w14:textId="2AF4F77C" w:rsidR="00962296" w:rsidRPr="00AA2443" w:rsidRDefault="00A27D34" w:rsidP="00AA2443">
      <w:pPr>
        <w:pStyle w:val="Odstavecseseznamem"/>
        <w:widowControl w:val="0"/>
        <w:numPr>
          <w:ilvl w:val="0"/>
          <w:numId w:val="44"/>
        </w:numPr>
        <w:spacing w:before="40" w:after="40"/>
        <w:jc w:val="both"/>
        <w:rPr>
          <w:rFonts w:ascii="Arial" w:hAnsi="Arial" w:cs="Arial"/>
          <w:highlight w:val="yellow"/>
        </w:rPr>
      </w:pPr>
      <w:r w:rsidRPr="00AA2443">
        <w:rPr>
          <w:rFonts w:ascii="Arial" w:hAnsi="Arial" w:cs="Arial"/>
          <w:highlight w:val="yellow"/>
        </w:rPr>
        <w:t xml:space="preserve">v době realizace a udržitelnosti </w:t>
      </w:r>
      <w:r w:rsidR="00962296" w:rsidRPr="00AA2443">
        <w:rPr>
          <w:rFonts w:ascii="Arial" w:hAnsi="Arial" w:cs="Arial"/>
          <w:highlight w:val="yellow"/>
        </w:rPr>
        <w:t xml:space="preserve">majetek pořízený v rámci projektu prodat, ani jinak postoupit či zatížit právy třetí osoby bez předchozího písemného souhlasu </w:t>
      </w:r>
      <w:r w:rsidR="00E53EAA">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00962296" w:rsidRPr="00AA2443">
        <w:rPr>
          <w:rFonts w:ascii="Arial" w:hAnsi="Arial" w:cs="Arial"/>
          <w:highlight w:val="yellow"/>
        </w:rPr>
        <w:t>,</w:t>
      </w:r>
    </w:p>
    <w:p w14:paraId="23E8D4FF" w14:textId="2EF24693" w:rsidR="00962296" w:rsidRPr="00AA2443" w:rsidRDefault="00962296" w:rsidP="00AA2443">
      <w:pPr>
        <w:pStyle w:val="Odstavecseseznamem"/>
        <w:widowControl w:val="0"/>
        <w:numPr>
          <w:ilvl w:val="0"/>
          <w:numId w:val="44"/>
        </w:numPr>
        <w:spacing w:before="40" w:after="40"/>
        <w:jc w:val="both"/>
        <w:rPr>
          <w:rFonts w:ascii="Arial" w:hAnsi="Arial" w:cs="Arial"/>
          <w:highlight w:val="yellow"/>
        </w:rPr>
      </w:pPr>
      <w:r w:rsidRPr="00AA2443">
        <w:rPr>
          <w:rFonts w:ascii="Arial" w:hAnsi="Arial" w:cs="Arial"/>
          <w:highlight w:val="yellow"/>
        </w:rPr>
        <w:t>provádět změny nepříznivě ovlivňující povahu, cíle nebo indikátory projektu.</w:t>
      </w:r>
    </w:p>
    <w:p w14:paraId="7667F86B" w14:textId="1A6ABCB5" w:rsidR="00962296" w:rsidRPr="00AA2443"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AA2443">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13D318C8" w14:textId="2237B696" w:rsidR="0007669C" w:rsidRPr="002077B6" w:rsidRDefault="00CE3CB5" w:rsidP="00FC5AA8">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00962296">
        <w:rPr>
          <w:rFonts w:ascii="Arial" w:hAnsi="Arial" w:cs="Arial"/>
        </w:rPr>
        <w:t>režimu ex-</w:t>
      </w:r>
      <w:r w:rsidR="00A9208E">
        <w:rPr>
          <w:rFonts w:ascii="Arial" w:hAnsi="Arial" w:cs="Arial"/>
        </w:rPr>
        <w:t>post</w:t>
      </w:r>
      <w:r w:rsidR="0007669C">
        <w:rPr>
          <w:rFonts w:ascii="Arial" w:hAnsi="Arial" w:cs="Arial"/>
        </w:rPr>
        <w:t>,</w:t>
      </w:r>
      <w:r w:rsidRPr="002077B6">
        <w:rPr>
          <w:rFonts w:ascii="Arial" w:hAnsi="Arial" w:cs="Arial"/>
        </w:rPr>
        <w:t xml:space="preserve"> </w:t>
      </w:r>
      <w:r w:rsidR="00FC5AA8">
        <w:rPr>
          <w:rFonts w:ascii="Arial" w:hAnsi="Arial" w:cs="Arial"/>
        </w:rPr>
        <w:br/>
      </w:r>
      <w:r w:rsidR="0007669C" w:rsidRPr="002077B6">
        <w:rPr>
          <w:rFonts w:ascii="Arial" w:hAnsi="Arial" w:cs="Arial"/>
        </w:rPr>
        <w:t xml:space="preserve">tj. </w:t>
      </w:r>
      <w:r w:rsidR="0007669C">
        <w:rPr>
          <w:rFonts w:ascii="Arial" w:hAnsi="Arial" w:cs="Arial"/>
        </w:rPr>
        <w:t>prostředky jsou poskytovány teprve poté, co příjemce výdaj uhradil, prokázal a byl z úrovně poskytovatele schválen</w:t>
      </w:r>
      <w:r w:rsidR="0007669C" w:rsidRPr="002077B6">
        <w:rPr>
          <w:rFonts w:ascii="Arial" w:hAnsi="Arial" w:cs="Arial"/>
        </w:rPr>
        <w:t>.</w:t>
      </w:r>
      <w:r w:rsidR="0007669C">
        <w:rPr>
          <w:rFonts w:ascii="Arial" w:hAnsi="Arial" w:cs="Arial"/>
        </w:rPr>
        <w:t xml:space="preserve"> </w:t>
      </w:r>
      <w:r w:rsidR="0007669C" w:rsidRPr="003713F9">
        <w:rPr>
          <w:rFonts w:ascii="Arial" w:hAnsi="Arial" w:cs="Arial"/>
        </w:rPr>
        <w:t>Příjemce zasílá žádosti o platbu po ukončení etapy projek</w:t>
      </w:r>
      <w:r w:rsidR="0007669C">
        <w:rPr>
          <w:rFonts w:ascii="Arial" w:hAnsi="Arial" w:cs="Arial"/>
        </w:rPr>
        <w:t xml:space="preserve">tu </w:t>
      </w:r>
      <w:r w:rsidR="005375D0">
        <w:rPr>
          <w:rFonts w:ascii="Arial" w:hAnsi="Arial" w:cs="Arial"/>
        </w:rPr>
        <w:br/>
      </w:r>
      <w:r w:rsidR="0007669C">
        <w:rPr>
          <w:rFonts w:ascii="Arial" w:hAnsi="Arial" w:cs="Arial"/>
        </w:rPr>
        <w:t>a po ukončení celého projektu</w:t>
      </w:r>
      <w:r w:rsidR="0007669C" w:rsidRPr="003713F9">
        <w:rPr>
          <w:rFonts w:ascii="Arial" w:hAnsi="Arial" w:cs="Arial"/>
        </w:rPr>
        <w:t>.</w:t>
      </w:r>
    </w:p>
    <w:p w14:paraId="246A6196" w14:textId="3EFDE20C" w:rsidR="0007669C" w:rsidRDefault="0007669C" w:rsidP="00FC5AA8">
      <w:pPr>
        <w:widowControl w:val="0"/>
        <w:numPr>
          <w:ilvl w:val="0"/>
          <w:numId w:val="3"/>
        </w:numPr>
        <w:tabs>
          <w:tab w:val="clear" w:pos="1080"/>
          <w:tab w:val="left" w:pos="567"/>
        </w:tabs>
        <w:spacing w:before="40" w:after="40"/>
        <w:ind w:left="567" w:hanging="567"/>
        <w:jc w:val="both"/>
        <w:rPr>
          <w:rFonts w:ascii="Arial" w:hAnsi="Arial" w:cs="Arial"/>
        </w:rPr>
      </w:pPr>
      <w:r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Pr>
          <w:rFonts w:ascii="Arial" w:hAnsi="Arial" w:cs="Arial"/>
        </w:rPr>
        <w:t xml:space="preserve"> Nedodržení lhůty pro předložení žádosti o platbu</w:t>
      </w:r>
      <w:r w:rsidR="00357DAD">
        <w:rPr>
          <w:rStyle w:val="Znakapoznpodarou"/>
          <w:rFonts w:ascii="Arial" w:hAnsi="Arial" w:cs="Arial"/>
        </w:rPr>
        <w:footnoteReference w:id="8"/>
      </w:r>
      <w:r>
        <w:rPr>
          <w:rFonts w:ascii="Arial" w:hAnsi="Arial" w:cs="Arial"/>
        </w:rPr>
        <w:t xml:space="preserve"> bez předchozího schválení poskytovatele je porušením podmínek této smlouvy. </w:t>
      </w:r>
    </w:p>
    <w:p w14:paraId="5CFDC347" w14:textId="284901B4" w:rsidR="00962296" w:rsidRDefault="00962296" w:rsidP="00FC5AA8">
      <w:pPr>
        <w:widowControl w:val="0"/>
        <w:numPr>
          <w:ilvl w:val="0"/>
          <w:numId w:val="3"/>
        </w:numPr>
        <w:tabs>
          <w:tab w:val="clear" w:pos="1080"/>
          <w:tab w:val="num" w:pos="720"/>
        </w:tabs>
        <w:spacing w:before="40" w:after="40"/>
        <w:ind w:left="567" w:hanging="567"/>
        <w:jc w:val="both"/>
        <w:rPr>
          <w:rFonts w:ascii="Arial" w:hAnsi="Arial" w:cs="Arial"/>
        </w:rPr>
      </w:pPr>
      <w:r w:rsidRPr="00FE548A">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je uveden na první straně této smlouvy. Zřizovatel v návaznosti na platné právní předpisy poukáže podporu z</w:t>
      </w:r>
      <w:r>
        <w:rPr>
          <w:rFonts w:ascii="Arial" w:hAnsi="Arial" w:cs="Arial"/>
        </w:rPr>
        <w:t> </w:t>
      </w:r>
      <w:r w:rsidRPr="00FE548A">
        <w:rPr>
          <w:rFonts w:ascii="Arial" w:hAnsi="Arial" w:cs="Arial"/>
        </w:rPr>
        <w:t>OP</w:t>
      </w:r>
      <w:r>
        <w:rPr>
          <w:rFonts w:ascii="Arial" w:hAnsi="Arial" w:cs="Arial"/>
        </w:rPr>
        <w:t> </w:t>
      </w:r>
      <w:r w:rsidRPr="00FE548A">
        <w:rPr>
          <w:rFonts w:ascii="Arial" w:hAnsi="Arial" w:cs="Arial"/>
        </w:rPr>
        <w:t xml:space="preserve">PPR na bankovní účet příjemce. </w:t>
      </w:r>
    </w:p>
    <w:p w14:paraId="4E14B1CF" w14:textId="77777777" w:rsidR="00962296" w:rsidRDefault="00962296" w:rsidP="0007669C">
      <w:pPr>
        <w:widowControl w:val="0"/>
        <w:tabs>
          <w:tab w:val="left" w:pos="567"/>
        </w:tabs>
        <w:spacing w:before="40" w:after="40"/>
        <w:ind w:left="567"/>
        <w:jc w:val="both"/>
        <w:rPr>
          <w:rFonts w:ascii="Arial" w:hAnsi="Arial" w:cs="Arial"/>
        </w:rPr>
      </w:pPr>
      <w:r w:rsidRPr="00FE548A">
        <w:rPr>
          <w:rFonts w:ascii="Arial" w:hAnsi="Arial" w:cs="Arial"/>
        </w:rPr>
        <w:t>Dnem poskytnutí se rozumí den odepsání částky z účtu poskytovatele.</w:t>
      </w:r>
    </w:p>
    <w:p w14:paraId="2446E495" w14:textId="77777777" w:rsidR="00D50660" w:rsidRPr="009C123A" w:rsidRDefault="00D50660" w:rsidP="009C123A">
      <w:pPr>
        <w:widowControl w:val="0"/>
        <w:tabs>
          <w:tab w:val="left" w:pos="567"/>
        </w:tabs>
        <w:spacing w:before="40" w:after="40"/>
        <w:jc w:val="both"/>
        <w:rPr>
          <w:rFonts w:ascii="Arial" w:hAnsi="Arial" w:cs="Arial"/>
          <w:highlight w:val="yellow"/>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6475041E"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962296">
        <w:rPr>
          <w:rFonts w:ascii="Arial" w:hAnsi="Arial" w:cs="Arial"/>
        </w:rPr>
        <w:t>,</w:t>
      </w:r>
      <w:r w:rsidR="00C54F52">
        <w:rPr>
          <w:rFonts w:ascii="Arial" w:hAnsi="Arial" w:cs="Arial"/>
        </w:rPr>
        <w:t xml:space="preserve"> </w:t>
      </w:r>
      <w:r w:rsidR="00FC5AA8">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r w:rsidR="003815D1">
        <w:rPr>
          <w:rFonts w:ascii="Arial" w:hAnsi="Arial" w:cs="Arial"/>
        </w:rPr>
        <w:t xml:space="preserve"> a dodržet jej po dobu udržitelnosti</w:t>
      </w:r>
      <w:r w:rsidR="003815D1" w:rsidRPr="00962296">
        <w:rPr>
          <w:rStyle w:val="Znakapoznpodarou"/>
          <w:rFonts w:ascii="Arial" w:hAnsi="Arial" w:cs="Arial"/>
          <w:sz w:val="16"/>
        </w:rPr>
        <w:footnoteReference w:id="9"/>
      </w:r>
      <w:r w:rsidR="003815D1">
        <w:rPr>
          <w:rFonts w:ascii="Arial" w:hAnsi="Arial" w:cs="Arial"/>
        </w:rPr>
        <w:t xml:space="preserve"> stanovenou pro plnění účelu projektu</w:t>
      </w:r>
      <w:r>
        <w:rPr>
          <w:rFonts w:ascii="Arial" w:hAnsi="Arial" w:cs="Arial"/>
        </w:rPr>
        <w:t>.</w:t>
      </w:r>
    </w:p>
    <w:p w14:paraId="522B70F8" w14:textId="626AC3BA"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962296">
        <w:rPr>
          <w:rFonts w:ascii="Arial" w:hAnsi="Arial" w:cs="Arial"/>
        </w:rPr>
        <w:t>tu probíhala výhradně na území h</w:t>
      </w:r>
      <w:r w:rsidR="000A53EE">
        <w:rPr>
          <w:rFonts w:ascii="Arial" w:hAnsi="Arial" w:cs="Arial"/>
        </w:rPr>
        <w:t>lavního města Prahy</w:t>
      </w:r>
      <w:r>
        <w:rPr>
          <w:rFonts w:ascii="Arial" w:hAnsi="Arial" w:cs="Arial"/>
        </w:rPr>
        <w:t>. 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 xml:space="preserve">. </w:t>
      </w:r>
    </w:p>
    <w:p w14:paraId="6799B7FA" w14:textId="39B24B8C"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A27D34">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189E2F2E" w14:textId="77777777" w:rsidR="00962296"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xml:space="preserve">), </w:t>
      </w:r>
      <w:r>
        <w:rPr>
          <w:rFonts w:ascii="Arial" w:hAnsi="Arial" w:cs="Arial"/>
        </w:rPr>
        <w:lastRenderedPageBreak/>
        <w:t>a</w:t>
      </w:r>
      <w:r w:rsidRPr="00FA4C41">
        <w:rPr>
          <w:rFonts w:ascii="Arial" w:hAnsi="Arial" w:cs="Arial"/>
        </w:rPr>
        <w:t xml:space="preserve"> podle pravidel obsažených v Pravidlech pro žadatele a příjemce OP</w:t>
      </w:r>
      <w:r>
        <w:rPr>
          <w:rFonts w:ascii="Arial" w:hAnsi="Arial" w:cs="Arial"/>
        </w:rPr>
        <w:t> </w:t>
      </w:r>
      <w:r w:rsidRPr="00FA4C41">
        <w:rPr>
          <w:rFonts w:ascii="Arial" w:hAnsi="Arial" w:cs="Arial"/>
        </w:rPr>
        <w:t>PPR.</w:t>
      </w:r>
    </w:p>
    <w:p w14:paraId="67CF2A36" w14:textId="0784C4F7" w:rsidR="006A5CE0"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4743E3">
        <w:rPr>
          <w:rFonts w:ascii="Arial" w:hAnsi="Arial" w:cs="Arial"/>
        </w:rPr>
        <w:t>Příjemce je povinen dohodnout s </w:t>
      </w:r>
      <w:r w:rsidRPr="00725ABD">
        <w:rPr>
          <w:rFonts w:ascii="Arial" w:hAnsi="Arial" w:cs="Arial"/>
        </w:rPr>
        <w:t>dodavateli produktů</w:t>
      </w:r>
      <w:r w:rsidRPr="00087253">
        <w:rPr>
          <w:rFonts w:ascii="Arial" w:hAnsi="Arial" w:cs="Arial"/>
        </w:rPr>
        <w:t xml:space="preserve"> a služeb potřebných pro realizaci projektu fakturační podmínky tak, aby byl doložen účel fakturovaných částek</w:t>
      </w:r>
      <w:r w:rsidRPr="0023378B">
        <w:rPr>
          <w:rFonts w:ascii="Arial" w:hAnsi="Arial" w:cs="Arial"/>
        </w:rPr>
        <w:t xml:space="preserve"> a aby byly přesně vymezeny jednotlivé způsobilé</w:t>
      </w:r>
      <w:r w:rsidRPr="004743E3">
        <w:rPr>
          <w:rFonts w:ascii="Arial" w:hAnsi="Arial" w:cs="Arial"/>
        </w:rPr>
        <w:t xml:space="preserve"> a nezpůsobilé výdaje.</w:t>
      </w:r>
    </w:p>
    <w:p w14:paraId="7155E340" w14:textId="77777777" w:rsidR="005D7C72" w:rsidRDefault="005D7C72">
      <w:pPr>
        <w:pStyle w:val="Nadpis2-zprva"/>
        <w:spacing w:before="40" w:after="40"/>
        <w:rPr>
          <w:snapToGrid w:val="0"/>
        </w:rPr>
      </w:pPr>
    </w:p>
    <w:p w14:paraId="3436BB32" w14:textId="6C9A2A4E"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393B9A55" w:rsidR="00DD22CB" w:rsidRDefault="00962296" w:rsidP="00FC5AA8">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r w:rsidR="00CE3CB5">
        <w:rPr>
          <w:rFonts w:ascii="Arial" w:hAnsi="Arial" w:cs="Arial"/>
        </w:rPr>
        <w:t>:</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07669C" w14:paraId="0EF8A243" w14:textId="77777777" w:rsidTr="0007669C">
        <w:tc>
          <w:tcPr>
            <w:tcW w:w="988" w:type="dxa"/>
          </w:tcPr>
          <w:p w14:paraId="7BB11C3E"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54956E42"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03B3BE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218D19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3D054A1A"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07669C" w:rsidRPr="0007669C" w14:paraId="608DE2A5" w14:textId="77777777" w:rsidTr="0007669C">
        <w:tc>
          <w:tcPr>
            <w:tcW w:w="988" w:type="dxa"/>
          </w:tcPr>
          <w:p w14:paraId="2F971C1D" w14:textId="1F01D91D" w:rsidR="0007669C" w:rsidRPr="0007669C" w:rsidRDefault="0007669C" w:rsidP="0007669C">
            <w:pPr>
              <w:widowControl w:val="0"/>
              <w:spacing w:before="40" w:after="40"/>
              <w:rPr>
                <w:rFonts w:ascii="Arial" w:hAnsi="Arial" w:cs="Arial"/>
                <w:sz w:val="20"/>
                <w:szCs w:val="20"/>
              </w:rPr>
            </w:pPr>
            <w:r w:rsidRPr="0007669C">
              <w:rPr>
                <w:rFonts w:ascii="Arial" w:hAnsi="Arial" w:cs="Arial"/>
                <w:sz w:val="20"/>
                <w:szCs w:val="20"/>
              </w:rPr>
              <w:t>3 25 00</w:t>
            </w:r>
          </w:p>
        </w:tc>
        <w:tc>
          <w:tcPr>
            <w:tcW w:w="2126" w:type="dxa"/>
          </w:tcPr>
          <w:p w14:paraId="531E5D79" w14:textId="50EE7B74" w:rsidR="0007669C" w:rsidRPr="005375D0" w:rsidRDefault="0007669C" w:rsidP="0007669C">
            <w:pPr>
              <w:widowControl w:val="0"/>
              <w:spacing w:before="40" w:after="40"/>
              <w:rPr>
                <w:rFonts w:ascii="Arial" w:hAnsi="Arial" w:cs="Arial"/>
                <w:sz w:val="20"/>
                <w:szCs w:val="20"/>
              </w:rPr>
            </w:pPr>
            <w:r w:rsidRPr="005375D0">
              <w:rPr>
                <w:rFonts w:ascii="Arial" w:hAnsi="Arial" w:cs="Arial"/>
                <w:sz w:val="20"/>
                <w:szCs w:val="20"/>
              </w:rPr>
              <w:t>Energeticky vztažná plocha zrenovovaných budov</w:t>
            </w:r>
          </w:p>
        </w:tc>
        <w:tc>
          <w:tcPr>
            <w:tcW w:w="1843" w:type="dxa"/>
          </w:tcPr>
          <w:p w14:paraId="3E00D8C9" w14:textId="41897F52" w:rsidR="000066F1" w:rsidRPr="005375D0" w:rsidRDefault="000066F1" w:rsidP="000066F1">
            <w:pPr>
              <w:pStyle w:val="Default"/>
              <w:rPr>
                <w:sz w:val="20"/>
                <w:szCs w:val="20"/>
              </w:rPr>
            </w:pPr>
            <w:r w:rsidRPr="005375D0">
              <w:rPr>
                <w:sz w:val="20"/>
                <w:szCs w:val="20"/>
              </w:rPr>
              <w:t xml:space="preserve">/ m2 </w:t>
            </w:r>
          </w:p>
          <w:p w14:paraId="4EF4DC19" w14:textId="77777777" w:rsidR="0007669C" w:rsidRPr="005375D0" w:rsidRDefault="0007669C" w:rsidP="0007669C">
            <w:pPr>
              <w:widowControl w:val="0"/>
              <w:spacing w:before="40" w:after="40"/>
              <w:rPr>
                <w:rFonts w:ascii="Arial" w:hAnsi="Arial" w:cs="Arial"/>
                <w:sz w:val="20"/>
                <w:szCs w:val="20"/>
              </w:rPr>
            </w:pPr>
          </w:p>
        </w:tc>
        <w:tc>
          <w:tcPr>
            <w:tcW w:w="1842" w:type="dxa"/>
          </w:tcPr>
          <w:p w14:paraId="664A6A81" w14:textId="77777777" w:rsidR="000066F1" w:rsidRPr="005375D0" w:rsidRDefault="000066F1" w:rsidP="000066F1">
            <w:pPr>
              <w:pStyle w:val="Default"/>
              <w:rPr>
                <w:sz w:val="20"/>
                <w:szCs w:val="20"/>
              </w:rPr>
            </w:pPr>
            <w:r w:rsidRPr="005375D0">
              <w:rPr>
                <w:sz w:val="20"/>
                <w:szCs w:val="20"/>
              </w:rPr>
              <w:t xml:space="preserve">/ m2 </w:t>
            </w:r>
          </w:p>
          <w:p w14:paraId="22AC8F90" w14:textId="77777777" w:rsidR="0007669C" w:rsidRPr="005375D0" w:rsidRDefault="0007669C" w:rsidP="0007669C">
            <w:pPr>
              <w:widowControl w:val="0"/>
              <w:spacing w:before="40" w:after="40"/>
              <w:rPr>
                <w:rFonts w:ascii="Arial" w:hAnsi="Arial" w:cs="Arial"/>
                <w:sz w:val="20"/>
                <w:szCs w:val="20"/>
              </w:rPr>
            </w:pPr>
          </w:p>
        </w:tc>
        <w:tc>
          <w:tcPr>
            <w:tcW w:w="1701" w:type="dxa"/>
          </w:tcPr>
          <w:p w14:paraId="510C510B" w14:textId="77777777" w:rsidR="0007669C" w:rsidRPr="005375D0" w:rsidRDefault="0007669C" w:rsidP="0007669C">
            <w:pPr>
              <w:widowControl w:val="0"/>
              <w:spacing w:before="40" w:after="40"/>
              <w:rPr>
                <w:rFonts w:ascii="Arial" w:hAnsi="Arial" w:cs="Arial"/>
                <w:sz w:val="20"/>
                <w:szCs w:val="20"/>
              </w:rPr>
            </w:pPr>
          </w:p>
        </w:tc>
      </w:tr>
      <w:tr w:rsidR="0007669C" w:rsidRPr="0007669C" w14:paraId="2127FEC9" w14:textId="77777777" w:rsidTr="0007669C">
        <w:tc>
          <w:tcPr>
            <w:tcW w:w="988" w:type="dxa"/>
          </w:tcPr>
          <w:p w14:paraId="094BF45A" w14:textId="74BCAC67" w:rsidR="0007669C" w:rsidRPr="0007669C" w:rsidRDefault="0007669C" w:rsidP="0007669C">
            <w:pPr>
              <w:widowControl w:val="0"/>
              <w:spacing w:before="40" w:after="40"/>
              <w:rPr>
                <w:rFonts w:ascii="Arial" w:hAnsi="Arial" w:cs="Arial"/>
                <w:sz w:val="20"/>
                <w:szCs w:val="20"/>
              </w:rPr>
            </w:pPr>
            <w:r w:rsidRPr="0007669C">
              <w:rPr>
                <w:rFonts w:ascii="Arial" w:hAnsi="Arial" w:cs="Arial"/>
                <w:sz w:val="20"/>
                <w:szCs w:val="20"/>
              </w:rPr>
              <w:t>3 27 00</w:t>
            </w:r>
          </w:p>
        </w:tc>
        <w:tc>
          <w:tcPr>
            <w:tcW w:w="2126" w:type="dxa"/>
          </w:tcPr>
          <w:p w14:paraId="41E9E987" w14:textId="31F35F13" w:rsidR="0007669C" w:rsidRPr="005375D0" w:rsidRDefault="0007669C" w:rsidP="0007669C">
            <w:pPr>
              <w:widowControl w:val="0"/>
              <w:spacing w:before="40" w:after="40"/>
              <w:rPr>
                <w:rFonts w:ascii="Arial" w:hAnsi="Arial" w:cs="Arial"/>
                <w:sz w:val="20"/>
                <w:szCs w:val="20"/>
              </w:rPr>
            </w:pPr>
            <w:r w:rsidRPr="005375D0">
              <w:rPr>
                <w:rFonts w:ascii="Arial" w:hAnsi="Arial" w:cs="Arial"/>
                <w:sz w:val="20"/>
                <w:szCs w:val="20"/>
              </w:rPr>
              <w:t>Snížení roční spotřeby primární energie ve veřejných budovách</w:t>
            </w:r>
          </w:p>
        </w:tc>
        <w:tc>
          <w:tcPr>
            <w:tcW w:w="1843" w:type="dxa"/>
          </w:tcPr>
          <w:p w14:paraId="45B0A8CC" w14:textId="53587BD5" w:rsidR="0007669C"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 kWh/rok</w:t>
            </w:r>
          </w:p>
        </w:tc>
        <w:tc>
          <w:tcPr>
            <w:tcW w:w="1842" w:type="dxa"/>
          </w:tcPr>
          <w:p w14:paraId="25488243" w14:textId="0216F889" w:rsidR="0007669C" w:rsidRPr="005375D0" w:rsidRDefault="000066F1" w:rsidP="0007669C">
            <w:pPr>
              <w:widowControl w:val="0"/>
              <w:spacing w:before="40" w:after="40"/>
              <w:rPr>
                <w:rFonts w:ascii="Arial" w:hAnsi="Arial" w:cs="Arial"/>
                <w:sz w:val="20"/>
                <w:szCs w:val="20"/>
              </w:rPr>
            </w:pPr>
            <w:r w:rsidRPr="005375D0">
              <w:rPr>
                <w:rFonts w:ascii="Arial" w:hAnsi="Arial" w:cs="Arial"/>
                <w:sz w:val="20"/>
                <w:szCs w:val="20"/>
              </w:rPr>
              <w:t>/ kWh/rok</w:t>
            </w:r>
          </w:p>
        </w:tc>
        <w:tc>
          <w:tcPr>
            <w:tcW w:w="1701" w:type="dxa"/>
          </w:tcPr>
          <w:p w14:paraId="69BA0A3F" w14:textId="54BE0999" w:rsidR="0007669C"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5let od data, kdy projekt nabyl v MS 2014+ stav „projekt finančně ukončen ze strany ŘO“</w:t>
            </w:r>
          </w:p>
        </w:tc>
      </w:tr>
      <w:tr w:rsidR="0007669C" w14:paraId="35C0B14D" w14:textId="77777777" w:rsidTr="0007669C">
        <w:tc>
          <w:tcPr>
            <w:tcW w:w="988" w:type="dxa"/>
          </w:tcPr>
          <w:p w14:paraId="3F196292" w14:textId="77777777" w:rsidR="0007669C" w:rsidRPr="009C123A" w:rsidRDefault="0007669C" w:rsidP="0007669C">
            <w:pPr>
              <w:widowControl w:val="0"/>
              <w:spacing w:before="40" w:after="40"/>
              <w:jc w:val="both"/>
              <w:rPr>
                <w:rFonts w:ascii="Arial" w:hAnsi="Arial" w:cs="Arial"/>
                <w:sz w:val="20"/>
                <w:szCs w:val="20"/>
              </w:rPr>
            </w:pPr>
            <w:r w:rsidRPr="00703936">
              <w:rPr>
                <w:rFonts w:ascii="Arial" w:hAnsi="Arial" w:cs="Arial"/>
                <w:sz w:val="20"/>
                <w:szCs w:val="20"/>
              </w:rPr>
              <w:t>3 49 00</w:t>
            </w:r>
          </w:p>
        </w:tc>
        <w:tc>
          <w:tcPr>
            <w:tcW w:w="2126" w:type="dxa"/>
          </w:tcPr>
          <w:p w14:paraId="4BE741C5" w14:textId="77777777" w:rsidR="0007669C" w:rsidRPr="005375D0" w:rsidRDefault="0007669C" w:rsidP="0007669C">
            <w:pPr>
              <w:widowControl w:val="0"/>
              <w:spacing w:before="40" w:after="40"/>
              <w:rPr>
                <w:rFonts w:ascii="Arial" w:hAnsi="Arial" w:cs="Arial"/>
                <w:sz w:val="20"/>
                <w:szCs w:val="20"/>
              </w:rPr>
            </w:pPr>
            <w:r w:rsidRPr="005375D0">
              <w:rPr>
                <w:rFonts w:ascii="Arial" w:hAnsi="Arial" w:cs="Arial"/>
                <w:sz w:val="20"/>
                <w:szCs w:val="20"/>
              </w:rPr>
              <w:t>Počet podpořených objektů</w:t>
            </w:r>
          </w:p>
        </w:tc>
        <w:tc>
          <w:tcPr>
            <w:tcW w:w="1843" w:type="dxa"/>
          </w:tcPr>
          <w:p w14:paraId="2C3B3A50" w14:textId="7738D63E" w:rsidR="000066F1" w:rsidRPr="005375D0" w:rsidRDefault="000066F1" w:rsidP="000066F1">
            <w:pPr>
              <w:pStyle w:val="Default"/>
              <w:jc w:val="both"/>
              <w:rPr>
                <w:sz w:val="20"/>
                <w:szCs w:val="20"/>
              </w:rPr>
            </w:pPr>
            <w:r w:rsidRPr="005375D0">
              <w:rPr>
                <w:sz w:val="20"/>
                <w:szCs w:val="20"/>
              </w:rPr>
              <w:t xml:space="preserve">/ objekty </w:t>
            </w:r>
          </w:p>
          <w:p w14:paraId="01D30E64" w14:textId="77777777" w:rsidR="0007669C" w:rsidRPr="005375D0" w:rsidRDefault="0007669C" w:rsidP="0007669C">
            <w:pPr>
              <w:widowControl w:val="0"/>
              <w:spacing w:before="40" w:after="40"/>
              <w:jc w:val="both"/>
              <w:rPr>
                <w:rFonts w:ascii="Arial" w:hAnsi="Arial" w:cs="Arial"/>
                <w:sz w:val="20"/>
                <w:szCs w:val="20"/>
                <w:highlight w:val="yellow"/>
              </w:rPr>
            </w:pPr>
          </w:p>
        </w:tc>
        <w:tc>
          <w:tcPr>
            <w:tcW w:w="1842" w:type="dxa"/>
          </w:tcPr>
          <w:p w14:paraId="18DBD46B" w14:textId="5562320F" w:rsidR="0007669C" w:rsidRPr="005375D0" w:rsidRDefault="000066F1" w:rsidP="000066F1">
            <w:pPr>
              <w:widowControl w:val="0"/>
              <w:spacing w:before="40" w:after="40"/>
              <w:jc w:val="both"/>
              <w:rPr>
                <w:rFonts w:ascii="Arial" w:hAnsi="Arial" w:cs="Arial"/>
                <w:sz w:val="20"/>
                <w:szCs w:val="20"/>
                <w:highlight w:val="yellow"/>
              </w:rPr>
            </w:pPr>
            <w:r w:rsidRPr="005375D0">
              <w:rPr>
                <w:rFonts w:ascii="Arial" w:hAnsi="Arial" w:cs="Arial"/>
                <w:sz w:val="20"/>
                <w:szCs w:val="20"/>
              </w:rPr>
              <w:t>/ objekty</w:t>
            </w:r>
          </w:p>
        </w:tc>
        <w:tc>
          <w:tcPr>
            <w:tcW w:w="1701" w:type="dxa"/>
          </w:tcPr>
          <w:p w14:paraId="4470C84B" w14:textId="77777777" w:rsidR="0007669C" w:rsidRPr="005375D0" w:rsidRDefault="0007669C" w:rsidP="005375D0">
            <w:pPr>
              <w:widowControl w:val="0"/>
              <w:spacing w:before="40" w:after="40"/>
              <w:rPr>
                <w:rFonts w:ascii="Arial" w:hAnsi="Arial" w:cs="Arial"/>
                <w:sz w:val="20"/>
                <w:szCs w:val="20"/>
                <w:highlight w:val="yellow"/>
              </w:rPr>
            </w:pPr>
          </w:p>
        </w:tc>
      </w:tr>
      <w:tr w:rsidR="0007669C" w:rsidRPr="00BA6C06" w14:paraId="5E6B74F9" w14:textId="77777777" w:rsidTr="0007669C">
        <w:tc>
          <w:tcPr>
            <w:tcW w:w="988" w:type="dxa"/>
          </w:tcPr>
          <w:p w14:paraId="3C5E9876" w14:textId="77777777" w:rsidR="0007669C" w:rsidRPr="009C123A" w:rsidRDefault="0007669C" w:rsidP="0007669C">
            <w:pPr>
              <w:widowControl w:val="0"/>
              <w:spacing w:before="40" w:after="40"/>
              <w:jc w:val="both"/>
              <w:rPr>
                <w:rFonts w:ascii="Arial" w:hAnsi="Arial" w:cs="Arial"/>
                <w:sz w:val="20"/>
                <w:szCs w:val="20"/>
              </w:rPr>
            </w:pPr>
            <w:r w:rsidRPr="00703936">
              <w:rPr>
                <w:rFonts w:ascii="Arial" w:hAnsi="Arial" w:cs="Arial"/>
                <w:sz w:val="20"/>
                <w:szCs w:val="20"/>
              </w:rPr>
              <w:t>3 60 10</w:t>
            </w:r>
          </w:p>
        </w:tc>
        <w:tc>
          <w:tcPr>
            <w:tcW w:w="2126" w:type="dxa"/>
          </w:tcPr>
          <w:p w14:paraId="140BB745" w14:textId="77777777" w:rsidR="0007669C" w:rsidRPr="005375D0" w:rsidRDefault="0007669C" w:rsidP="0007669C">
            <w:pPr>
              <w:widowControl w:val="0"/>
              <w:spacing w:before="40" w:after="40"/>
              <w:rPr>
                <w:rFonts w:ascii="Arial" w:hAnsi="Arial" w:cs="Arial"/>
                <w:sz w:val="20"/>
                <w:szCs w:val="20"/>
              </w:rPr>
            </w:pPr>
            <w:r w:rsidRPr="005375D0">
              <w:rPr>
                <w:rFonts w:ascii="Arial" w:hAnsi="Arial" w:cs="Arial"/>
                <w:sz w:val="20"/>
                <w:szCs w:val="20"/>
              </w:rPr>
              <w:t>Odhadované roční snížení emisí skleníkových plynů</w:t>
            </w:r>
          </w:p>
        </w:tc>
        <w:tc>
          <w:tcPr>
            <w:tcW w:w="1843" w:type="dxa"/>
          </w:tcPr>
          <w:p w14:paraId="208281B9" w14:textId="41D8B889" w:rsidR="0007669C" w:rsidRPr="005375D0" w:rsidRDefault="000066F1" w:rsidP="000066F1">
            <w:pPr>
              <w:widowControl w:val="0"/>
              <w:spacing w:before="40" w:after="40"/>
              <w:jc w:val="both"/>
              <w:rPr>
                <w:rFonts w:ascii="Arial" w:hAnsi="Arial" w:cs="Arial"/>
                <w:sz w:val="20"/>
                <w:szCs w:val="20"/>
                <w:highlight w:val="yellow"/>
              </w:rPr>
            </w:pPr>
            <w:r w:rsidRPr="005375D0">
              <w:rPr>
                <w:rFonts w:ascii="Arial" w:hAnsi="Arial" w:cs="Arial"/>
                <w:sz w:val="20"/>
                <w:szCs w:val="20"/>
              </w:rPr>
              <w:t xml:space="preserve">/ t </w:t>
            </w:r>
            <w:proofErr w:type="spellStart"/>
            <w:r w:rsidRPr="005375D0">
              <w:rPr>
                <w:rFonts w:ascii="Arial" w:hAnsi="Arial" w:cs="Arial"/>
                <w:sz w:val="20"/>
                <w:szCs w:val="20"/>
              </w:rPr>
              <w:t>ekv</w:t>
            </w:r>
            <w:proofErr w:type="spellEnd"/>
            <w:r w:rsidRPr="005375D0">
              <w:rPr>
                <w:rFonts w:ascii="Arial" w:hAnsi="Arial" w:cs="Arial"/>
                <w:sz w:val="20"/>
                <w:szCs w:val="20"/>
              </w:rPr>
              <w:t>. CO2/rok</w:t>
            </w:r>
          </w:p>
        </w:tc>
        <w:tc>
          <w:tcPr>
            <w:tcW w:w="1842" w:type="dxa"/>
          </w:tcPr>
          <w:p w14:paraId="49B75DC3" w14:textId="0DD0DB59" w:rsidR="0007669C" w:rsidRPr="005375D0" w:rsidRDefault="000066F1" w:rsidP="0007669C">
            <w:pPr>
              <w:widowControl w:val="0"/>
              <w:spacing w:before="40" w:after="40"/>
              <w:jc w:val="both"/>
              <w:rPr>
                <w:rFonts w:ascii="Arial" w:hAnsi="Arial" w:cs="Arial"/>
                <w:sz w:val="20"/>
                <w:szCs w:val="20"/>
                <w:highlight w:val="yellow"/>
              </w:rPr>
            </w:pPr>
            <w:r w:rsidRPr="005375D0">
              <w:rPr>
                <w:rFonts w:ascii="Arial" w:hAnsi="Arial" w:cs="Arial"/>
                <w:sz w:val="20"/>
                <w:szCs w:val="20"/>
              </w:rPr>
              <w:t xml:space="preserve">/ t </w:t>
            </w:r>
            <w:proofErr w:type="spellStart"/>
            <w:r w:rsidRPr="005375D0">
              <w:rPr>
                <w:rFonts w:ascii="Arial" w:hAnsi="Arial" w:cs="Arial"/>
                <w:sz w:val="20"/>
                <w:szCs w:val="20"/>
              </w:rPr>
              <w:t>ekv</w:t>
            </w:r>
            <w:proofErr w:type="spellEnd"/>
            <w:r w:rsidRPr="005375D0">
              <w:rPr>
                <w:rFonts w:ascii="Arial" w:hAnsi="Arial" w:cs="Arial"/>
                <w:sz w:val="20"/>
                <w:szCs w:val="20"/>
              </w:rPr>
              <w:t>. CO2/rok</w:t>
            </w:r>
          </w:p>
        </w:tc>
        <w:tc>
          <w:tcPr>
            <w:tcW w:w="1701" w:type="dxa"/>
          </w:tcPr>
          <w:p w14:paraId="1A94ED97" w14:textId="198307EE" w:rsidR="0007669C" w:rsidRPr="005375D0" w:rsidRDefault="000066F1" w:rsidP="005375D0">
            <w:pPr>
              <w:widowControl w:val="0"/>
              <w:spacing w:before="40" w:after="40"/>
              <w:rPr>
                <w:rFonts w:ascii="Arial" w:hAnsi="Arial" w:cs="Arial"/>
                <w:sz w:val="20"/>
                <w:szCs w:val="20"/>
                <w:highlight w:val="yellow"/>
              </w:rPr>
            </w:pPr>
            <w:r w:rsidRPr="005375D0">
              <w:rPr>
                <w:rFonts w:ascii="Arial" w:hAnsi="Arial" w:cs="Arial"/>
                <w:sz w:val="20"/>
                <w:szCs w:val="20"/>
              </w:rPr>
              <w:t>5let od data, kdy projekt nabyl v MS 2014+ stav „projekt finančně ukončen ze strany ŘO“</w:t>
            </w:r>
          </w:p>
        </w:tc>
      </w:tr>
    </w:tbl>
    <w:p w14:paraId="5A3B510A" w14:textId="77777777" w:rsidR="00C72B34" w:rsidRDefault="00C72B34">
      <w:pPr>
        <w:widowControl w:val="0"/>
        <w:spacing w:before="40" w:after="40"/>
        <w:ind w:left="567"/>
        <w:jc w:val="both"/>
        <w:rPr>
          <w:rFonts w:ascii="Arial" w:hAnsi="Arial" w:cs="Arial"/>
          <w:u w:val="single"/>
        </w:rPr>
      </w:pPr>
    </w:p>
    <w:p w14:paraId="4EF4E1E2" w14:textId="4B5176F9" w:rsidR="00C72B34" w:rsidRPr="00697DC3" w:rsidRDefault="00962296" w:rsidP="00FC5AA8">
      <w:pPr>
        <w:widowControl w:val="0"/>
        <w:numPr>
          <w:ilvl w:val="0"/>
          <w:numId w:val="9"/>
        </w:numPr>
        <w:tabs>
          <w:tab w:val="clear" w:pos="1080"/>
          <w:tab w:val="num" w:pos="567"/>
        </w:tabs>
        <w:spacing w:before="40" w:after="40"/>
        <w:ind w:left="567" w:hanging="567"/>
        <w:jc w:val="both"/>
        <w:rPr>
          <w:rFonts w:ascii="Arial" w:hAnsi="Arial" w:cs="Arial"/>
          <w:iCs/>
        </w:rPr>
      </w:pPr>
      <w:r w:rsidRPr="001538F3">
        <w:rPr>
          <w:rFonts w:ascii="Arial" w:hAnsi="Arial" w:cs="Arial"/>
        </w:rPr>
        <w:t>Příjemce</w:t>
      </w:r>
      <w:r w:rsidRPr="00697DC3">
        <w:rPr>
          <w:rFonts w:ascii="Arial" w:hAnsi="Arial" w:cs="Arial"/>
          <w:iCs/>
        </w:rPr>
        <w:t xml:space="preserve"> má dále povinnost kromě indikátorů </w:t>
      </w:r>
      <w:r>
        <w:rPr>
          <w:rFonts w:ascii="Arial" w:hAnsi="Arial" w:cs="Arial"/>
          <w:iCs/>
        </w:rPr>
        <w:t>uvedených v bodě 1 tohoto článku</w:t>
      </w:r>
      <w:r w:rsidRPr="00697DC3">
        <w:rPr>
          <w:rFonts w:ascii="Arial" w:hAnsi="Arial" w:cs="Arial"/>
          <w:iCs/>
        </w:rPr>
        <w:t xml:space="preserve"> vykazovat dosažené hodnoty také pro následující indikátory:</w:t>
      </w:r>
    </w:p>
    <w:tbl>
      <w:tblPr>
        <w:tblStyle w:val="Mkatabulky"/>
        <w:tblW w:w="4694" w:type="pct"/>
        <w:tblInd w:w="562" w:type="dxa"/>
        <w:tblLayout w:type="fixed"/>
        <w:tblLook w:val="04A0" w:firstRow="1" w:lastRow="0" w:firstColumn="1" w:lastColumn="0" w:noHBand="0" w:noVBand="1"/>
      </w:tblPr>
      <w:tblGrid>
        <w:gridCol w:w="1421"/>
        <w:gridCol w:w="1698"/>
        <w:gridCol w:w="1844"/>
        <w:gridCol w:w="1842"/>
        <w:gridCol w:w="1701"/>
      </w:tblGrid>
      <w:tr w:rsidR="0007669C" w:rsidRPr="00697DC3" w14:paraId="0B532C76" w14:textId="77777777" w:rsidTr="0007669C">
        <w:tc>
          <w:tcPr>
            <w:tcW w:w="835" w:type="pct"/>
          </w:tcPr>
          <w:p w14:paraId="03A7AF8C" w14:textId="77777777" w:rsidR="0007669C" w:rsidRPr="00697DC3" w:rsidRDefault="0007669C" w:rsidP="0007669C">
            <w:pPr>
              <w:widowControl w:val="0"/>
              <w:spacing w:before="40" w:after="40"/>
              <w:jc w:val="both"/>
              <w:rPr>
                <w:rFonts w:ascii="Arial" w:hAnsi="Arial" w:cs="Arial"/>
                <w:sz w:val="20"/>
                <w:szCs w:val="20"/>
              </w:rPr>
            </w:pPr>
            <w:r w:rsidRPr="00697DC3">
              <w:rPr>
                <w:rFonts w:ascii="Arial" w:hAnsi="Arial" w:cs="Arial"/>
                <w:sz w:val="20"/>
                <w:szCs w:val="20"/>
              </w:rPr>
              <w:t>Kód</w:t>
            </w:r>
          </w:p>
        </w:tc>
        <w:tc>
          <w:tcPr>
            <w:tcW w:w="998" w:type="pct"/>
          </w:tcPr>
          <w:p w14:paraId="530651E5" w14:textId="77777777" w:rsidR="0007669C" w:rsidRPr="00697DC3" w:rsidRDefault="0007669C" w:rsidP="0007669C">
            <w:pPr>
              <w:widowControl w:val="0"/>
              <w:spacing w:before="40" w:after="40"/>
              <w:jc w:val="both"/>
              <w:rPr>
                <w:rFonts w:ascii="Arial" w:hAnsi="Arial" w:cs="Arial"/>
                <w:sz w:val="20"/>
                <w:szCs w:val="20"/>
              </w:rPr>
            </w:pPr>
            <w:r w:rsidRPr="00697DC3">
              <w:rPr>
                <w:rFonts w:ascii="Arial" w:hAnsi="Arial" w:cs="Arial"/>
                <w:sz w:val="20"/>
                <w:szCs w:val="20"/>
              </w:rPr>
              <w:t>Název</w:t>
            </w:r>
          </w:p>
        </w:tc>
        <w:tc>
          <w:tcPr>
            <w:tcW w:w="1084" w:type="pct"/>
          </w:tcPr>
          <w:p w14:paraId="34809556" w14:textId="77777777" w:rsidR="0007669C" w:rsidRPr="00697DC3" w:rsidRDefault="0007669C" w:rsidP="0007669C">
            <w:pPr>
              <w:widowControl w:val="0"/>
              <w:spacing w:before="40" w:after="40"/>
              <w:jc w:val="both"/>
              <w:rPr>
                <w:rFonts w:ascii="Arial" w:hAnsi="Arial" w:cs="Arial"/>
                <w:sz w:val="20"/>
                <w:szCs w:val="20"/>
              </w:rPr>
            </w:pPr>
            <w:r w:rsidRPr="00697DC3">
              <w:rPr>
                <w:rFonts w:ascii="Arial" w:hAnsi="Arial" w:cs="Arial"/>
                <w:sz w:val="20"/>
                <w:szCs w:val="20"/>
              </w:rPr>
              <w:t>Výchozí hodnota/ měrná jednotka</w:t>
            </w:r>
          </w:p>
        </w:tc>
        <w:tc>
          <w:tcPr>
            <w:tcW w:w="1083" w:type="pct"/>
          </w:tcPr>
          <w:p w14:paraId="43EDC13C" w14:textId="77777777" w:rsidR="0007669C" w:rsidRPr="00697DC3" w:rsidRDefault="0007669C" w:rsidP="0007669C">
            <w:pPr>
              <w:widowControl w:val="0"/>
              <w:spacing w:before="40" w:after="40"/>
              <w:jc w:val="both"/>
              <w:rPr>
                <w:rFonts w:ascii="Arial" w:hAnsi="Arial" w:cs="Arial"/>
                <w:sz w:val="20"/>
                <w:szCs w:val="20"/>
              </w:rPr>
            </w:pPr>
            <w:r w:rsidRPr="00697DC3">
              <w:rPr>
                <w:rFonts w:ascii="Arial" w:hAnsi="Arial" w:cs="Arial"/>
                <w:sz w:val="20"/>
                <w:szCs w:val="20"/>
              </w:rPr>
              <w:t>Cílová hodnota/ měrná jednotka</w:t>
            </w:r>
          </w:p>
        </w:tc>
        <w:tc>
          <w:tcPr>
            <w:tcW w:w="1000" w:type="pct"/>
          </w:tcPr>
          <w:p w14:paraId="131AEF18" w14:textId="77777777" w:rsidR="0007669C" w:rsidRPr="00697DC3" w:rsidRDefault="0007669C" w:rsidP="0007669C">
            <w:pPr>
              <w:widowControl w:val="0"/>
              <w:spacing w:before="40" w:after="40"/>
              <w:jc w:val="both"/>
              <w:rPr>
                <w:rFonts w:ascii="Arial" w:hAnsi="Arial" w:cs="Arial"/>
                <w:sz w:val="20"/>
                <w:szCs w:val="20"/>
              </w:rPr>
            </w:pPr>
            <w:r w:rsidRPr="00697DC3">
              <w:rPr>
                <w:rFonts w:ascii="Arial" w:hAnsi="Arial" w:cs="Arial"/>
                <w:sz w:val="20"/>
                <w:szCs w:val="20"/>
              </w:rPr>
              <w:t>Datum dosažení cílové hodnoty</w:t>
            </w:r>
          </w:p>
        </w:tc>
      </w:tr>
      <w:tr w:rsidR="000066F1" w:rsidRPr="00BA6C06" w14:paraId="769C8F77" w14:textId="77777777" w:rsidTr="0007669C">
        <w:tc>
          <w:tcPr>
            <w:tcW w:w="835" w:type="pct"/>
          </w:tcPr>
          <w:p w14:paraId="10DD5BF3" w14:textId="77777777" w:rsidR="000066F1" w:rsidRPr="005375D0" w:rsidRDefault="000066F1" w:rsidP="000066F1">
            <w:pPr>
              <w:widowControl w:val="0"/>
              <w:spacing w:before="40" w:after="40"/>
              <w:jc w:val="both"/>
              <w:rPr>
                <w:rFonts w:ascii="Arial" w:hAnsi="Arial" w:cs="Arial"/>
                <w:sz w:val="20"/>
                <w:szCs w:val="20"/>
              </w:rPr>
            </w:pPr>
            <w:r w:rsidRPr="005375D0">
              <w:rPr>
                <w:rFonts w:ascii="Arial" w:hAnsi="Arial" w:cs="Arial"/>
                <w:sz w:val="20"/>
                <w:szCs w:val="20"/>
              </w:rPr>
              <w:t>3 49 01</w:t>
            </w:r>
          </w:p>
        </w:tc>
        <w:tc>
          <w:tcPr>
            <w:tcW w:w="998" w:type="pct"/>
          </w:tcPr>
          <w:p w14:paraId="171D2BC8" w14:textId="77777777"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Počet objektů nově využívající OZE</w:t>
            </w:r>
          </w:p>
        </w:tc>
        <w:tc>
          <w:tcPr>
            <w:tcW w:w="1084" w:type="pct"/>
          </w:tcPr>
          <w:p w14:paraId="35D37AFE" w14:textId="77777777" w:rsidR="000066F1" w:rsidRPr="005375D0" w:rsidRDefault="000066F1" w:rsidP="000066F1">
            <w:pPr>
              <w:pStyle w:val="Default"/>
              <w:jc w:val="both"/>
              <w:rPr>
                <w:sz w:val="20"/>
                <w:szCs w:val="20"/>
              </w:rPr>
            </w:pPr>
            <w:r w:rsidRPr="005375D0">
              <w:rPr>
                <w:sz w:val="20"/>
                <w:szCs w:val="20"/>
              </w:rPr>
              <w:t xml:space="preserve">/ objekty </w:t>
            </w:r>
          </w:p>
          <w:p w14:paraId="55255B77" w14:textId="77777777" w:rsidR="000066F1" w:rsidRPr="005375D0" w:rsidRDefault="000066F1" w:rsidP="000066F1">
            <w:pPr>
              <w:widowControl w:val="0"/>
              <w:spacing w:before="40" w:after="40"/>
              <w:jc w:val="both"/>
              <w:rPr>
                <w:rFonts w:ascii="Arial" w:hAnsi="Arial" w:cs="Arial"/>
                <w:sz w:val="20"/>
                <w:szCs w:val="20"/>
              </w:rPr>
            </w:pPr>
          </w:p>
        </w:tc>
        <w:tc>
          <w:tcPr>
            <w:tcW w:w="1083" w:type="pct"/>
          </w:tcPr>
          <w:p w14:paraId="1532CCD5" w14:textId="0D2240FC" w:rsidR="000066F1" w:rsidRPr="005375D0" w:rsidRDefault="000066F1" w:rsidP="000066F1">
            <w:pPr>
              <w:widowControl w:val="0"/>
              <w:spacing w:before="40" w:after="40"/>
              <w:jc w:val="both"/>
              <w:rPr>
                <w:rFonts w:ascii="Arial" w:hAnsi="Arial" w:cs="Arial"/>
                <w:sz w:val="20"/>
                <w:szCs w:val="20"/>
              </w:rPr>
            </w:pPr>
            <w:r w:rsidRPr="005375D0">
              <w:rPr>
                <w:rFonts w:ascii="Arial" w:hAnsi="Arial" w:cs="Arial"/>
                <w:sz w:val="20"/>
                <w:szCs w:val="20"/>
              </w:rPr>
              <w:t>/ objekty</w:t>
            </w:r>
          </w:p>
        </w:tc>
        <w:tc>
          <w:tcPr>
            <w:tcW w:w="1000" w:type="pct"/>
          </w:tcPr>
          <w:p w14:paraId="58E8D0BC" w14:textId="77777777" w:rsidR="000066F1" w:rsidRPr="005375D0" w:rsidRDefault="000066F1" w:rsidP="000066F1">
            <w:pPr>
              <w:widowControl w:val="0"/>
              <w:spacing w:before="40" w:after="40"/>
              <w:jc w:val="both"/>
              <w:rPr>
                <w:rFonts w:ascii="Arial" w:hAnsi="Arial" w:cs="Arial"/>
                <w:sz w:val="20"/>
                <w:szCs w:val="20"/>
              </w:rPr>
            </w:pPr>
          </w:p>
        </w:tc>
      </w:tr>
      <w:tr w:rsidR="000066F1" w:rsidRPr="00BB679D" w14:paraId="0D45E562" w14:textId="77777777" w:rsidTr="0007669C">
        <w:tc>
          <w:tcPr>
            <w:tcW w:w="835" w:type="pct"/>
          </w:tcPr>
          <w:p w14:paraId="6F38B9E5" w14:textId="77777777" w:rsidR="000066F1" w:rsidRPr="005375D0" w:rsidRDefault="000066F1" w:rsidP="000066F1">
            <w:pPr>
              <w:widowControl w:val="0"/>
              <w:spacing w:before="40" w:after="40"/>
              <w:jc w:val="both"/>
              <w:rPr>
                <w:rFonts w:ascii="Arial" w:hAnsi="Arial" w:cs="Arial"/>
                <w:sz w:val="20"/>
                <w:szCs w:val="20"/>
              </w:rPr>
            </w:pPr>
            <w:r w:rsidRPr="005375D0">
              <w:rPr>
                <w:rFonts w:ascii="Arial" w:hAnsi="Arial" w:cs="Arial"/>
                <w:sz w:val="20"/>
                <w:szCs w:val="20"/>
              </w:rPr>
              <w:t>3 61 11</w:t>
            </w:r>
          </w:p>
        </w:tc>
        <w:tc>
          <w:tcPr>
            <w:tcW w:w="998" w:type="pct"/>
          </w:tcPr>
          <w:p w14:paraId="6E407528" w14:textId="77777777"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Množství emisí primárních částic a prekurzorů sekundárních částic v rámci podpořených projektů</w:t>
            </w:r>
          </w:p>
        </w:tc>
        <w:tc>
          <w:tcPr>
            <w:tcW w:w="1084" w:type="pct"/>
          </w:tcPr>
          <w:p w14:paraId="4DF8DF2C" w14:textId="5F9686BB" w:rsidR="000066F1" w:rsidRPr="005375D0" w:rsidRDefault="000066F1" w:rsidP="000066F1">
            <w:pPr>
              <w:pStyle w:val="Default"/>
              <w:jc w:val="both"/>
              <w:rPr>
                <w:sz w:val="20"/>
                <w:szCs w:val="20"/>
              </w:rPr>
            </w:pPr>
            <w:r w:rsidRPr="005375D0">
              <w:rPr>
                <w:sz w:val="20"/>
                <w:szCs w:val="20"/>
              </w:rPr>
              <w:t xml:space="preserve">/ t/rok </w:t>
            </w:r>
          </w:p>
          <w:p w14:paraId="39DB802F" w14:textId="77777777" w:rsidR="000066F1" w:rsidRPr="005375D0" w:rsidRDefault="000066F1" w:rsidP="000066F1">
            <w:pPr>
              <w:widowControl w:val="0"/>
              <w:spacing w:before="40" w:after="40"/>
              <w:jc w:val="both"/>
              <w:rPr>
                <w:rFonts w:ascii="Arial" w:hAnsi="Arial" w:cs="Arial"/>
                <w:sz w:val="20"/>
                <w:szCs w:val="20"/>
              </w:rPr>
            </w:pPr>
          </w:p>
        </w:tc>
        <w:tc>
          <w:tcPr>
            <w:tcW w:w="1083" w:type="pct"/>
          </w:tcPr>
          <w:p w14:paraId="335FE969" w14:textId="77777777" w:rsidR="000066F1" w:rsidRPr="005375D0" w:rsidRDefault="000066F1" w:rsidP="000066F1">
            <w:pPr>
              <w:pStyle w:val="Default"/>
              <w:jc w:val="both"/>
              <w:rPr>
                <w:sz w:val="20"/>
                <w:szCs w:val="20"/>
              </w:rPr>
            </w:pPr>
            <w:r w:rsidRPr="005375D0">
              <w:rPr>
                <w:sz w:val="20"/>
                <w:szCs w:val="20"/>
              </w:rPr>
              <w:t xml:space="preserve">/ t/rok </w:t>
            </w:r>
          </w:p>
          <w:p w14:paraId="34D16045" w14:textId="77777777" w:rsidR="000066F1" w:rsidRPr="005375D0" w:rsidRDefault="000066F1" w:rsidP="000066F1">
            <w:pPr>
              <w:widowControl w:val="0"/>
              <w:spacing w:before="40" w:after="40"/>
              <w:jc w:val="both"/>
              <w:rPr>
                <w:rFonts w:ascii="Arial" w:hAnsi="Arial" w:cs="Arial"/>
                <w:sz w:val="20"/>
                <w:szCs w:val="20"/>
              </w:rPr>
            </w:pPr>
          </w:p>
        </w:tc>
        <w:tc>
          <w:tcPr>
            <w:tcW w:w="1000" w:type="pct"/>
          </w:tcPr>
          <w:p w14:paraId="5F66FEB2" w14:textId="0462734C" w:rsidR="000066F1" w:rsidRPr="005375D0" w:rsidRDefault="000066F1" w:rsidP="000066F1">
            <w:pPr>
              <w:widowControl w:val="0"/>
              <w:spacing w:before="40" w:after="40"/>
              <w:jc w:val="both"/>
              <w:rPr>
                <w:rFonts w:ascii="Arial" w:hAnsi="Arial" w:cs="Arial"/>
                <w:sz w:val="20"/>
                <w:szCs w:val="20"/>
              </w:rPr>
            </w:pPr>
            <w:r w:rsidRPr="005375D0">
              <w:rPr>
                <w:rFonts w:ascii="Arial" w:hAnsi="Arial" w:cs="Arial"/>
                <w:sz w:val="20"/>
                <w:szCs w:val="20"/>
              </w:rPr>
              <w:t>5let od data, kdy projekt nabyl v MS 2014+ stav „projekt finančně ukončen ze strany ŘO“</w:t>
            </w:r>
          </w:p>
        </w:tc>
      </w:tr>
      <w:tr w:rsidR="000066F1" w:rsidRPr="0007669C" w14:paraId="1D20A026" w14:textId="77777777" w:rsidTr="0007669C">
        <w:tc>
          <w:tcPr>
            <w:tcW w:w="835" w:type="pct"/>
          </w:tcPr>
          <w:p w14:paraId="31609E94" w14:textId="13A6AB2E"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4 66 01</w:t>
            </w:r>
          </w:p>
        </w:tc>
        <w:tc>
          <w:tcPr>
            <w:tcW w:w="998" w:type="pct"/>
          </w:tcPr>
          <w:p w14:paraId="62B05A7F" w14:textId="6BB085EB"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 xml:space="preserve">Rozšířené, zrekonstruované nebo nově vybudované </w:t>
            </w:r>
            <w:r w:rsidRPr="005375D0">
              <w:rPr>
                <w:rFonts w:ascii="Arial" w:hAnsi="Arial" w:cs="Arial"/>
                <w:sz w:val="20"/>
                <w:szCs w:val="20"/>
              </w:rPr>
              <w:lastRenderedPageBreak/>
              <w:t>kapacity bez záboru zemědělského půdního fondu</w:t>
            </w:r>
          </w:p>
        </w:tc>
        <w:tc>
          <w:tcPr>
            <w:tcW w:w="1084" w:type="pct"/>
          </w:tcPr>
          <w:p w14:paraId="228CA5F6" w14:textId="77FCF7BA"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lastRenderedPageBreak/>
              <w:t>/ m2 užitné plochy</w:t>
            </w:r>
          </w:p>
        </w:tc>
        <w:tc>
          <w:tcPr>
            <w:tcW w:w="1083" w:type="pct"/>
          </w:tcPr>
          <w:p w14:paraId="08C79075" w14:textId="2FE2EC02" w:rsidR="000066F1" w:rsidRPr="005375D0" w:rsidRDefault="000066F1" w:rsidP="000066F1">
            <w:pPr>
              <w:widowControl w:val="0"/>
              <w:spacing w:before="40" w:after="40"/>
              <w:rPr>
                <w:rFonts w:ascii="Arial" w:hAnsi="Arial" w:cs="Arial"/>
                <w:sz w:val="20"/>
                <w:szCs w:val="20"/>
              </w:rPr>
            </w:pPr>
            <w:r w:rsidRPr="005375D0">
              <w:rPr>
                <w:rFonts w:ascii="Arial" w:hAnsi="Arial" w:cs="Arial"/>
                <w:sz w:val="20"/>
                <w:szCs w:val="20"/>
              </w:rPr>
              <w:t>/ m2 užitné plochy</w:t>
            </w:r>
          </w:p>
        </w:tc>
        <w:tc>
          <w:tcPr>
            <w:tcW w:w="1000" w:type="pct"/>
          </w:tcPr>
          <w:p w14:paraId="6AFD93EB" w14:textId="77777777" w:rsidR="000066F1" w:rsidRPr="005375D0" w:rsidRDefault="000066F1" w:rsidP="000066F1">
            <w:pPr>
              <w:widowControl w:val="0"/>
              <w:spacing w:before="40" w:after="40"/>
              <w:rPr>
                <w:rFonts w:ascii="Arial" w:hAnsi="Arial" w:cs="Arial"/>
                <w:sz w:val="20"/>
                <w:szCs w:val="20"/>
              </w:rPr>
            </w:pPr>
          </w:p>
        </w:tc>
      </w:tr>
    </w:tbl>
    <w:p w14:paraId="665E8FC3" w14:textId="22A654A3" w:rsidR="00C72B34" w:rsidRDefault="00C72B34">
      <w:pPr>
        <w:widowControl w:val="0"/>
        <w:spacing w:before="40" w:after="40"/>
        <w:ind w:left="567"/>
        <w:jc w:val="both"/>
        <w:rPr>
          <w:rFonts w:ascii="Arial" w:hAnsi="Arial" w:cs="Arial"/>
          <w:u w:val="single"/>
        </w:rPr>
      </w:pPr>
    </w:p>
    <w:p w14:paraId="21D168FE" w14:textId="77777777" w:rsidR="00ED7322" w:rsidRDefault="00ED7322">
      <w:pPr>
        <w:widowControl w:val="0"/>
        <w:spacing w:before="40" w:after="40"/>
        <w:ind w:left="567"/>
        <w:jc w:val="both"/>
        <w:rPr>
          <w:rFonts w:ascii="Arial" w:hAnsi="Arial" w:cs="Arial"/>
          <w:u w:val="single"/>
        </w:rPr>
      </w:pPr>
    </w:p>
    <w:p w14:paraId="42DAFFFC" w14:textId="77777777" w:rsidR="00962296" w:rsidRPr="00D9780B" w:rsidRDefault="00962296" w:rsidP="00FC5AA8">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69B30CC" w14:textId="77777777" w:rsidR="00962296" w:rsidRPr="001F01B7"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kalendářních dnů od ukončení příslušného sledovaného období. Sledovaným 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6AAC0289" w14:textId="017E9404" w:rsidR="00962296"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E53EAA">
        <w:rPr>
          <w:rFonts w:ascii="Arial" w:hAnsi="Arial" w:cs="Arial"/>
        </w:rPr>
        <w:t>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E53EAA">
        <w:rPr>
          <w:rFonts w:ascii="Arial" w:hAnsi="Arial" w:cs="Arial"/>
        </w:rPr>
        <w:t>smlouvy</w:t>
      </w:r>
      <w:r w:rsidR="00E53EAA"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63EA2858" w14:textId="4CAC2A11" w:rsidR="00962296" w:rsidRDefault="00962296" w:rsidP="00FC5AA8">
      <w:pPr>
        <w:widowControl w:val="0"/>
        <w:numPr>
          <w:ilvl w:val="0"/>
          <w:numId w:val="14"/>
        </w:numPr>
        <w:spacing w:before="40" w:after="40"/>
        <w:ind w:left="993"/>
        <w:jc w:val="both"/>
        <w:rPr>
          <w:rFonts w:ascii="Arial" w:hAnsi="Arial" w:cs="Arial"/>
        </w:rPr>
      </w:pPr>
      <w:bookmarkStart w:id="1"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 nejpozději do 3</w:t>
      </w:r>
      <w:r w:rsidRPr="001F01B7">
        <w:rPr>
          <w:rFonts w:ascii="Arial" w:hAnsi="Arial" w:cs="Arial"/>
        </w:rPr>
        <w:t>0 kalendářních dnů od ukončení realizace projektu</w:t>
      </w:r>
      <w:r>
        <w:rPr>
          <w:rFonts w:ascii="Arial" w:hAnsi="Arial" w:cs="Arial"/>
        </w:rPr>
        <w:t xml:space="preserve"> </w:t>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
      <w:r>
        <w:rPr>
          <w:rFonts w:ascii="Arial" w:hAnsi="Arial" w:cs="Arial"/>
        </w:rPr>
        <w:t xml:space="preserve">, </w:t>
      </w:r>
    </w:p>
    <w:p w14:paraId="03D6B61B" w14:textId="4007E5FE" w:rsidR="002C30AA" w:rsidRPr="002C30AA" w:rsidRDefault="002C30AA" w:rsidP="00FC5AA8">
      <w:pPr>
        <w:widowControl w:val="0"/>
        <w:numPr>
          <w:ilvl w:val="0"/>
          <w:numId w:val="14"/>
        </w:numPr>
        <w:spacing w:before="40" w:after="40"/>
        <w:ind w:left="993"/>
        <w:jc w:val="both"/>
        <w:rPr>
          <w:rFonts w:ascii="Arial" w:hAnsi="Arial" w:cs="Arial"/>
          <w:iCs/>
          <w:highlight w:val="yellow"/>
        </w:rPr>
      </w:pPr>
      <w:r w:rsidRPr="006C2194">
        <w:rPr>
          <w:rFonts w:ascii="Arial" w:hAnsi="Arial" w:cs="Arial"/>
          <w:highlight w:val="yellow"/>
        </w:rPr>
        <w:t>předložit poskytovateli Závěrečnou zprávu za celé období realizace projektu (platí pouze pro projekty s objemem celkových způsobilých výdajů nad 100 mil. Kč, kdy tato zpráva nahrazuje Závěrečnou zprávu o realizaci projektu),</w:t>
      </w:r>
    </w:p>
    <w:p w14:paraId="7368049E" w14:textId="45337708"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po dobu udržitelnosti projektu poskytovateli Průběžné zprávy o udržitelnosti projektu, a to vždy nejpozději do 10 </w:t>
      </w:r>
      <w:r>
        <w:rPr>
          <w:rFonts w:ascii="Arial" w:hAnsi="Arial" w:cs="Arial"/>
          <w:iCs/>
        </w:rPr>
        <w:t>pracovních</w:t>
      </w:r>
      <w:r w:rsidRPr="00D9780B">
        <w:rPr>
          <w:rFonts w:ascii="Arial" w:hAnsi="Arial" w:cs="Arial"/>
          <w:iCs/>
        </w:rPr>
        <w:t xml:space="preserve"> dnů od uplynutí každých 12 měsíců počítaných </w:t>
      </w:r>
      <w:r w:rsidRPr="005375D0">
        <w:rPr>
          <w:rFonts w:ascii="Arial" w:hAnsi="Arial" w:cs="Arial"/>
          <w:iCs/>
        </w:rPr>
        <w:t xml:space="preserve">od </w:t>
      </w:r>
      <w:r w:rsidRPr="005375D0">
        <w:rPr>
          <w:rFonts w:ascii="Arial" w:hAnsi="Arial" w:cs="Arial"/>
          <w:szCs w:val="24"/>
        </w:rPr>
        <w:t>data, kdy projekt nabyl v MS 2014+ stav „projekt finančně ukončen ze strany ŘO“</w:t>
      </w:r>
      <w:r w:rsidR="00A27D34" w:rsidRPr="00822B23">
        <w:rPr>
          <w:rFonts w:ascii="Arial" w:hAnsi="Arial" w:cs="Arial"/>
          <w:szCs w:val="24"/>
        </w:rPr>
        <w:t>,</w:t>
      </w:r>
    </w:p>
    <w:p w14:paraId="54BF6D55" w14:textId="7FB8C8EA" w:rsidR="00962296" w:rsidRPr="00605901" w:rsidRDefault="00962296" w:rsidP="00FC5AA8">
      <w:pPr>
        <w:widowControl w:val="0"/>
        <w:numPr>
          <w:ilvl w:val="0"/>
          <w:numId w:val="14"/>
        </w:numPr>
        <w:spacing w:before="40" w:after="40"/>
        <w:ind w:left="993"/>
        <w:jc w:val="both"/>
        <w:rPr>
          <w:rFonts w:ascii="Arial" w:hAnsi="Arial" w:cs="Arial"/>
        </w:rPr>
      </w:pPr>
      <w:r>
        <w:rPr>
          <w:rFonts w:ascii="Arial" w:hAnsi="Arial" w:cs="Arial"/>
          <w:iCs/>
        </w:rPr>
        <w:t xml:space="preserve">předložit po ukončení udržitelnosti projektu </w:t>
      </w:r>
      <w:r w:rsidRPr="00D9780B">
        <w:rPr>
          <w:rFonts w:ascii="Arial" w:hAnsi="Arial" w:cs="Arial"/>
          <w:iCs/>
        </w:rPr>
        <w:t>Závěrečnou zprávu o udržitelnosti projektu</w:t>
      </w:r>
      <w:r>
        <w:rPr>
          <w:rFonts w:ascii="Arial" w:hAnsi="Arial" w:cs="Arial"/>
          <w:iCs/>
        </w:rPr>
        <w:t>,</w:t>
      </w:r>
      <w:r w:rsidRPr="009F268E">
        <w:rPr>
          <w:rFonts w:ascii="Arial" w:hAnsi="Arial" w:cs="Arial"/>
          <w:iCs/>
        </w:rPr>
        <w:t xml:space="preserve"> </w:t>
      </w:r>
      <w:r w:rsidR="005375D0">
        <w:rPr>
          <w:rFonts w:ascii="Arial" w:hAnsi="Arial" w:cs="Arial"/>
          <w:iCs/>
        </w:rPr>
        <w:br/>
      </w:r>
      <w:r w:rsidRPr="00D9780B">
        <w:rPr>
          <w:rFonts w:ascii="Arial" w:hAnsi="Arial" w:cs="Arial"/>
          <w:iCs/>
        </w:rPr>
        <w:t xml:space="preserve">a to nejpozději do 10 </w:t>
      </w:r>
      <w:r>
        <w:rPr>
          <w:rFonts w:ascii="Arial" w:hAnsi="Arial" w:cs="Arial"/>
          <w:iCs/>
        </w:rPr>
        <w:t>pracovních</w:t>
      </w:r>
      <w:r w:rsidRPr="00D9780B">
        <w:rPr>
          <w:rFonts w:ascii="Arial" w:hAnsi="Arial" w:cs="Arial"/>
          <w:iCs/>
        </w:rPr>
        <w:t xml:space="preserve"> dnů</w:t>
      </w:r>
      <w:r>
        <w:rPr>
          <w:rFonts w:ascii="Arial" w:hAnsi="Arial" w:cs="Arial"/>
          <w:iCs/>
        </w:rPr>
        <w:t xml:space="preserve"> </w:t>
      </w:r>
      <w:r w:rsidRPr="009F268E">
        <w:rPr>
          <w:rFonts w:ascii="Arial" w:hAnsi="Arial" w:cs="Arial"/>
          <w:iCs/>
        </w:rPr>
        <w:t>od uplynutí období udržitelnosti</w:t>
      </w:r>
      <w:r w:rsidR="00A27D34">
        <w:rPr>
          <w:rFonts w:ascii="Arial" w:hAnsi="Arial" w:cs="Arial"/>
          <w:iCs/>
        </w:rPr>
        <w:t>,</w:t>
      </w:r>
    </w:p>
    <w:p w14:paraId="291AAB5C" w14:textId="77777777"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předkládat výše uvedené Průběžné a Závěrečné zprávy poskytovateli prostřednictvím informačního systému MS2014+</w:t>
      </w:r>
      <w:r>
        <w:rPr>
          <w:rFonts w:ascii="Arial" w:hAnsi="Arial" w:cs="Arial"/>
          <w:iCs/>
        </w:rPr>
        <w:t>.</w:t>
      </w:r>
    </w:p>
    <w:p w14:paraId="7F2CB7C4" w14:textId="39EC9A9D"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V případě, že bude projekt zahájen až po podpisu této sml</w:t>
      </w:r>
      <w:r>
        <w:rPr>
          <w:rFonts w:ascii="Arial" w:hAnsi="Arial" w:cs="Arial"/>
        </w:rPr>
        <w:t>ouvy, je příjemce povinen do 10 </w:t>
      </w:r>
      <w:r w:rsidRPr="00525D86">
        <w:rPr>
          <w:rFonts w:ascii="Arial" w:hAnsi="Arial" w:cs="Arial"/>
        </w:rPr>
        <w:t xml:space="preserve">pracovních dnů od data zahájení realizace projektu (uvedeného v článku III. této smlouvy) zaslat zprávu </w:t>
      </w:r>
      <w:r>
        <w:rPr>
          <w:rFonts w:ascii="Arial" w:hAnsi="Arial" w:cs="Arial"/>
        </w:rPr>
        <w:t>Řídícímu orgánu</w:t>
      </w:r>
      <w:r w:rsidRPr="00525D86">
        <w:rPr>
          <w:rFonts w:ascii="Arial" w:hAnsi="Arial" w:cs="Arial"/>
        </w:rPr>
        <w:t xml:space="preserve"> </w:t>
      </w:r>
      <w:r>
        <w:rPr>
          <w:rFonts w:ascii="Arial" w:hAnsi="Arial" w:cs="Arial"/>
        </w:rPr>
        <w:t>(dále také „</w:t>
      </w:r>
      <w:r w:rsidRPr="00525D86">
        <w:rPr>
          <w:rFonts w:ascii="Arial" w:hAnsi="Arial" w:cs="Arial"/>
        </w:rPr>
        <w:t>ŘO</w:t>
      </w:r>
      <w:r>
        <w:rPr>
          <w:rFonts w:ascii="Arial" w:hAnsi="Arial" w:cs="Arial"/>
        </w:rPr>
        <w:t xml:space="preserve">“) </w:t>
      </w:r>
      <w:r w:rsidRPr="00525D86">
        <w:rPr>
          <w:rFonts w:ascii="Arial" w:hAnsi="Arial" w:cs="Arial"/>
        </w:rPr>
        <w:t>ve formě uved</w:t>
      </w:r>
      <w:r>
        <w:rPr>
          <w:rFonts w:ascii="Arial" w:hAnsi="Arial" w:cs="Arial"/>
        </w:rPr>
        <w:t>ené v Pravidlech pro žadatele a </w:t>
      </w:r>
      <w:r w:rsidRPr="00525D86">
        <w:rPr>
          <w:rFonts w:ascii="Arial" w:hAnsi="Arial" w:cs="Arial"/>
        </w:rPr>
        <w:t>příjemce OP</w:t>
      </w:r>
      <w:r>
        <w:rPr>
          <w:rFonts w:ascii="Arial" w:hAnsi="Arial" w:cs="Arial"/>
        </w:rPr>
        <w:t> </w:t>
      </w:r>
      <w:r w:rsidRPr="00525D86">
        <w:rPr>
          <w:rFonts w:ascii="Arial" w:hAnsi="Arial" w:cs="Arial"/>
        </w:rPr>
        <w:t>PPR.</w:t>
      </w:r>
    </w:p>
    <w:p w14:paraId="7192E81D"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informovat poskytovatele o změnách v projektu způsobem a v termínech stanovených v Pravidlech pro žadatele a příjemce OP PPR.</w:t>
      </w:r>
    </w:p>
    <w:p w14:paraId="2BDFA1F0"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na žádost poskytovatele předložit doplňující informace související s realizací projektu ve lhůtě stanovené v žádosti o 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7A0E76B7"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77777777" w:rsidR="00DD22CB" w:rsidRPr="00FF0BD3" w:rsidRDefault="00CE3CB5">
      <w:pPr>
        <w:pStyle w:val="Nadpis2-zprva"/>
        <w:spacing w:before="40" w:after="40"/>
        <w:rPr>
          <w:snapToGrid w:val="0"/>
        </w:rPr>
      </w:pPr>
      <w:r w:rsidRPr="00FF0BD3">
        <w:rPr>
          <w:snapToGrid w:val="0"/>
        </w:rPr>
        <w:t>Článek IX.</w:t>
      </w:r>
    </w:p>
    <w:p w14:paraId="02BC0B54" w14:textId="6C7A70AE" w:rsidR="00DD22CB" w:rsidRDefault="00CE3CB5">
      <w:pPr>
        <w:pStyle w:val="Nadpis2"/>
        <w:spacing w:before="40" w:after="40"/>
      </w:pPr>
      <w:r w:rsidRPr="00FF0BD3">
        <w:t>Veřejná podpora</w:t>
      </w:r>
    </w:p>
    <w:p w14:paraId="746CF1F6" w14:textId="77777777" w:rsidR="00962296" w:rsidRPr="00AA2443" w:rsidRDefault="00962296" w:rsidP="00962296">
      <w:pPr>
        <w:pStyle w:val="Titulek"/>
        <w:spacing w:before="40" w:after="40"/>
        <w:rPr>
          <w:rFonts w:ascii="Arial" w:hAnsi="Arial" w:cs="Arial"/>
        </w:rPr>
      </w:pPr>
      <w:r w:rsidRPr="00AA2443">
        <w:rPr>
          <w:rFonts w:ascii="Arial" w:hAnsi="Arial" w:cs="Arial"/>
          <w:highlight w:val="yellow"/>
        </w:rPr>
        <w:t>Varianta: projekt nezakládá veřejnou podporu</w:t>
      </w:r>
    </w:p>
    <w:p w14:paraId="030B4C84" w14:textId="512CDFBE" w:rsidR="003C471B" w:rsidRPr="005375D0" w:rsidRDefault="003C471B" w:rsidP="00FC5AA8">
      <w:pPr>
        <w:pStyle w:val="Odstavecseseznamem"/>
        <w:numPr>
          <w:ilvl w:val="0"/>
          <w:numId w:val="16"/>
        </w:numPr>
        <w:ind w:left="567" w:hanging="567"/>
        <w:jc w:val="both"/>
        <w:rPr>
          <w:rFonts w:ascii="Arial" w:hAnsi="Arial" w:cs="Arial"/>
        </w:rPr>
      </w:pPr>
      <w:r w:rsidRPr="005375D0">
        <w:rPr>
          <w:rFonts w:ascii="Arial" w:hAnsi="Arial" w:cs="Arial"/>
        </w:rPr>
        <w:t>Projekt nezakládá veřejnou podporu ve smyslu čl. 107 Sml</w:t>
      </w:r>
      <w:r w:rsidR="00962296" w:rsidRPr="005375D0">
        <w:rPr>
          <w:rFonts w:ascii="Arial" w:hAnsi="Arial" w:cs="Arial"/>
        </w:rPr>
        <w:t>ouvy o fungování Evropské unie</w:t>
      </w:r>
      <w:r w:rsidR="00DF7B90">
        <w:rPr>
          <w:rFonts w:ascii="Arial" w:hAnsi="Arial" w:cs="Arial"/>
        </w:rPr>
        <w:t xml:space="preserve">. </w:t>
      </w:r>
      <w:r w:rsidR="00962296" w:rsidRPr="005375D0">
        <w:rPr>
          <w:rFonts w:ascii="Arial" w:hAnsi="Arial" w:cs="Arial"/>
        </w:rPr>
        <w:t xml:space="preserve"> </w:t>
      </w:r>
      <w:r w:rsidR="00DF7B90" w:rsidRPr="00CE76BC">
        <w:rPr>
          <w:rFonts w:ascii="Arial" w:hAnsi="Arial" w:cs="Arial"/>
        </w:rPr>
        <w:t>S ohledem na ryze lokální dopady projektu je dotace dle této smlouvy poskytována v režimu nezakládajícím veřejnou podporu zejména z důvodu neexistence hrozby nebo přímého narušení hospodářské soutěže, jakož i z důvodu neexistence dopadu na obchod mezi členskými státy EU.</w:t>
      </w:r>
      <w:r w:rsidRPr="005375D0">
        <w:rPr>
          <w:rFonts w:ascii="Arial" w:hAnsi="Arial" w:cs="Arial"/>
        </w:rPr>
        <w:t xml:space="preserve"> </w:t>
      </w:r>
    </w:p>
    <w:p w14:paraId="638323DE" w14:textId="3BDF734E" w:rsidR="003C471B" w:rsidRPr="00CE76BC"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A27D34">
        <w:rPr>
          <w:rFonts w:ascii="Arial" w:hAnsi="Arial" w:cs="Arial"/>
        </w:rPr>
        <w:t>podpory</w:t>
      </w:r>
      <w:r w:rsidRPr="00CE76BC">
        <w:rPr>
          <w:rFonts w:ascii="Arial" w:hAnsi="Arial" w:cs="Arial"/>
        </w:rPr>
        <w:t xml:space="preserve"> nezakládající veřejnou podporu po celou dobu realizace a udržitelnosti</w:t>
      </w:r>
      <w:r w:rsidRPr="00962296">
        <w:rPr>
          <w:rStyle w:val="Znakapoznpodarou"/>
          <w:rFonts w:ascii="Arial" w:hAnsi="Arial" w:cs="Arial"/>
          <w:sz w:val="16"/>
        </w:rPr>
        <w:footnoteReference w:id="10"/>
      </w:r>
      <w:r w:rsidRPr="00CE76BC">
        <w:rPr>
          <w:rFonts w:ascii="Arial" w:hAnsi="Arial" w:cs="Arial"/>
        </w:rPr>
        <w:t xml:space="preserve"> projektu a zajistit, aby nedošlo k nedovolené veřejné podpoře zejména:</w:t>
      </w:r>
    </w:p>
    <w:p w14:paraId="3903EA2A" w14:textId="77777777"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lastRenderedPageBreak/>
        <w:t>ve vztahu poskytovatele a příjemce (zejména dodržení podmínek stanovených touto smlouvou);</w:t>
      </w:r>
    </w:p>
    <w:p w14:paraId="663B1C61" w14:textId="32D32293"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A27D34">
        <w:rPr>
          <w:rFonts w:ascii="Arial" w:hAnsi="Arial" w:cs="Arial"/>
        </w:rPr>
        <w:t>podpory</w:t>
      </w:r>
      <w:r w:rsidRPr="00CE76BC">
        <w:rPr>
          <w:rFonts w:ascii="Arial" w:hAnsi="Arial" w:cs="Arial"/>
        </w:rPr>
        <w:t xml:space="preserve"> dle této smlouvy).</w:t>
      </w:r>
    </w:p>
    <w:p w14:paraId="04BCAE40" w14:textId="77777777" w:rsidR="003C471B" w:rsidRPr="005375D0" w:rsidRDefault="003C471B" w:rsidP="00FC5AA8">
      <w:pPr>
        <w:pStyle w:val="Odstavecseseznamem"/>
        <w:numPr>
          <w:ilvl w:val="0"/>
          <w:numId w:val="16"/>
        </w:numPr>
        <w:ind w:left="567" w:hanging="567"/>
        <w:jc w:val="both"/>
        <w:rPr>
          <w:rFonts w:ascii="Arial" w:hAnsi="Arial" w:cs="Arial"/>
        </w:rPr>
      </w:pPr>
      <w:r w:rsidRPr="00661779">
        <w:rPr>
          <w:rFonts w:ascii="Arial" w:hAnsi="Arial" w:cs="Arial"/>
        </w:rPr>
        <w:t>Příjemce se zavazuje po dobu realizace projektu a jeho udržitelnosti</w:t>
      </w:r>
      <w:r w:rsidRPr="00661779">
        <w:rPr>
          <w:rStyle w:val="Znakapoznpodarou"/>
          <w:rFonts w:ascii="Arial" w:hAnsi="Arial" w:cs="Arial"/>
          <w:sz w:val="18"/>
        </w:rPr>
        <w:footnoteReference w:id="11"/>
      </w:r>
      <w:r w:rsidRPr="00661779">
        <w:rPr>
          <w:rFonts w:ascii="Arial" w:hAnsi="Arial" w:cs="Arial"/>
        </w:rPr>
        <w:t xml:space="preserve"> zachovat stávající charakter svých činností tak, aby po tuto dobu byly naplněny předpoklady </w:t>
      </w:r>
      <w:r w:rsidRPr="005375D0">
        <w:rPr>
          <w:rFonts w:ascii="Arial" w:hAnsi="Arial" w:cs="Arial"/>
        </w:rPr>
        <w:t>prvního odstavce tohoto článku.</w:t>
      </w:r>
    </w:p>
    <w:p w14:paraId="55758E23" w14:textId="77777777" w:rsidR="003C471B"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962296">
        <w:rPr>
          <w:rStyle w:val="Znakapoznpodarou"/>
          <w:rFonts w:ascii="Arial" w:hAnsi="Arial" w:cs="Arial"/>
          <w:sz w:val="16"/>
        </w:rPr>
        <w:footnoteReference w:id="12"/>
      </w:r>
      <w:r w:rsidRPr="00CE76BC">
        <w:rPr>
          <w:rFonts w:ascii="Arial" w:hAnsi="Arial" w:cs="Arial"/>
        </w:rPr>
        <w:t xml:space="preserve"> a navazujícími předpisy ČR</w:t>
      </w:r>
      <w:r w:rsidRPr="00962296">
        <w:rPr>
          <w:rStyle w:val="Znakapoznpodarou"/>
          <w:rFonts w:ascii="Arial" w:hAnsi="Arial" w:cs="Arial"/>
          <w:sz w:val="16"/>
        </w:rPr>
        <w:footnoteReference w:id="13"/>
      </w:r>
      <w:r w:rsidRPr="00CE76BC">
        <w:rPr>
          <w:rFonts w:ascii="Arial" w:hAnsi="Arial" w:cs="Arial"/>
        </w:rPr>
        <w:t>.</w:t>
      </w:r>
    </w:p>
    <w:p w14:paraId="19DABA18" w14:textId="512CA0E3" w:rsidR="00D32516" w:rsidRPr="005375D0" w:rsidRDefault="00D32516" w:rsidP="00FC5AA8">
      <w:pPr>
        <w:pStyle w:val="Odstavecseseznamem"/>
        <w:numPr>
          <w:ilvl w:val="0"/>
          <w:numId w:val="16"/>
        </w:numPr>
        <w:ind w:left="567" w:hanging="567"/>
        <w:jc w:val="both"/>
        <w:rPr>
          <w:rFonts w:ascii="Arial" w:hAnsi="Arial" w:cs="Arial"/>
        </w:rPr>
      </w:pPr>
      <w:r w:rsidRPr="005375D0">
        <w:rPr>
          <w:rFonts w:ascii="Arial" w:hAnsi="Arial" w:cs="Arial"/>
          <w:snapToGrid w:val="0"/>
          <w:szCs w:val="24"/>
        </w:rPr>
        <w:t>Příjemce se zavazuje majetek, získaný byť i jen částečně z finanční pomoci dle této smlouvy</w:t>
      </w:r>
      <w:r w:rsidR="008D3DE6" w:rsidRPr="005375D0">
        <w:rPr>
          <w:rFonts w:ascii="Arial" w:hAnsi="Arial" w:cs="Arial"/>
          <w:snapToGrid w:val="0"/>
          <w:szCs w:val="24"/>
        </w:rPr>
        <w:t>,</w:t>
      </w:r>
      <w:r w:rsidRPr="005375D0">
        <w:rPr>
          <w:rFonts w:ascii="Arial" w:hAnsi="Arial" w:cs="Arial"/>
          <w:snapToGrid w:val="0"/>
          <w:szCs w:val="24"/>
        </w:rPr>
        <w:t xml:space="preserve"> využívat výhradně nebo téměř výhradně za účelem </w:t>
      </w:r>
      <w:proofErr w:type="spellStart"/>
      <w:r w:rsidRPr="005375D0">
        <w:rPr>
          <w:rFonts w:ascii="Arial" w:hAnsi="Arial" w:cs="Arial"/>
          <w:snapToGrid w:val="0"/>
          <w:szCs w:val="24"/>
        </w:rPr>
        <w:t>nehospodářských</w:t>
      </w:r>
      <w:proofErr w:type="spellEnd"/>
      <w:r w:rsidRPr="005375D0">
        <w:rPr>
          <w:rFonts w:ascii="Arial" w:hAnsi="Arial" w:cs="Arial"/>
          <w:snapToGrid w:val="0"/>
          <w:szCs w:val="24"/>
        </w:rPr>
        <w:t xml:space="preserve"> aktivit v</w:t>
      </w:r>
      <w:r w:rsidR="00810485" w:rsidRPr="005375D0">
        <w:rPr>
          <w:rFonts w:ascii="Arial" w:hAnsi="Arial" w:cs="Arial"/>
          <w:snapToGrid w:val="0"/>
          <w:szCs w:val="24"/>
        </w:rPr>
        <w:t> </w:t>
      </w:r>
      <w:r w:rsidRPr="005375D0">
        <w:rPr>
          <w:rFonts w:ascii="Arial" w:hAnsi="Arial" w:cs="Arial"/>
          <w:snapToGrid w:val="0"/>
          <w:szCs w:val="24"/>
        </w:rPr>
        <w:t>souladu</w:t>
      </w:r>
      <w:r w:rsidR="00810485" w:rsidRPr="005375D0">
        <w:rPr>
          <w:rFonts w:ascii="Arial" w:hAnsi="Arial" w:cs="Arial"/>
          <w:snapToGrid w:val="0"/>
          <w:szCs w:val="24"/>
        </w:rPr>
        <w:t xml:space="preserve"> s</w:t>
      </w:r>
      <w:r w:rsidRPr="005375D0">
        <w:rPr>
          <w:rFonts w:ascii="Arial" w:hAnsi="Arial" w:cs="Arial"/>
          <w:snapToGrid w:val="0"/>
          <w:szCs w:val="24"/>
        </w:rPr>
        <w:t xml:space="preserve"> pravidly veřejné podpory</w:t>
      </w:r>
      <w:r w:rsidRPr="005375D0">
        <w:rPr>
          <w:rStyle w:val="Znakapoznpodarou"/>
          <w:rFonts w:ascii="Arial" w:hAnsi="Arial" w:cs="Arial"/>
          <w:snapToGrid w:val="0"/>
          <w:sz w:val="16"/>
          <w:szCs w:val="24"/>
        </w:rPr>
        <w:footnoteReference w:id="14"/>
      </w:r>
      <w:r w:rsidRPr="005375D0">
        <w:rPr>
          <w:rFonts w:ascii="Arial" w:hAnsi="Arial" w:cs="Arial"/>
          <w:snapToGrid w:val="0"/>
          <w:szCs w:val="24"/>
        </w:rPr>
        <w:t>, zejména se zavazuje dodržet podmínku, že kapacita daného majetku případně alokovaného na hospodářské činnosti ve smyslu zmíněných pravidel v daném ročním účetním období nepřesáhne 20 % celkové roční kapacity daného majetku.</w:t>
      </w:r>
    </w:p>
    <w:p w14:paraId="71752E30" w14:textId="77777777" w:rsidR="002C30AA" w:rsidRPr="00CE76BC" w:rsidRDefault="002C30AA" w:rsidP="002C30AA">
      <w:pPr>
        <w:pStyle w:val="Odstavecseseznamem"/>
        <w:ind w:left="567"/>
        <w:jc w:val="both"/>
        <w:rPr>
          <w:rFonts w:ascii="Arial" w:hAnsi="Arial" w:cs="Arial"/>
        </w:rPr>
      </w:pPr>
    </w:p>
    <w:p w14:paraId="0169DD1D" w14:textId="055C833D" w:rsidR="002C30AA" w:rsidRPr="00AA2443" w:rsidRDefault="002C30AA" w:rsidP="00FF0BD3">
      <w:pPr>
        <w:pStyle w:val="Titulek"/>
        <w:spacing w:before="40" w:after="40"/>
        <w:jc w:val="both"/>
        <w:rPr>
          <w:rFonts w:ascii="Arial" w:hAnsi="Arial" w:cs="Arial"/>
        </w:rPr>
      </w:pPr>
      <w:r w:rsidRPr="00AA2443">
        <w:rPr>
          <w:rFonts w:ascii="Arial" w:hAnsi="Arial" w:cs="Arial"/>
          <w:highlight w:val="yellow"/>
        </w:rPr>
        <w:t xml:space="preserve">Varianta: Režim podpory slučitelné </w:t>
      </w:r>
      <w:r w:rsidR="007164F0" w:rsidRPr="00AA2443">
        <w:rPr>
          <w:rFonts w:ascii="Arial" w:hAnsi="Arial" w:cs="Arial"/>
          <w:highlight w:val="yellow"/>
        </w:rPr>
        <w:t xml:space="preserve">s vnitřním trhem bez nutnosti notifikace (dále také jen „slučitelná podpora“) - služby obecného hospodářského zájmu dle Nařízení Evropského parlamentu a Rady (EU) č. 1370/2007 ze dne 23. října 2007, o veřejných službách v přepravě cestujících po železnici a silnici a o zrušení nařízení Rady (EHS) č. 1191/69 a č. 1107/70, </w:t>
      </w:r>
      <w:proofErr w:type="spellStart"/>
      <w:r w:rsidR="007164F0" w:rsidRPr="00AA2443">
        <w:rPr>
          <w:rFonts w:ascii="Arial" w:hAnsi="Arial" w:cs="Arial"/>
          <w:highlight w:val="yellow"/>
        </w:rPr>
        <w:t>Úř</w:t>
      </w:r>
      <w:proofErr w:type="spellEnd"/>
      <w:r w:rsidR="007164F0" w:rsidRPr="00AA2443">
        <w:rPr>
          <w:rFonts w:ascii="Arial" w:hAnsi="Arial" w:cs="Arial"/>
          <w:highlight w:val="yellow"/>
        </w:rPr>
        <w:t xml:space="preserve">. </w:t>
      </w:r>
      <w:proofErr w:type="spellStart"/>
      <w:proofErr w:type="gramStart"/>
      <w:r w:rsidR="007164F0" w:rsidRPr="00AA2443">
        <w:rPr>
          <w:rFonts w:ascii="Arial" w:hAnsi="Arial" w:cs="Arial"/>
          <w:highlight w:val="yellow"/>
        </w:rPr>
        <w:t>věst</w:t>
      </w:r>
      <w:proofErr w:type="spellEnd"/>
      <w:proofErr w:type="gramEnd"/>
      <w:r w:rsidR="007164F0" w:rsidRPr="00AA2443">
        <w:rPr>
          <w:rFonts w:ascii="Arial" w:hAnsi="Arial" w:cs="Arial"/>
          <w:highlight w:val="yellow"/>
        </w:rPr>
        <w:t>. L 315, 3.</w:t>
      </w:r>
      <w:r w:rsidR="00FF0BD3" w:rsidRPr="00AA2443">
        <w:rPr>
          <w:rFonts w:ascii="Arial" w:hAnsi="Arial" w:cs="Arial"/>
          <w:highlight w:val="yellow"/>
        </w:rPr>
        <w:t xml:space="preserve"> </w:t>
      </w:r>
      <w:r w:rsidR="007164F0" w:rsidRPr="00AA2443">
        <w:rPr>
          <w:rFonts w:ascii="Arial" w:hAnsi="Arial" w:cs="Arial"/>
          <w:highlight w:val="yellow"/>
        </w:rPr>
        <w:t>12.</w:t>
      </w:r>
      <w:r w:rsidR="00FF0BD3" w:rsidRPr="00AA2443">
        <w:rPr>
          <w:rFonts w:ascii="Arial" w:hAnsi="Arial" w:cs="Arial"/>
          <w:highlight w:val="yellow"/>
        </w:rPr>
        <w:t xml:space="preserve"> </w:t>
      </w:r>
      <w:r w:rsidR="007164F0" w:rsidRPr="00AA2443">
        <w:rPr>
          <w:rFonts w:ascii="Arial" w:hAnsi="Arial" w:cs="Arial"/>
          <w:highlight w:val="yellow"/>
        </w:rPr>
        <w:t>2007, s. 1—13 (dále také jen "N1370/2007")</w:t>
      </w:r>
    </w:p>
    <w:p w14:paraId="39E630DE" w14:textId="06766DC8" w:rsidR="002C30AA" w:rsidRPr="005375D0" w:rsidRDefault="002C30AA" w:rsidP="00FC5AA8">
      <w:pPr>
        <w:pStyle w:val="Odstavecseseznamem"/>
        <w:numPr>
          <w:ilvl w:val="0"/>
          <w:numId w:val="21"/>
        </w:numPr>
        <w:ind w:left="567" w:hanging="567"/>
        <w:jc w:val="both"/>
        <w:rPr>
          <w:rFonts w:ascii="Arial" w:hAnsi="Arial" w:cs="Arial"/>
        </w:rPr>
      </w:pPr>
      <w:r w:rsidRPr="005375D0">
        <w:rPr>
          <w:rFonts w:ascii="Arial" w:hAnsi="Arial" w:cs="Arial"/>
        </w:rPr>
        <w:t xml:space="preserve">Podpora projektu se poskytuje v režimu veřejné podpory slučitelné se společným trhem bez nutnosti notifikace dle Nařízení Evropského parlamentu a Rady (EU) č. 1370/2007 ze dne 23. října 2007, o veřejných službách v přepravě cestujících po železnici a silnici a o zrušení nařízení Rady (EHS) č. 1191/69 a č. 1107/70, </w:t>
      </w:r>
      <w:proofErr w:type="spellStart"/>
      <w:r w:rsidRPr="005375D0">
        <w:rPr>
          <w:rFonts w:ascii="Arial" w:hAnsi="Arial" w:cs="Arial"/>
        </w:rPr>
        <w:t>Úř</w:t>
      </w:r>
      <w:proofErr w:type="spellEnd"/>
      <w:r w:rsidRPr="005375D0">
        <w:rPr>
          <w:rFonts w:ascii="Arial" w:hAnsi="Arial" w:cs="Arial"/>
        </w:rPr>
        <w:t xml:space="preserve">. </w:t>
      </w:r>
      <w:proofErr w:type="spellStart"/>
      <w:proofErr w:type="gramStart"/>
      <w:r w:rsidRPr="005375D0">
        <w:rPr>
          <w:rFonts w:ascii="Arial" w:hAnsi="Arial" w:cs="Arial"/>
        </w:rPr>
        <w:t>věst</w:t>
      </w:r>
      <w:proofErr w:type="spellEnd"/>
      <w:proofErr w:type="gramEnd"/>
      <w:r w:rsidRPr="005375D0">
        <w:rPr>
          <w:rFonts w:ascii="Arial" w:hAnsi="Arial" w:cs="Arial"/>
        </w:rPr>
        <w:t>. L 315, 3.</w:t>
      </w:r>
      <w:r w:rsidR="007164F0" w:rsidRPr="005375D0">
        <w:rPr>
          <w:rFonts w:ascii="Arial" w:hAnsi="Arial" w:cs="Arial"/>
        </w:rPr>
        <w:t xml:space="preserve"> </w:t>
      </w:r>
      <w:r w:rsidRPr="005375D0">
        <w:rPr>
          <w:rFonts w:ascii="Arial" w:hAnsi="Arial" w:cs="Arial"/>
        </w:rPr>
        <w:t>12.</w:t>
      </w:r>
      <w:r w:rsidR="007164F0" w:rsidRPr="005375D0">
        <w:rPr>
          <w:rFonts w:ascii="Arial" w:hAnsi="Arial" w:cs="Arial"/>
        </w:rPr>
        <w:t xml:space="preserve"> </w:t>
      </w:r>
      <w:r w:rsidRPr="005375D0">
        <w:rPr>
          <w:rFonts w:ascii="Arial" w:hAnsi="Arial" w:cs="Arial"/>
        </w:rPr>
        <w:t xml:space="preserve">2007, s. 1—13 (dále také jen "slučitelná podpora" a "nařízení"). </w:t>
      </w:r>
    </w:p>
    <w:p w14:paraId="227AF0BB" w14:textId="6E895F79" w:rsidR="007164F0" w:rsidRDefault="007164F0" w:rsidP="00FC5AA8">
      <w:pPr>
        <w:pStyle w:val="Odstavecseseznamem"/>
        <w:numPr>
          <w:ilvl w:val="0"/>
          <w:numId w:val="21"/>
        </w:numPr>
        <w:ind w:left="567" w:hanging="567"/>
        <w:jc w:val="both"/>
        <w:rPr>
          <w:rFonts w:ascii="Arial" w:hAnsi="Arial" w:cs="Arial"/>
        </w:rPr>
      </w:pPr>
      <w:r w:rsidRPr="006857AA">
        <w:rPr>
          <w:rFonts w:ascii="Arial" w:hAnsi="Arial" w:cs="Arial"/>
          <w:highlight w:val="yellow"/>
        </w:rPr>
        <w:t xml:space="preserve">Smluvní strany konstatují, že podepsaly „Smlouvu o veřejných službách ve veřejné drážní </w:t>
      </w:r>
      <w:r>
        <w:rPr>
          <w:rFonts w:ascii="Arial" w:hAnsi="Arial" w:cs="Arial"/>
          <w:highlight w:val="yellow"/>
        </w:rPr>
        <w:br/>
      </w:r>
      <w:r w:rsidRPr="006857AA">
        <w:rPr>
          <w:rFonts w:ascii="Arial" w:hAnsi="Arial" w:cs="Arial"/>
          <w:highlight w:val="yellow"/>
        </w:rPr>
        <w:t>a městské autobusové dopravě v systému Pražské integrované dopravy (dále PID)“. (pouze v případě, že příjemce</w:t>
      </w:r>
      <w:r w:rsidRPr="00FF131D">
        <w:rPr>
          <w:rFonts w:ascii="Arial" w:hAnsi="Arial" w:cs="Arial"/>
          <w:highlight w:val="yellow"/>
        </w:rPr>
        <w:t>m je Dopravní podnik Hlavního města Prahy</w:t>
      </w:r>
      <w:r w:rsidRPr="006857AA">
        <w:rPr>
          <w:rFonts w:ascii="Arial" w:hAnsi="Arial" w:cs="Arial"/>
          <w:highlight w:val="yellow"/>
        </w:rPr>
        <w:t xml:space="preserve"> a.s.)</w:t>
      </w:r>
    </w:p>
    <w:p w14:paraId="5746C324" w14:textId="77777777" w:rsidR="002C30AA" w:rsidRPr="00CE76BC" w:rsidRDefault="002C30AA" w:rsidP="00D32516">
      <w:pPr>
        <w:pStyle w:val="Odstavecseseznamem"/>
        <w:ind w:left="567"/>
        <w:jc w:val="both"/>
        <w:rPr>
          <w:rFonts w:ascii="Arial" w:hAnsi="Arial" w:cs="Arial"/>
        </w:rPr>
      </w:pPr>
    </w:p>
    <w:p w14:paraId="2B197EC9" w14:textId="77777777" w:rsidR="006574C2" w:rsidRDefault="006574C2">
      <w:pPr>
        <w:widowControl w:val="0"/>
        <w:tabs>
          <w:tab w:val="left" w:pos="0"/>
        </w:tabs>
        <w:ind w:left="566" w:right="72" w:hangingChars="283" w:hanging="566"/>
        <w:jc w:val="both"/>
        <w:rPr>
          <w:rFonts w:ascii="Arial" w:hAnsi="Arial" w:cs="Arial"/>
          <w:snapToGrid w:val="0"/>
          <w:szCs w:val="24"/>
        </w:rPr>
      </w:pPr>
    </w:p>
    <w:p w14:paraId="0C21B2E0" w14:textId="77777777" w:rsidR="00232369" w:rsidRDefault="00232369" w:rsidP="00232369">
      <w:pPr>
        <w:pStyle w:val="Nadpis2-zprva"/>
        <w:spacing w:before="40" w:after="40"/>
        <w:jc w:val="left"/>
        <w:rPr>
          <w:snapToGrid w:val="0"/>
        </w:rPr>
      </w:pPr>
      <w:r w:rsidRPr="00D32516">
        <w:rPr>
          <w:snapToGrid w:val="0"/>
          <w:highlight w:val="yellow"/>
        </w:rPr>
        <w:t xml:space="preserve">Varianta de </w:t>
      </w:r>
      <w:proofErr w:type="spellStart"/>
      <w:r w:rsidRPr="00D32516">
        <w:rPr>
          <w:snapToGrid w:val="0"/>
          <w:highlight w:val="yellow"/>
        </w:rPr>
        <w:t>minimis</w:t>
      </w:r>
      <w:proofErr w:type="spellEnd"/>
    </w:p>
    <w:p w14:paraId="4C519E41" w14:textId="77777777" w:rsidR="00962296" w:rsidRDefault="00962296" w:rsidP="00FC5AA8">
      <w:pPr>
        <w:pStyle w:val="Odstavecseseznamem"/>
        <w:numPr>
          <w:ilvl w:val="0"/>
          <w:numId w:val="18"/>
        </w:numPr>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u se poskytuje v režimu nezakládajícím veřejnou podporu dle</w:t>
      </w:r>
      <w:r w:rsidRPr="00BC2712">
        <w:rPr>
          <w:rFonts w:ascii="Arial" w:hAnsi="Arial" w:cs="Arial"/>
        </w:rPr>
        <w:t xml:space="preserve"> </w:t>
      </w:r>
      <w:r w:rsidRPr="008C14AF">
        <w:rPr>
          <w:rFonts w:ascii="Arial" w:hAnsi="Arial" w:cs="Arial"/>
        </w:rPr>
        <w:t xml:space="preserve">Nařízení Komise (EU) č. 1407/2013 ze dne 18. prosince 2013 o použití článků 107 a 108 Smlouvy o fungování Evropské unie na podporu de </w:t>
      </w:r>
      <w:proofErr w:type="spellStart"/>
      <w:r w:rsidRPr="008C14AF">
        <w:rPr>
          <w:rFonts w:ascii="Arial" w:hAnsi="Arial" w:cs="Arial"/>
        </w:rPr>
        <w:t>minimis</w:t>
      </w:r>
      <w:proofErr w:type="spellEnd"/>
      <w:r w:rsidRPr="008C14AF">
        <w:rPr>
          <w:rFonts w:ascii="Arial" w:hAnsi="Arial" w:cs="Arial"/>
        </w:rPr>
        <w:t xml:space="preserve">, </w:t>
      </w:r>
      <w:proofErr w:type="spellStart"/>
      <w:r w:rsidRPr="008C14AF">
        <w:rPr>
          <w:rFonts w:ascii="Arial" w:hAnsi="Arial" w:cs="Arial"/>
        </w:rPr>
        <w:t>Úř</w:t>
      </w:r>
      <w:proofErr w:type="spellEnd"/>
      <w:r w:rsidRPr="008C14AF">
        <w:rPr>
          <w:rFonts w:ascii="Arial" w:hAnsi="Arial" w:cs="Arial"/>
        </w:rPr>
        <w:t xml:space="preserve">. </w:t>
      </w:r>
      <w:proofErr w:type="spellStart"/>
      <w:proofErr w:type="gramStart"/>
      <w:r w:rsidRPr="008C14AF">
        <w:rPr>
          <w:rFonts w:ascii="Arial" w:hAnsi="Arial" w:cs="Arial"/>
        </w:rPr>
        <w:t>věst</w:t>
      </w:r>
      <w:proofErr w:type="spellEnd"/>
      <w:proofErr w:type="gramEnd"/>
      <w:r w:rsidRPr="008C14AF">
        <w:rPr>
          <w:rFonts w:ascii="Arial" w:hAnsi="Arial" w:cs="Arial"/>
        </w:rPr>
        <w:t>. L 352, 24. 12. 2013, s. 1—8</w:t>
      </w:r>
      <w:r>
        <w:rPr>
          <w:rFonts w:ascii="Arial" w:hAnsi="Arial" w:cs="Arial"/>
        </w:rPr>
        <w:t xml:space="preserve"> (dále také jen "nařízení"). Smluvní strany prohlašují, že podpora projektu dle této smlouvy není:</w:t>
      </w:r>
    </w:p>
    <w:p w14:paraId="7230F25C" w14:textId="27BDE6D4" w:rsidR="00962296" w:rsidRDefault="00962296" w:rsidP="00FC5AA8">
      <w:pPr>
        <w:pStyle w:val="Odstavecseseznamem"/>
        <w:numPr>
          <w:ilvl w:val="1"/>
          <w:numId w:val="18"/>
        </w:numPr>
        <w:jc w:val="both"/>
        <w:rPr>
          <w:rFonts w:ascii="Arial" w:hAnsi="Arial" w:cs="Arial"/>
        </w:rPr>
      </w:pPr>
      <w:r>
        <w:rPr>
          <w:rFonts w:ascii="Arial" w:hAnsi="Arial" w:cs="Arial"/>
        </w:rPr>
        <w:t xml:space="preserve">podporou poskytovanou </w:t>
      </w:r>
      <w:r w:rsidRPr="00E37879">
        <w:rPr>
          <w:rFonts w:ascii="Arial" w:hAnsi="Arial" w:cs="Arial"/>
        </w:rPr>
        <w:t xml:space="preserve">podnikům činným v odvětvích rybolovu a akvakultury, na které se vztahuje </w:t>
      </w:r>
      <w:r w:rsidR="007164F0">
        <w:rPr>
          <w:rFonts w:ascii="Arial" w:hAnsi="Arial" w:cs="Arial"/>
        </w:rPr>
        <w:t>nařízení Rady (ES) č. 104/2000</w:t>
      </w:r>
      <w:r w:rsidRPr="00E37879">
        <w:rPr>
          <w:rFonts w:ascii="Arial" w:hAnsi="Arial" w:cs="Arial"/>
        </w:rPr>
        <w:t>;</w:t>
      </w:r>
    </w:p>
    <w:p w14:paraId="5ACEAFF4" w14:textId="77777777" w:rsidR="00962296" w:rsidRDefault="00962296" w:rsidP="00FC5AA8">
      <w:pPr>
        <w:pStyle w:val="Odstavecseseznamem"/>
        <w:numPr>
          <w:ilvl w:val="1"/>
          <w:numId w:val="18"/>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4640F949" w14:textId="77777777" w:rsidR="00962296" w:rsidRDefault="00962296" w:rsidP="00FC5AA8">
      <w:pPr>
        <w:pStyle w:val="Odstavecseseznamem"/>
        <w:numPr>
          <w:ilvl w:val="1"/>
          <w:numId w:val="18"/>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45A83099" w14:textId="77777777" w:rsidR="00962296" w:rsidRDefault="00962296" w:rsidP="00FC5AA8">
      <w:pPr>
        <w:pStyle w:val="Odstavecseseznamem"/>
        <w:numPr>
          <w:ilvl w:val="2"/>
          <w:numId w:val="18"/>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05D3792" w14:textId="77777777" w:rsidR="00962296" w:rsidRDefault="00962296" w:rsidP="00FC5AA8">
      <w:pPr>
        <w:pStyle w:val="Odstavecseseznamem"/>
        <w:numPr>
          <w:ilvl w:val="2"/>
          <w:numId w:val="18"/>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7329BBA5" w14:textId="45D22BAB" w:rsidR="00962296" w:rsidRDefault="00962296" w:rsidP="00FC5AA8">
      <w:pPr>
        <w:pStyle w:val="Odstavecseseznamem"/>
        <w:numPr>
          <w:ilvl w:val="1"/>
          <w:numId w:val="18"/>
        </w:numPr>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A27D34">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2310A074" w14:textId="77777777" w:rsidR="00962296" w:rsidRDefault="00962296" w:rsidP="00FC5AA8">
      <w:pPr>
        <w:pStyle w:val="Odstavecseseznamem"/>
        <w:numPr>
          <w:ilvl w:val="1"/>
          <w:numId w:val="18"/>
        </w:numPr>
        <w:jc w:val="both"/>
        <w:rPr>
          <w:rFonts w:ascii="Arial" w:hAnsi="Arial" w:cs="Arial"/>
        </w:rPr>
      </w:pPr>
      <w:r>
        <w:rPr>
          <w:rFonts w:ascii="Arial" w:hAnsi="Arial" w:cs="Arial"/>
        </w:rPr>
        <w:lastRenderedPageBreak/>
        <w:t>podporou</w:t>
      </w:r>
      <w:r w:rsidRPr="00E37879">
        <w:rPr>
          <w:rFonts w:ascii="Arial" w:hAnsi="Arial" w:cs="Arial"/>
        </w:rPr>
        <w:t xml:space="preserve"> podmiňující použití domácího zboží na úkor dováženého zboží.</w:t>
      </w:r>
    </w:p>
    <w:p w14:paraId="4FE85130" w14:textId="77777777" w:rsidR="00962296" w:rsidRPr="00687394" w:rsidRDefault="00962296" w:rsidP="00FC5AA8">
      <w:pPr>
        <w:pStyle w:val="Odstavecseseznamem"/>
        <w:numPr>
          <w:ilvl w:val="0"/>
          <w:numId w:val="18"/>
        </w:numPr>
        <w:jc w:val="both"/>
        <w:rPr>
          <w:rFonts w:ascii="Arial" w:hAnsi="Arial" w:cs="Arial"/>
        </w:rPr>
      </w:pPr>
      <w:r w:rsidRPr="00687394">
        <w:rPr>
          <w:rFonts w:ascii="Arial" w:hAnsi="Arial" w:cs="Arial"/>
        </w:rPr>
        <w:t xml:space="preserve">Příjemce se zavazuje zajistit, aby úhrn podpor </w:t>
      </w:r>
      <w:r w:rsidRPr="00687394">
        <w:rPr>
          <w:rFonts w:ascii="Arial" w:hAnsi="Arial" w:cs="Arial"/>
          <w:i/>
        </w:rPr>
        <w:t xml:space="preserve">de </w:t>
      </w:r>
      <w:proofErr w:type="spellStart"/>
      <w:r w:rsidRPr="00687394">
        <w:rPr>
          <w:rFonts w:ascii="Arial" w:hAnsi="Arial" w:cs="Arial"/>
          <w:i/>
        </w:rPr>
        <w:t>minimis</w:t>
      </w:r>
      <w:proofErr w:type="spellEnd"/>
      <w:r w:rsidRPr="00687394">
        <w:rPr>
          <w:rFonts w:ascii="Arial" w:hAnsi="Arial" w:cs="Arial"/>
          <w:i/>
        </w:rPr>
        <w:t xml:space="preserve"> </w:t>
      </w:r>
      <w:r w:rsidRPr="00687394">
        <w:rPr>
          <w:rFonts w:ascii="Arial" w:hAnsi="Arial" w:cs="Arial"/>
        </w:rPr>
        <w:t>poskytnutých příjemci a jakýmkoliv subjektům, se kterými tvoří jeden podnik ve smyslu nařízení, v relevantním období nepřesáhl celkový limit podpory dle nařízení.</w:t>
      </w:r>
    </w:p>
    <w:p w14:paraId="1E7F907B" w14:textId="14DED550" w:rsidR="00962296" w:rsidRPr="00400B37" w:rsidRDefault="00962296" w:rsidP="00FC5AA8">
      <w:pPr>
        <w:pStyle w:val="Odstavecseseznamem"/>
        <w:numPr>
          <w:ilvl w:val="0"/>
          <w:numId w:val="18"/>
        </w:numPr>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566D58">
        <w:rPr>
          <w:rStyle w:val="Znakapoznpodarou"/>
          <w:rFonts w:ascii="Arial" w:hAnsi="Arial" w:cs="Arial"/>
        </w:rPr>
        <w:footnoteReference w:id="15"/>
      </w:r>
      <w:r>
        <w:rPr>
          <w:rFonts w:ascii="Arial" w:hAnsi="Arial" w:cs="Arial"/>
        </w:rPr>
        <w:t xml:space="preserve"> informovat poskytovatele o jakýchkoliv změnách týkajících se vymezení příjemce jakožto "jednoho podniku" ve smyslu čl. 2 odst. 2 nařízení a relevantního výkladu tohoto ustanovení, včetně jakýchkoliv přeměn příjemce, relevantních nabytí/zvýšení majetkové účasti na jiných subjektech apod.</w:t>
      </w:r>
      <w:r w:rsidRPr="00400B37">
        <w:rPr>
          <w:rFonts w:ascii="Arial" w:hAnsi="Arial" w:cs="Arial"/>
        </w:rPr>
        <w:t xml:space="preserve"> </w:t>
      </w:r>
      <w:r w:rsidRPr="00BC2712">
        <w:rPr>
          <w:rFonts w:ascii="Arial" w:hAnsi="Arial" w:cs="Arial"/>
        </w:rPr>
        <w:t>Příjemce se zavazuje po dobu realizace projektu a jeho udržitelnosti</w:t>
      </w:r>
      <w:r w:rsidRPr="003C330B">
        <w:rPr>
          <w:rStyle w:val="Znakapoznpodarou"/>
          <w:rFonts w:ascii="Arial" w:hAnsi="Arial" w:cs="Arial"/>
          <w:sz w:val="16"/>
        </w:rPr>
        <w:footnoteReference w:id="16"/>
      </w:r>
      <w:r w:rsidRPr="00BC2712">
        <w:rPr>
          <w:rFonts w:ascii="Arial" w:hAnsi="Arial" w:cs="Arial"/>
        </w:rPr>
        <w:t xml:space="preserve"> zachovat stávající charakter svých činností tak, aby po tuto dobu byly naplněny předpoklady prvního odstavce tohoto článku.</w:t>
      </w:r>
    </w:p>
    <w:p w14:paraId="1ED683B2" w14:textId="33897B08" w:rsidR="00962296" w:rsidRDefault="00962296" w:rsidP="00FC5AA8">
      <w:pPr>
        <w:pStyle w:val="Odstavecseseznamem"/>
        <w:numPr>
          <w:ilvl w:val="0"/>
          <w:numId w:val="18"/>
        </w:numPr>
        <w:jc w:val="both"/>
        <w:rPr>
          <w:rFonts w:ascii="Arial" w:hAnsi="Arial" w:cs="Arial"/>
        </w:rPr>
      </w:pPr>
      <w:r w:rsidRPr="00BC2712">
        <w:rPr>
          <w:rFonts w:ascii="Arial" w:hAnsi="Arial" w:cs="Arial"/>
        </w:rPr>
        <w:t>Příjemce se zavazuje dodržovat podmínky poskytnutí dotace ne</w:t>
      </w:r>
      <w:r w:rsidR="00A27D34">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3C330B">
        <w:rPr>
          <w:rStyle w:val="Znakapoznpodarou"/>
          <w:rFonts w:ascii="Arial" w:hAnsi="Arial" w:cs="Arial"/>
          <w:sz w:val="16"/>
        </w:rPr>
        <w:footnoteReference w:id="17"/>
      </w:r>
      <w:r w:rsidRPr="00BC2712">
        <w:rPr>
          <w:rFonts w:ascii="Arial" w:hAnsi="Arial" w:cs="Arial"/>
        </w:rPr>
        <w:t xml:space="preserve"> projektu a zajistit, aby nedošlo k nedovolené veřejné podpoře zejména:</w:t>
      </w:r>
    </w:p>
    <w:p w14:paraId="2687024E" w14:textId="77777777" w:rsidR="00962296" w:rsidRDefault="00962296" w:rsidP="00FC5AA8">
      <w:pPr>
        <w:pStyle w:val="Odstavecseseznamem"/>
        <w:numPr>
          <w:ilvl w:val="1"/>
          <w:numId w:val="18"/>
        </w:numPr>
        <w:jc w:val="both"/>
        <w:rPr>
          <w:rFonts w:ascii="Arial" w:hAnsi="Arial" w:cs="Arial"/>
        </w:rPr>
      </w:pPr>
      <w:r w:rsidRPr="00BC2712">
        <w:rPr>
          <w:rFonts w:ascii="Arial" w:hAnsi="Arial" w:cs="Arial"/>
        </w:rPr>
        <w:t>ve vztahu poskytovatele a příjemce (zejména dodržení podmínek stanovených touto smlouvou);</w:t>
      </w:r>
    </w:p>
    <w:p w14:paraId="24703E7B" w14:textId="77777777" w:rsidR="00962296" w:rsidRDefault="00962296" w:rsidP="00FC5AA8">
      <w:pPr>
        <w:pStyle w:val="Odstavecseseznamem"/>
        <w:numPr>
          <w:ilvl w:val="1"/>
          <w:numId w:val="18"/>
        </w:numPr>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0119CDDA" w14:textId="5A77FA45" w:rsidR="00962296" w:rsidRDefault="00962296" w:rsidP="00FC5AA8">
      <w:pPr>
        <w:pStyle w:val="Odstavecseseznamem"/>
        <w:numPr>
          <w:ilvl w:val="0"/>
          <w:numId w:val="18"/>
        </w:numPr>
        <w:jc w:val="both"/>
        <w:rPr>
          <w:rFonts w:ascii="Arial" w:hAnsi="Arial" w:cs="Arial"/>
        </w:rPr>
      </w:pPr>
      <w:r>
        <w:rPr>
          <w:rFonts w:ascii="Arial" w:hAnsi="Arial" w:cs="Arial"/>
        </w:rPr>
        <w:t>Příjemce není oprávněn podporu dle této smlouvy kumulovat s</w:t>
      </w:r>
      <w:r w:rsidRPr="00400B37">
        <w:rPr>
          <w:rFonts w:ascii="Arial" w:hAnsi="Arial" w:cs="Arial"/>
        </w:rPr>
        <w:t xml:space="preserve"> </w:t>
      </w:r>
      <w:r>
        <w:rPr>
          <w:rFonts w:ascii="Arial" w:hAnsi="Arial" w:cs="Arial"/>
        </w:rPr>
        <w:t xml:space="preserve">veřejnou </w:t>
      </w:r>
      <w:r w:rsidRPr="00400B37">
        <w:rPr>
          <w:rFonts w:ascii="Arial" w:hAnsi="Arial" w:cs="Arial"/>
        </w:rPr>
        <w:t xml:space="preserve">podporou na tytéž způsobilé </w:t>
      </w:r>
      <w:r>
        <w:rPr>
          <w:rFonts w:ascii="Arial" w:hAnsi="Arial" w:cs="Arial"/>
        </w:rPr>
        <w:t>výdaje</w:t>
      </w:r>
      <w:r w:rsidRPr="00400B37">
        <w:rPr>
          <w:rFonts w:ascii="Arial" w:hAnsi="Arial" w:cs="Arial"/>
        </w:rPr>
        <w:t xml:space="preserve"> 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w:t>
      </w:r>
      <w:r w:rsidR="00A27D34">
        <w:rPr>
          <w:rFonts w:ascii="Arial" w:hAnsi="Arial" w:cs="Arial"/>
        </w:rPr>
        <w:t>řízení o blokové výjimce nebo v </w:t>
      </w:r>
      <w:r w:rsidRPr="00400B37">
        <w:rPr>
          <w:rFonts w:ascii="Arial" w:hAnsi="Arial" w:cs="Arial"/>
        </w:rPr>
        <w:t xml:space="preserve">rozhodnutí Komise. Podporu </w:t>
      </w:r>
      <w:r w:rsidRPr="00435409">
        <w:rPr>
          <w:rFonts w:ascii="Arial" w:hAnsi="Arial" w:cs="Arial"/>
          <w:i/>
        </w:rPr>
        <w:t xml:space="preserve">de </w:t>
      </w:r>
      <w:proofErr w:type="spellStart"/>
      <w:r w:rsidRPr="00435409">
        <w:rPr>
          <w:rFonts w:ascii="Arial" w:hAnsi="Arial" w:cs="Arial"/>
          <w:i/>
        </w:rPr>
        <w:t>minimis</w:t>
      </w:r>
      <w:proofErr w:type="spellEnd"/>
      <w:r w:rsidRPr="00400B37">
        <w:rPr>
          <w:rFonts w:ascii="Arial" w:hAnsi="Arial" w:cs="Arial"/>
        </w:rPr>
        <w:t xml:space="preserve">, která není poskytnuta na zvláštní způsobilé </w:t>
      </w:r>
      <w:r>
        <w:rPr>
          <w:rFonts w:ascii="Arial" w:hAnsi="Arial" w:cs="Arial"/>
        </w:rPr>
        <w:t>výdaje</w:t>
      </w:r>
      <w:r w:rsidR="00A27D34">
        <w:rPr>
          <w:rFonts w:ascii="Arial" w:hAnsi="Arial" w:cs="Arial"/>
        </w:rPr>
        <w:t xml:space="preserve"> či </w:t>
      </w:r>
      <w:r w:rsidRPr="00400B37">
        <w:rPr>
          <w:rFonts w:ascii="Arial" w:hAnsi="Arial" w:cs="Arial"/>
        </w:rPr>
        <w:t xml:space="preserve">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6720AF60" w14:textId="55FADD84" w:rsidR="00232369" w:rsidRDefault="00962296" w:rsidP="00FC5AA8">
      <w:pPr>
        <w:pStyle w:val="Odstavecseseznamem"/>
        <w:numPr>
          <w:ilvl w:val="0"/>
          <w:numId w:val="18"/>
        </w:numPr>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3C330B">
        <w:rPr>
          <w:rStyle w:val="Znakapoznpodarou"/>
          <w:rFonts w:ascii="Arial" w:hAnsi="Arial" w:cs="Arial"/>
          <w:sz w:val="16"/>
        </w:rPr>
        <w:footnoteReference w:id="18"/>
      </w:r>
      <w:r w:rsidRPr="00BC2712">
        <w:rPr>
          <w:rFonts w:ascii="Arial" w:hAnsi="Arial" w:cs="Arial"/>
        </w:rPr>
        <w:t xml:space="preserve"> a navazujícími předpisy ČR</w:t>
      </w:r>
      <w:r w:rsidRPr="003C330B">
        <w:rPr>
          <w:rStyle w:val="Znakapoznpodarou"/>
          <w:rFonts w:ascii="Arial" w:hAnsi="Arial" w:cs="Arial"/>
          <w:sz w:val="16"/>
        </w:rPr>
        <w:footnoteReference w:id="19"/>
      </w:r>
      <w:r>
        <w:rPr>
          <w:rFonts w:ascii="Arial" w:hAnsi="Arial" w:cs="Arial"/>
        </w:rPr>
        <w:t>.</w:t>
      </w:r>
    </w:p>
    <w:p w14:paraId="6BF4DB7A" w14:textId="77777777" w:rsidR="00232369" w:rsidRDefault="00232369" w:rsidP="00232369">
      <w:pPr>
        <w:jc w:val="both"/>
        <w:rPr>
          <w:rFonts w:ascii="Arial" w:hAnsi="Arial" w:cs="Arial"/>
        </w:rPr>
      </w:pPr>
    </w:p>
    <w:p w14:paraId="7F149A64" w14:textId="77777777" w:rsidR="00962296" w:rsidRPr="00435409" w:rsidRDefault="00962296" w:rsidP="00962296">
      <w:pPr>
        <w:jc w:val="both"/>
        <w:rPr>
          <w:rFonts w:ascii="Arial" w:hAnsi="Arial" w:cs="Arial"/>
          <w:b/>
        </w:rPr>
      </w:pPr>
      <w:r w:rsidRPr="00962296">
        <w:rPr>
          <w:rFonts w:ascii="Arial" w:hAnsi="Arial" w:cs="Arial"/>
          <w:b/>
          <w:highlight w:val="yellow"/>
        </w:rPr>
        <w:t xml:space="preserve">Varianta SGEI </w:t>
      </w:r>
      <w:r w:rsidRPr="00962296">
        <w:rPr>
          <w:rFonts w:ascii="Arial" w:hAnsi="Arial" w:cs="Arial"/>
          <w:b/>
          <w:i/>
          <w:highlight w:val="yellow"/>
        </w:rPr>
        <w:t xml:space="preserve">de </w:t>
      </w:r>
      <w:proofErr w:type="spellStart"/>
      <w:r w:rsidRPr="00962296">
        <w:rPr>
          <w:rFonts w:ascii="Arial" w:hAnsi="Arial" w:cs="Arial"/>
          <w:b/>
          <w:i/>
          <w:highlight w:val="yellow"/>
        </w:rPr>
        <w:t>minimis</w:t>
      </w:r>
      <w:proofErr w:type="spellEnd"/>
    </w:p>
    <w:p w14:paraId="5473F7BF" w14:textId="197F8D97" w:rsidR="00962296" w:rsidRPr="0032702C" w:rsidRDefault="00962296" w:rsidP="00FC5AA8">
      <w:pPr>
        <w:pStyle w:val="Odstavecseseznamem"/>
        <w:numPr>
          <w:ilvl w:val="0"/>
          <w:numId w:val="17"/>
        </w:numPr>
        <w:ind w:left="567" w:hanging="567"/>
        <w:jc w:val="both"/>
        <w:rPr>
          <w:rFonts w:ascii="Arial" w:hAnsi="Arial" w:cs="Arial"/>
        </w:rPr>
      </w:pPr>
      <w:r w:rsidRPr="0032702C">
        <w:rPr>
          <w:rFonts w:ascii="Arial" w:hAnsi="Arial" w:cs="Arial"/>
        </w:rPr>
        <w:t xml:space="preserve">Podpora projektu se poskytuje v režimu nezakládajícím veřejnou podporu dle Nařízení Komise (EU) č. 360/2012 ze dne 25. dubna 2012 o použití článků 107 a 108 Smlouvy o fungování Evropské unie na podporu de </w:t>
      </w:r>
      <w:proofErr w:type="spellStart"/>
      <w:r w:rsidRPr="0032702C">
        <w:rPr>
          <w:rFonts w:ascii="Arial" w:hAnsi="Arial" w:cs="Arial"/>
        </w:rPr>
        <w:t>minimis</w:t>
      </w:r>
      <w:proofErr w:type="spellEnd"/>
      <w:r w:rsidRPr="0032702C">
        <w:rPr>
          <w:rFonts w:ascii="Arial" w:hAnsi="Arial" w:cs="Arial"/>
        </w:rPr>
        <w:t xml:space="preserve"> udílenou podnikům poskytujícím služby obecného hospodářského zájmu, </w:t>
      </w:r>
      <w:proofErr w:type="spellStart"/>
      <w:r w:rsidRPr="0032702C">
        <w:rPr>
          <w:rFonts w:ascii="Arial" w:hAnsi="Arial" w:cs="Arial"/>
        </w:rPr>
        <w:t>Úř</w:t>
      </w:r>
      <w:proofErr w:type="spellEnd"/>
      <w:r w:rsidRPr="0032702C">
        <w:rPr>
          <w:rFonts w:ascii="Arial" w:hAnsi="Arial" w:cs="Arial"/>
        </w:rPr>
        <w:t xml:space="preserve">. </w:t>
      </w:r>
      <w:proofErr w:type="spellStart"/>
      <w:proofErr w:type="gramStart"/>
      <w:r w:rsidRPr="0032702C">
        <w:rPr>
          <w:rFonts w:ascii="Arial" w:hAnsi="Arial" w:cs="Arial"/>
        </w:rPr>
        <w:t>věst</w:t>
      </w:r>
      <w:proofErr w:type="spellEnd"/>
      <w:proofErr w:type="gramEnd"/>
      <w:r w:rsidRPr="0032702C">
        <w:rPr>
          <w:rFonts w:ascii="Arial" w:hAnsi="Arial" w:cs="Arial"/>
        </w:rPr>
        <w:t>. L 114, 26.</w:t>
      </w:r>
      <w:r w:rsidR="007164F0">
        <w:rPr>
          <w:rFonts w:ascii="Arial" w:hAnsi="Arial" w:cs="Arial"/>
        </w:rPr>
        <w:t xml:space="preserve"> </w:t>
      </w:r>
      <w:r w:rsidRPr="0032702C">
        <w:rPr>
          <w:rFonts w:ascii="Arial" w:hAnsi="Arial" w:cs="Arial"/>
        </w:rPr>
        <w:t>4.</w:t>
      </w:r>
      <w:r w:rsidR="007164F0">
        <w:rPr>
          <w:rFonts w:ascii="Arial" w:hAnsi="Arial" w:cs="Arial"/>
        </w:rPr>
        <w:t xml:space="preserve"> </w:t>
      </w:r>
      <w:r w:rsidRPr="0032702C">
        <w:rPr>
          <w:rFonts w:ascii="Arial" w:hAnsi="Arial" w:cs="Arial"/>
        </w:rPr>
        <w:t>2012, s. 8—13, (dále také jen "nařízení"). Smluvní strany prohlašují, že podpora projektu dle této smlouvy není:</w:t>
      </w:r>
    </w:p>
    <w:p w14:paraId="7FF43951" w14:textId="7CD075E7" w:rsidR="00962296" w:rsidRPr="00E37879" w:rsidRDefault="00962296" w:rsidP="00FC5AA8">
      <w:pPr>
        <w:pStyle w:val="Odstavecseseznamem"/>
        <w:numPr>
          <w:ilvl w:val="1"/>
          <w:numId w:val="17"/>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Pr>
          <w:rFonts w:ascii="Arial" w:hAnsi="Arial" w:cs="Arial"/>
        </w:rPr>
        <w:t>ařízení Rady</w:t>
      </w:r>
      <w:r w:rsidR="007164F0">
        <w:rPr>
          <w:rFonts w:ascii="Arial" w:hAnsi="Arial" w:cs="Arial"/>
        </w:rPr>
        <w:t xml:space="preserve"> (ES) č. 104/2000</w:t>
      </w:r>
      <w:r w:rsidRPr="00E37879">
        <w:rPr>
          <w:rFonts w:ascii="Arial" w:hAnsi="Arial" w:cs="Arial"/>
        </w:rPr>
        <w:t>;</w:t>
      </w:r>
    </w:p>
    <w:p w14:paraId="5747DDF2" w14:textId="77777777" w:rsidR="00962296" w:rsidRPr="00E37879"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7B1A8120" w14:textId="77777777" w:rsidR="00962296" w:rsidRPr="00E37879"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42D89E43" w14:textId="77777777" w:rsidR="00962296" w:rsidRPr="00E37879" w:rsidRDefault="00962296" w:rsidP="00FC5AA8">
      <w:pPr>
        <w:pStyle w:val="Odstavecseseznamem"/>
        <w:numPr>
          <w:ilvl w:val="2"/>
          <w:numId w:val="17"/>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0B3C5113" w14:textId="77777777" w:rsidR="00962296" w:rsidRPr="00E37879" w:rsidRDefault="00962296" w:rsidP="00FC5AA8">
      <w:pPr>
        <w:pStyle w:val="Odstavecseseznamem"/>
        <w:numPr>
          <w:ilvl w:val="2"/>
          <w:numId w:val="17"/>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23FF0C7D" w14:textId="02595650" w:rsidR="00962296" w:rsidRPr="00E37879"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A27D34">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0A8ECEF0" w14:textId="77777777" w:rsidR="00962296" w:rsidRPr="0032702C" w:rsidRDefault="00962296" w:rsidP="00FC5AA8">
      <w:pPr>
        <w:pStyle w:val="Odstavecseseznamem"/>
        <w:numPr>
          <w:ilvl w:val="1"/>
          <w:numId w:val="17"/>
        </w:numPr>
        <w:jc w:val="both"/>
        <w:rPr>
          <w:rFonts w:ascii="Arial" w:hAnsi="Arial" w:cs="Arial"/>
        </w:rPr>
      </w:pPr>
      <w:r>
        <w:rPr>
          <w:rFonts w:ascii="Arial" w:hAnsi="Arial" w:cs="Arial"/>
        </w:rPr>
        <w:lastRenderedPageBreak/>
        <w:t>podporou</w:t>
      </w:r>
      <w:r w:rsidRPr="00E37879">
        <w:rPr>
          <w:rFonts w:ascii="Arial" w:hAnsi="Arial" w:cs="Arial"/>
        </w:rPr>
        <w:t xml:space="preserve"> poskytovanou podnikům </w:t>
      </w:r>
      <w:r w:rsidRPr="0032702C">
        <w:rPr>
          <w:rFonts w:ascii="Arial" w:hAnsi="Arial" w:cs="Arial"/>
        </w:rPr>
        <w:t>podmíněnou užitím domácích produktů na úkor produktů dovážených;</w:t>
      </w:r>
    </w:p>
    <w:p w14:paraId="23A57128" w14:textId="77777777" w:rsidR="00962296" w:rsidRPr="0032702C"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 xml:space="preserve">v uhelném průmyslu vymezenou </w:t>
      </w:r>
      <w:r>
        <w:rPr>
          <w:rFonts w:ascii="Arial" w:hAnsi="Arial" w:cs="Arial"/>
        </w:rPr>
        <w:t>v rozhodnutí Rady 2010/787/EU (2</w:t>
      </w:r>
      <w:r w:rsidRPr="0032702C">
        <w:rPr>
          <w:rFonts w:ascii="Arial" w:hAnsi="Arial" w:cs="Arial"/>
        </w:rPr>
        <w:t>);</w:t>
      </w:r>
    </w:p>
    <w:p w14:paraId="1CF2C634" w14:textId="77777777" w:rsidR="00962296" w:rsidRPr="0032702C"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provozujícím silniční nákladní dopravu pro cizí potřebu;</w:t>
      </w:r>
    </w:p>
    <w:p w14:paraId="28AA74FC" w14:textId="77777777" w:rsidR="00962296" w:rsidRDefault="00962296" w:rsidP="00FC5AA8">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v obtížích.</w:t>
      </w:r>
      <w:r w:rsidRPr="00BC2712">
        <w:rPr>
          <w:rFonts w:ascii="Arial" w:hAnsi="Arial" w:cs="Arial"/>
        </w:rPr>
        <w:t xml:space="preserve"> </w:t>
      </w:r>
    </w:p>
    <w:p w14:paraId="2E56B4F3" w14:textId="7593400C" w:rsidR="00962296" w:rsidRPr="00760DB7" w:rsidRDefault="00962296" w:rsidP="00FC5AA8">
      <w:pPr>
        <w:pStyle w:val="Odstavecseseznamem"/>
        <w:numPr>
          <w:ilvl w:val="0"/>
          <w:numId w:val="17"/>
        </w:numPr>
        <w:ind w:left="567" w:hanging="567"/>
        <w:jc w:val="both"/>
        <w:rPr>
          <w:rFonts w:ascii="Arial" w:hAnsi="Arial" w:cs="Arial"/>
        </w:rPr>
      </w:pPr>
      <w:r w:rsidRPr="00760DB7">
        <w:rPr>
          <w:rFonts w:ascii="Arial" w:hAnsi="Arial" w:cs="Arial"/>
        </w:rPr>
        <w:t xml:space="preserve">Příjemce se zavazuje zajistit, aby úhrn podpor </w:t>
      </w:r>
      <w:r w:rsidRPr="00E52B21">
        <w:rPr>
          <w:rFonts w:ascii="Arial" w:hAnsi="Arial" w:cs="Arial"/>
          <w:i/>
        </w:rPr>
        <w:t xml:space="preserve">de </w:t>
      </w:r>
      <w:proofErr w:type="spellStart"/>
      <w:r w:rsidRPr="00E52B21">
        <w:rPr>
          <w:rFonts w:ascii="Arial" w:hAnsi="Arial" w:cs="Arial"/>
          <w:i/>
        </w:rPr>
        <w:t>minimis</w:t>
      </w:r>
      <w:proofErr w:type="spellEnd"/>
      <w:r w:rsidRPr="00E52B21">
        <w:rPr>
          <w:rFonts w:ascii="Arial" w:hAnsi="Arial" w:cs="Arial"/>
          <w:i/>
        </w:rPr>
        <w:t xml:space="preserve"> </w:t>
      </w:r>
      <w:r w:rsidRPr="00E52B21">
        <w:rPr>
          <w:rFonts w:ascii="Arial" w:hAnsi="Arial" w:cs="Arial"/>
        </w:rPr>
        <w:t xml:space="preserve">poskytnutých příjemci a jakýmkoliv subjektům, se kterými tvoří jeden podnik </w:t>
      </w:r>
      <w:r>
        <w:rPr>
          <w:rFonts w:ascii="Arial" w:hAnsi="Arial" w:cs="Arial"/>
        </w:rPr>
        <w:t>ve smyslu</w:t>
      </w:r>
      <w:r w:rsidRPr="00760DB7">
        <w:rPr>
          <w:rFonts w:ascii="Arial" w:hAnsi="Arial" w:cs="Arial"/>
        </w:rPr>
        <w:t xml:space="preserve"> Nařízení Komise (EU) č. 1407/2013 ze dne 18. prosince 2013 o použití článků 107 a 108 Smlouvy o fungování Evropské unie na podporu de </w:t>
      </w:r>
      <w:proofErr w:type="spellStart"/>
      <w:r w:rsidRPr="00760DB7">
        <w:rPr>
          <w:rFonts w:ascii="Arial" w:hAnsi="Arial" w:cs="Arial"/>
        </w:rPr>
        <w:t>minimis</w:t>
      </w:r>
      <w:proofErr w:type="spellEnd"/>
      <w:r w:rsidRPr="00760DB7">
        <w:rPr>
          <w:rFonts w:ascii="Arial" w:hAnsi="Arial" w:cs="Arial"/>
        </w:rPr>
        <w:t xml:space="preserve">, </w:t>
      </w:r>
      <w:proofErr w:type="spellStart"/>
      <w:r w:rsidRPr="00760DB7">
        <w:rPr>
          <w:rFonts w:ascii="Arial" w:hAnsi="Arial" w:cs="Arial"/>
        </w:rPr>
        <w:t>Úř</w:t>
      </w:r>
      <w:proofErr w:type="spellEnd"/>
      <w:r w:rsidRPr="00760DB7">
        <w:rPr>
          <w:rFonts w:ascii="Arial" w:hAnsi="Arial" w:cs="Arial"/>
        </w:rPr>
        <w:t xml:space="preserve">. </w:t>
      </w:r>
      <w:proofErr w:type="spellStart"/>
      <w:proofErr w:type="gramStart"/>
      <w:r w:rsidRPr="00760DB7">
        <w:rPr>
          <w:rFonts w:ascii="Arial" w:hAnsi="Arial" w:cs="Arial"/>
        </w:rPr>
        <w:t>věst</w:t>
      </w:r>
      <w:proofErr w:type="spellEnd"/>
      <w:proofErr w:type="gramEnd"/>
      <w:r w:rsidRPr="00760DB7">
        <w:rPr>
          <w:rFonts w:ascii="Arial" w:hAnsi="Arial" w:cs="Arial"/>
        </w:rPr>
        <w:t xml:space="preserve">. L 352, 24. 12. 2013, s. 1—8, v relevantním období nepřesáhl celkový limit podpory dle </w:t>
      </w:r>
      <w:r w:rsidR="00566D58">
        <w:rPr>
          <w:rFonts w:ascii="Arial" w:hAnsi="Arial" w:cs="Arial"/>
        </w:rPr>
        <w:t>n</w:t>
      </w:r>
      <w:r w:rsidR="00566D58" w:rsidRPr="00760DB7">
        <w:rPr>
          <w:rFonts w:ascii="Arial" w:hAnsi="Arial" w:cs="Arial"/>
        </w:rPr>
        <w:t>ařízení</w:t>
      </w:r>
      <w:r w:rsidRPr="00760DB7">
        <w:rPr>
          <w:rFonts w:ascii="Arial" w:hAnsi="Arial" w:cs="Arial"/>
        </w:rPr>
        <w:t>.</w:t>
      </w:r>
    </w:p>
    <w:p w14:paraId="4F689A1B" w14:textId="6F85D4D5" w:rsidR="00962296" w:rsidRPr="00400B37" w:rsidRDefault="00962296" w:rsidP="00FC5AA8">
      <w:pPr>
        <w:pStyle w:val="Odstavecseseznamem"/>
        <w:numPr>
          <w:ilvl w:val="0"/>
          <w:numId w:val="17"/>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FC5AA8">
        <w:rPr>
          <w:rStyle w:val="Znakapoznpodarou"/>
          <w:rFonts w:ascii="Arial" w:hAnsi="Arial" w:cs="Arial"/>
        </w:rPr>
        <w:footnoteReference w:id="20"/>
      </w:r>
      <w:r>
        <w:rPr>
          <w:rFonts w:ascii="Arial" w:hAnsi="Arial" w:cs="Arial"/>
        </w:rPr>
        <w:t xml:space="preserve"> informovat po</w:t>
      </w:r>
      <w:r w:rsidR="00A27D34">
        <w:rPr>
          <w:rFonts w:ascii="Arial" w:hAnsi="Arial" w:cs="Arial"/>
        </w:rPr>
        <w:t>skytovatele o </w:t>
      </w:r>
      <w:r>
        <w:rPr>
          <w:rFonts w:ascii="Arial" w:hAnsi="Arial" w:cs="Arial"/>
        </w:rPr>
        <w:t xml:space="preserve">jakýchkoliv změnách týkajících se vymezení příjemce jakožto </w:t>
      </w:r>
      <w:r w:rsidR="00A27D34">
        <w:rPr>
          <w:rFonts w:ascii="Arial" w:hAnsi="Arial" w:cs="Arial"/>
        </w:rPr>
        <w:t>"jednoho podniku" ve smyslu čl. </w:t>
      </w:r>
      <w:r>
        <w:rPr>
          <w:rFonts w:ascii="Arial" w:hAnsi="Arial" w:cs="Arial"/>
        </w:rPr>
        <w:t xml:space="preserve">2 odst. 2 Nařízení Komise (EU) č. 1407/2013 ze dne 18. prosince 2013 o použití článků 107 a 108 Smlouvy o fungování Evropské unie na podporu de </w:t>
      </w:r>
      <w:proofErr w:type="spellStart"/>
      <w:r>
        <w:rPr>
          <w:rFonts w:ascii="Arial" w:hAnsi="Arial" w:cs="Arial"/>
        </w:rPr>
        <w:t>minimis</w:t>
      </w:r>
      <w:proofErr w:type="spellEnd"/>
      <w:r>
        <w:rPr>
          <w:rFonts w:ascii="Arial" w:hAnsi="Arial" w:cs="Arial"/>
        </w:rPr>
        <w:t xml:space="preserve">, </w:t>
      </w:r>
      <w:proofErr w:type="spellStart"/>
      <w:r>
        <w:rPr>
          <w:rFonts w:ascii="Arial" w:hAnsi="Arial" w:cs="Arial"/>
        </w:rPr>
        <w:t>Úř</w:t>
      </w:r>
      <w:proofErr w:type="spellEnd"/>
      <w:r>
        <w:rPr>
          <w:rFonts w:ascii="Arial" w:hAnsi="Arial" w:cs="Arial"/>
        </w:rPr>
        <w:t xml:space="preserve">. </w:t>
      </w:r>
      <w:proofErr w:type="spellStart"/>
      <w:proofErr w:type="gramStart"/>
      <w:r>
        <w:rPr>
          <w:rFonts w:ascii="Arial" w:hAnsi="Arial" w:cs="Arial"/>
        </w:rPr>
        <w:t>věst</w:t>
      </w:r>
      <w:proofErr w:type="spellEnd"/>
      <w:proofErr w:type="gramEnd"/>
      <w:r>
        <w:rPr>
          <w:rFonts w:ascii="Arial" w:hAnsi="Arial" w:cs="Arial"/>
        </w:rPr>
        <w:t>. L 352, 24. 12. 2013, s. 1-8 a relevantního výkladu tohoto ustanovení, včetně jakýchkoliv přeměn příjemce, relevantních nabytí/zvýšení majetkové účasti na jiných subjektech apod.</w:t>
      </w:r>
      <w:r w:rsidRPr="00400B37">
        <w:rPr>
          <w:rFonts w:ascii="Arial" w:hAnsi="Arial" w:cs="Arial"/>
        </w:rPr>
        <w:t xml:space="preserve"> </w:t>
      </w:r>
      <w:r w:rsidRPr="00BC2712">
        <w:rPr>
          <w:rFonts w:ascii="Arial" w:hAnsi="Arial" w:cs="Arial"/>
        </w:rPr>
        <w:t>Příjemce se zavazuje po dobu realizace projektu a jeho udržitelnosti</w:t>
      </w:r>
      <w:r w:rsidRPr="003C330B">
        <w:rPr>
          <w:rStyle w:val="Znakapoznpodarou"/>
          <w:rFonts w:ascii="Arial" w:hAnsi="Arial" w:cs="Arial"/>
          <w:sz w:val="16"/>
        </w:rPr>
        <w:footnoteReference w:id="21"/>
      </w:r>
      <w:r w:rsidRPr="00BC2712">
        <w:rPr>
          <w:rFonts w:ascii="Arial" w:hAnsi="Arial" w:cs="Arial"/>
        </w:rPr>
        <w:t xml:space="preserve"> zachovat stávající charakter svých činností tak, aby po tuto dobu byly naplněny předpoklady prvního odstavce tohoto článku.</w:t>
      </w:r>
    </w:p>
    <w:p w14:paraId="7AECD0C0" w14:textId="2B1796DD" w:rsidR="00962296" w:rsidRDefault="00962296" w:rsidP="00FC5AA8">
      <w:pPr>
        <w:pStyle w:val="Odstavecseseznamem"/>
        <w:numPr>
          <w:ilvl w:val="0"/>
          <w:numId w:val="17"/>
        </w:numPr>
        <w:ind w:left="567" w:hanging="567"/>
        <w:jc w:val="both"/>
        <w:rPr>
          <w:rFonts w:ascii="Arial" w:hAnsi="Arial" w:cs="Arial"/>
        </w:rPr>
      </w:pPr>
      <w:r w:rsidRPr="00BC2712">
        <w:rPr>
          <w:rFonts w:ascii="Arial" w:hAnsi="Arial" w:cs="Arial"/>
        </w:rPr>
        <w:t>Příjemce se zavazuje dodržovat podmínky poskytnutí dotace ne</w:t>
      </w:r>
      <w:r w:rsidR="00A27D34">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3C330B">
        <w:rPr>
          <w:rStyle w:val="Znakapoznpodarou"/>
          <w:rFonts w:ascii="Arial" w:hAnsi="Arial" w:cs="Arial"/>
          <w:sz w:val="16"/>
        </w:rPr>
        <w:footnoteReference w:id="22"/>
      </w:r>
      <w:r w:rsidRPr="00BC2712">
        <w:rPr>
          <w:rFonts w:ascii="Arial" w:hAnsi="Arial" w:cs="Arial"/>
        </w:rPr>
        <w:t xml:space="preserve"> projektu a zajistit, aby nedošlo k nedovolené veřejné podpoře zejména:</w:t>
      </w:r>
    </w:p>
    <w:p w14:paraId="6A1158DF" w14:textId="77777777" w:rsidR="00962296" w:rsidRDefault="00962296" w:rsidP="00FC5AA8">
      <w:pPr>
        <w:pStyle w:val="Odstavecseseznamem"/>
        <w:numPr>
          <w:ilvl w:val="1"/>
          <w:numId w:val="17"/>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368B5E6B" w14:textId="77777777" w:rsidR="00962296" w:rsidRDefault="00962296" w:rsidP="00FC5AA8">
      <w:pPr>
        <w:pStyle w:val="Odstavecseseznamem"/>
        <w:numPr>
          <w:ilvl w:val="1"/>
          <w:numId w:val="17"/>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1BB20EEF" w14:textId="77777777" w:rsidR="00962296" w:rsidRDefault="00962296" w:rsidP="00FC5AA8">
      <w:pPr>
        <w:pStyle w:val="Odstavecseseznamem"/>
        <w:numPr>
          <w:ilvl w:val="0"/>
          <w:numId w:val="17"/>
        </w:numPr>
        <w:ind w:left="567" w:hanging="567"/>
        <w:jc w:val="both"/>
        <w:rPr>
          <w:rFonts w:ascii="Arial" w:hAnsi="Arial" w:cs="Arial"/>
        </w:rPr>
      </w:pPr>
      <w:r>
        <w:rPr>
          <w:rFonts w:ascii="Arial" w:hAnsi="Arial" w:cs="Arial"/>
        </w:rPr>
        <w:t>Příjemce:</w:t>
      </w:r>
    </w:p>
    <w:p w14:paraId="18F3950F" w14:textId="6372FA86" w:rsidR="00962296" w:rsidRDefault="00962296" w:rsidP="00FC5AA8">
      <w:pPr>
        <w:pStyle w:val="Odstavecseseznamem"/>
        <w:numPr>
          <w:ilvl w:val="1"/>
          <w:numId w:val="17"/>
        </w:numPr>
        <w:jc w:val="both"/>
        <w:rPr>
          <w:rFonts w:ascii="Arial" w:hAnsi="Arial" w:cs="Arial"/>
        </w:rPr>
      </w:pPr>
      <w:r>
        <w:rPr>
          <w:rFonts w:ascii="Arial" w:hAnsi="Arial" w:cs="Arial"/>
        </w:rPr>
        <w:t>není oprávněn podporu dle této smlouvy kumulovat s</w:t>
      </w:r>
      <w:r w:rsidRPr="005C0D89">
        <w:rPr>
          <w:rFonts w:ascii="Arial" w:hAnsi="Arial" w:cs="Arial"/>
        </w:rPr>
        <w:t xml:space="preserve"> </w:t>
      </w:r>
      <w:r>
        <w:rPr>
          <w:rFonts w:ascii="Arial" w:hAnsi="Arial" w:cs="Arial"/>
        </w:rPr>
        <w:t>veřejnou</w:t>
      </w:r>
      <w:r w:rsidRPr="005C0D89">
        <w:rPr>
          <w:rFonts w:ascii="Arial" w:hAnsi="Arial" w:cs="Arial"/>
        </w:rPr>
        <w:t xml:space="preserve"> podporou na tytéž způsobilé </w:t>
      </w:r>
      <w:r>
        <w:rPr>
          <w:rFonts w:ascii="Arial" w:hAnsi="Arial" w:cs="Arial"/>
        </w:rPr>
        <w:t>výdaje</w:t>
      </w:r>
      <w:r w:rsidRPr="005C0D89">
        <w:rPr>
          <w:rFonts w:ascii="Arial" w:hAnsi="Arial" w:cs="Arial"/>
        </w:rPr>
        <w:t>, pokud by taková kumulace zvýšila intenzitu podpory nad míru intenzity, která je pro specifické okolnosti každého</w:t>
      </w:r>
      <w:r w:rsidR="00A27D34">
        <w:rPr>
          <w:rFonts w:ascii="Arial" w:hAnsi="Arial" w:cs="Arial"/>
        </w:rPr>
        <w:t xml:space="preserve"> případu stanovena v nařízení o </w:t>
      </w:r>
      <w:r w:rsidRPr="005C0D89">
        <w:rPr>
          <w:rFonts w:ascii="Arial" w:hAnsi="Arial" w:cs="Arial"/>
        </w:rPr>
        <w:t>blokové v</w:t>
      </w:r>
      <w:r>
        <w:rPr>
          <w:rFonts w:ascii="Arial" w:hAnsi="Arial" w:cs="Arial"/>
        </w:rPr>
        <w:t>ýjimce nebo v rozhodnutí Komise;</w:t>
      </w:r>
    </w:p>
    <w:p w14:paraId="53AA16B2" w14:textId="77777777" w:rsidR="00962296" w:rsidRDefault="00962296" w:rsidP="00FC5AA8">
      <w:pPr>
        <w:pStyle w:val="Odstavecseseznamem"/>
        <w:numPr>
          <w:ilvl w:val="1"/>
          <w:numId w:val="17"/>
        </w:numPr>
        <w:jc w:val="both"/>
        <w:rPr>
          <w:rFonts w:ascii="Arial" w:hAnsi="Arial" w:cs="Arial"/>
        </w:rPr>
      </w:pPr>
      <w:r>
        <w:rPr>
          <w:rFonts w:ascii="Arial" w:hAnsi="Arial" w:cs="Arial"/>
        </w:rPr>
        <w:t>je oprávněn podporu dle této smlouvy</w:t>
      </w:r>
      <w:r w:rsidRPr="005C0D89">
        <w:rPr>
          <w:rFonts w:ascii="Arial" w:hAnsi="Arial" w:cs="Arial"/>
        </w:rPr>
        <w:t xml:space="preserve"> kumulovat s podporou </w:t>
      </w:r>
      <w:r w:rsidRPr="00435409">
        <w:rPr>
          <w:rFonts w:ascii="Arial" w:hAnsi="Arial" w:cs="Arial"/>
          <w:i/>
        </w:rPr>
        <w:t xml:space="preserve">de </w:t>
      </w:r>
      <w:proofErr w:type="spellStart"/>
      <w:r w:rsidRPr="00435409">
        <w:rPr>
          <w:rFonts w:ascii="Arial" w:hAnsi="Arial" w:cs="Arial"/>
          <w:i/>
        </w:rPr>
        <w:t>minimis</w:t>
      </w:r>
      <w:proofErr w:type="spellEnd"/>
      <w:r w:rsidRPr="005C0D89">
        <w:rPr>
          <w:rFonts w:ascii="Arial" w:hAnsi="Arial" w:cs="Arial"/>
        </w:rPr>
        <w:t xml:space="preserve"> podle jiných nařízení o podpoře </w:t>
      </w:r>
      <w:r w:rsidRPr="00435409">
        <w:rPr>
          <w:rFonts w:ascii="Arial" w:hAnsi="Arial" w:cs="Arial"/>
          <w:i/>
        </w:rPr>
        <w:t xml:space="preserve">de </w:t>
      </w:r>
      <w:proofErr w:type="spellStart"/>
      <w:r w:rsidRPr="00435409">
        <w:rPr>
          <w:rFonts w:ascii="Arial" w:hAnsi="Arial" w:cs="Arial"/>
          <w:i/>
        </w:rPr>
        <w:t>minimis</w:t>
      </w:r>
      <w:proofErr w:type="spellEnd"/>
      <w:r w:rsidRPr="005C0D89">
        <w:rPr>
          <w:rFonts w:ascii="Arial" w:hAnsi="Arial" w:cs="Arial"/>
        </w:rPr>
        <w:t xml:space="preserve"> až do </w:t>
      </w:r>
      <w:r>
        <w:rPr>
          <w:rFonts w:ascii="Arial" w:hAnsi="Arial" w:cs="Arial"/>
        </w:rPr>
        <w:t>částky 500.000,- EUR v relevantním tříletém účetním období;</w:t>
      </w:r>
    </w:p>
    <w:p w14:paraId="3F3597FC" w14:textId="77777777" w:rsidR="00962296" w:rsidRDefault="00962296" w:rsidP="00FC5AA8">
      <w:pPr>
        <w:pStyle w:val="Odstavecseseznamem"/>
        <w:numPr>
          <w:ilvl w:val="1"/>
          <w:numId w:val="17"/>
        </w:numPr>
        <w:jc w:val="both"/>
        <w:rPr>
          <w:rFonts w:ascii="Arial" w:hAnsi="Arial" w:cs="Arial"/>
        </w:rPr>
      </w:pPr>
      <w:r>
        <w:rPr>
          <w:rFonts w:ascii="Arial" w:hAnsi="Arial" w:cs="Arial"/>
        </w:rPr>
        <w:t>není oprávněn podporu dle této smlouvy</w:t>
      </w:r>
      <w:r w:rsidRPr="005C0D89">
        <w:rPr>
          <w:rFonts w:ascii="Arial" w:hAnsi="Arial" w:cs="Arial"/>
        </w:rPr>
        <w:t xml:space="preserve"> kumulovat s žádnou vyrovnávací platbou na tutéž službu obecného hospodářského zájmu bez ohledu na to, zda tato vyrovnávací platba představuje, nebo nepředstavuje </w:t>
      </w:r>
      <w:r>
        <w:rPr>
          <w:rFonts w:ascii="Arial" w:hAnsi="Arial" w:cs="Arial"/>
        </w:rPr>
        <w:t>veřejnou</w:t>
      </w:r>
      <w:r w:rsidRPr="005C0D89">
        <w:rPr>
          <w:rFonts w:ascii="Arial" w:hAnsi="Arial" w:cs="Arial"/>
        </w:rPr>
        <w:t xml:space="preserve"> podporu.</w:t>
      </w:r>
    </w:p>
    <w:p w14:paraId="3E0282DA" w14:textId="061478EA" w:rsidR="00232369" w:rsidRDefault="00962296" w:rsidP="00FC5AA8">
      <w:pPr>
        <w:pStyle w:val="Odstavecseseznamem"/>
        <w:numPr>
          <w:ilvl w:val="0"/>
          <w:numId w:val="17"/>
        </w:numPr>
        <w:jc w:val="both"/>
      </w:pPr>
      <w:r w:rsidRPr="00435409">
        <w:rPr>
          <w:rFonts w:ascii="Arial" w:hAnsi="Arial" w:cs="Arial"/>
        </w:rPr>
        <w:t>Příjemce si je vědom skutečnosti, že porušení pravidel veřejné podpory zakládá obecnou povinnost vrátit veřejnou podporu v souladu s právem EU</w:t>
      </w:r>
      <w:r w:rsidRPr="003C330B">
        <w:rPr>
          <w:rFonts w:ascii="Arial" w:hAnsi="Arial" w:cs="Arial"/>
          <w:sz w:val="16"/>
          <w:szCs w:val="16"/>
          <w:vertAlign w:val="superscript"/>
        </w:rPr>
        <w:footnoteReference w:id="23"/>
      </w:r>
      <w:r w:rsidRPr="00435409">
        <w:rPr>
          <w:rFonts w:ascii="Arial" w:hAnsi="Arial" w:cs="Arial"/>
          <w:vertAlign w:val="superscript"/>
        </w:rPr>
        <w:t xml:space="preserve"> </w:t>
      </w:r>
      <w:r w:rsidRPr="00435409">
        <w:rPr>
          <w:rFonts w:ascii="Arial" w:hAnsi="Arial" w:cs="Arial"/>
        </w:rPr>
        <w:t>a navazujícími předpisy ČR</w:t>
      </w:r>
      <w:r w:rsidRPr="003C330B">
        <w:rPr>
          <w:rFonts w:ascii="Arial" w:hAnsi="Arial" w:cs="Arial"/>
          <w:sz w:val="16"/>
          <w:szCs w:val="16"/>
          <w:vertAlign w:val="superscript"/>
        </w:rPr>
        <w:footnoteReference w:id="24"/>
      </w:r>
      <w:r w:rsidRPr="00962296">
        <w:rPr>
          <w:rFonts w:ascii="Arial" w:hAnsi="Arial" w:cs="Arial"/>
        </w:rPr>
        <w:t>.</w:t>
      </w:r>
    </w:p>
    <w:p w14:paraId="0162B453" w14:textId="77777777" w:rsidR="006574C2" w:rsidRDefault="006574C2">
      <w:pPr>
        <w:widowControl w:val="0"/>
        <w:tabs>
          <w:tab w:val="left" w:pos="0"/>
        </w:tabs>
        <w:ind w:left="566" w:right="72" w:hangingChars="283" w:hanging="566"/>
        <w:jc w:val="both"/>
        <w:rPr>
          <w:rFonts w:ascii="Arial" w:hAnsi="Arial" w:cs="Arial"/>
          <w:snapToGrid w:val="0"/>
          <w:szCs w:val="24"/>
        </w:rPr>
      </w:pPr>
    </w:p>
    <w:p w14:paraId="5D2F512E" w14:textId="77777777" w:rsidR="00962296" w:rsidRPr="009045A0" w:rsidRDefault="00962296" w:rsidP="00FF0BD3">
      <w:pPr>
        <w:keepNext/>
        <w:rPr>
          <w:rFonts w:ascii="Arial" w:hAnsi="Arial" w:cs="Arial"/>
          <w:b/>
          <w:highlight w:val="yellow"/>
        </w:rPr>
      </w:pPr>
      <w:r w:rsidRPr="009045A0">
        <w:rPr>
          <w:rFonts w:ascii="Arial" w:hAnsi="Arial" w:cs="Arial"/>
          <w:b/>
          <w:highlight w:val="yellow"/>
        </w:rPr>
        <w:t>Varianta</w:t>
      </w:r>
    </w:p>
    <w:p w14:paraId="7B4A2BC5" w14:textId="77777777" w:rsidR="00962296" w:rsidRDefault="00962296" w:rsidP="00FF0BD3">
      <w:pPr>
        <w:jc w:val="both"/>
        <w:rPr>
          <w:rFonts w:ascii="Arial" w:hAnsi="Arial" w:cs="Arial"/>
          <w:b/>
        </w:rPr>
      </w:pPr>
      <w:r w:rsidRPr="009045A0">
        <w:rPr>
          <w:rFonts w:ascii="Arial" w:hAnsi="Arial" w:cs="Arial"/>
          <w:b/>
          <w:highlight w:val="yellow"/>
        </w:rPr>
        <w:t xml:space="preserve">Režim veřejné podpory slučitelné s vnitřním trhem bez nutnosti notifikace Evropské komisi </w:t>
      </w:r>
      <w:r w:rsidRPr="009045A0">
        <w:rPr>
          <w:rFonts w:ascii="Arial" w:hAnsi="Arial" w:cs="Arial"/>
          <w:b/>
          <w:highlight w:val="yellow"/>
        </w:rPr>
        <w:br/>
        <w:t>v režimu vyrovnávací platby na služby obecného hospodářského zájmu dle Rozhodnutí SGEI - varianta přistoupení k existujícímu pověření SGEI</w:t>
      </w:r>
    </w:p>
    <w:p w14:paraId="677E3181" w14:textId="77777777" w:rsidR="00962296" w:rsidRDefault="00962296" w:rsidP="00962296">
      <w:pPr>
        <w:rPr>
          <w:rFonts w:ascii="Arial" w:hAnsi="Arial" w:cs="Arial"/>
          <w:b/>
        </w:rPr>
      </w:pPr>
    </w:p>
    <w:p w14:paraId="6F3E1553" w14:textId="5A45557B" w:rsidR="00962296" w:rsidRDefault="00962296" w:rsidP="00FC5AA8">
      <w:pPr>
        <w:pStyle w:val="Odstavecseseznamem"/>
        <w:numPr>
          <w:ilvl w:val="0"/>
          <w:numId w:val="19"/>
        </w:numPr>
        <w:jc w:val="both"/>
        <w:rPr>
          <w:rFonts w:ascii="Arial" w:hAnsi="Arial" w:cs="Arial"/>
        </w:rPr>
      </w:pPr>
      <w:r w:rsidRPr="00E54DF7">
        <w:rPr>
          <w:rFonts w:ascii="Arial" w:hAnsi="Arial" w:cs="Arial"/>
          <w:b/>
        </w:rPr>
        <w:lastRenderedPageBreak/>
        <w:t xml:space="preserve">Režim podpory. </w:t>
      </w:r>
      <w:r w:rsidRPr="00E54DF7">
        <w:rPr>
          <w:rFonts w:ascii="Arial" w:hAnsi="Arial" w:cs="Arial"/>
        </w:rPr>
        <w:t>Podpora projektu se poskytuje v režimu vyrovnávací platby za závazek realizace služeb obecného hospodářského zájmu dle Rozhod</w:t>
      </w:r>
      <w:r w:rsidR="00A27D34">
        <w:rPr>
          <w:rFonts w:ascii="Arial" w:hAnsi="Arial" w:cs="Arial"/>
        </w:rPr>
        <w:t>nutí Komise ze dne 20. prosince </w:t>
      </w:r>
      <w:r w:rsidRPr="00E54DF7">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w:t>
      </w:r>
      <w:r w:rsidRPr="000C0D1C">
        <w:rPr>
          <w:rFonts w:ascii="Arial" w:hAnsi="Arial" w:cs="Arial"/>
        </w:rPr>
        <w:t xml:space="preserve">ého zájmu, </w:t>
      </w:r>
      <w:proofErr w:type="spellStart"/>
      <w:r w:rsidRPr="000C0D1C">
        <w:rPr>
          <w:rFonts w:ascii="Arial" w:hAnsi="Arial" w:cs="Arial"/>
        </w:rPr>
        <w:t>Úř</w:t>
      </w:r>
      <w:proofErr w:type="spellEnd"/>
      <w:r w:rsidRPr="000C0D1C">
        <w:rPr>
          <w:rFonts w:ascii="Arial" w:hAnsi="Arial" w:cs="Arial"/>
        </w:rPr>
        <w:t xml:space="preserve">. </w:t>
      </w:r>
      <w:proofErr w:type="spellStart"/>
      <w:proofErr w:type="gramStart"/>
      <w:r w:rsidRPr="000C0D1C">
        <w:rPr>
          <w:rFonts w:ascii="Arial" w:hAnsi="Arial" w:cs="Arial"/>
        </w:rPr>
        <w:t>věst</w:t>
      </w:r>
      <w:proofErr w:type="spellEnd"/>
      <w:proofErr w:type="gramEnd"/>
      <w:r w:rsidRPr="000C0D1C">
        <w:rPr>
          <w:rFonts w:ascii="Arial" w:hAnsi="Arial" w:cs="Arial"/>
        </w:rPr>
        <w:t>. L 7, 11.</w:t>
      </w:r>
      <w:r w:rsidR="007164F0">
        <w:rPr>
          <w:rFonts w:ascii="Arial" w:hAnsi="Arial" w:cs="Arial"/>
        </w:rPr>
        <w:t xml:space="preserve"> </w:t>
      </w:r>
      <w:r w:rsidRPr="000C0D1C">
        <w:rPr>
          <w:rFonts w:ascii="Arial" w:hAnsi="Arial" w:cs="Arial"/>
        </w:rPr>
        <w:t>1.</w:t>
      </w:r>
      <w:r w:rsidR="007164F0">
        <w:rPr>
          <w:rFonts w:ascii="Arial" w:hAnsi="Arial" w:cs="Arial"/>
        </w:rPr>
        <w:t xml:space="preserve"> </w:t>
      </w:r>
      <w:r w:rsidRPr="000C0D1C">
        <w:rPr>
          <w:rFonts w:ascii="Arial" w:hAnsi="Arial" w:cs="Arial"/>
        </w:rPr>
        <w:t xml:space="preserve">2012, s. 3—10, (dále také jen a "Rozhodnutí SGEI"). Smluvní strany prohlašují, že podpora projektu dle této smlouvy nezahrnuje vyrovnávací platbu </w:t>
      </w:r>
      <w:r>
        <w:rPr>
          <w:rFonts w:ascii="Arial" w:hAnsi="Arial" w:cs="Arial"/>
        </w:rPr>
        <w:t xml:space="preserve">za </w:t>
      </w:r>
      <w:r w:rsidRPr="00E54DF7">
        <w:rPr>
          <w:rFonts w:ascii="Arial" w:hAnsi="Arial" w:cs="Arial"/>
        </w:rPr>
        <w:t>závazek veřejné služby poskytovan</w:t>
      </w:r>
      <w:r>
        <w:rPr>
          <w:rFonts w:ascii="Arial" w:hAnsi="Arial" w:cs="Arial"/>
        </w:rPr>
        <w:t>ou</w:t>
      </w:r>
      <w:r w:rsidRPr="00E54DF7">
        <w:rPr>
          <w:rFonts w:ascii="Arial" w:hAnsi="Arial" w:cs="Arial"/>
        </w:rPr>
        <w:t xml:space="preserve"> podnikům v odvětví pozemní dopravy</w:t>
      </w:r>
      <w:r>
        <w:rPr>
          <w:rFonts w:ascii="Arial" w:hAnsi="Arial" w:cs="Arial"/>
        </w:rPr>
        <w:t xml:space="preserve">. </w:t>
      </w:r>
    </w:p>
    <w:p w14:paraId="3BC50DD5" w14:textId="42263237" w:rsidR="00962296" w:rsidRDefault="00962296" w:rsidP="00FC5AA8">
      <w:pPr>
        <w:pStyle w:val="Odstavecseseznamem"/>
        <w:numPr>
          <w:ilvl w:val="0"/>
          <w:numId w:val="19"/>
        </w:numPr>
        <w:jc w:val="both"/>
        <w:rPr>
          <w:rFonts w:ascii="Arial" w:hAnsi="Arial" w:cs="Arial"/>
        </w:rPr>
      </w:pPr>
      <w:r>
        <w:rPr>
          <w:rFonts w:ascii="Arial" w:hAnsi="Arial" w:cs="Arial"/>
          <w:b/>
        </w:rPr>
        <w:t xml:space="preserve">Přísnější úprava. </w:t>
      </w:r>
      <w:r w:rsidRPr="005375D0">
        <w:rPr>
          <w:rFonts w:ascii="Arial" w:hAnsi="Arial" w:cs="Arial"/>
        </w:rPr>
        <w:t>Ustanovení tohoto článku IX nutno vykládat jako přísnější úpravu podmínek poskytnutí podpory dle této smlouvy, která má přednost před ostatními ustanoveními této smlouvy. Ustanovení této smlouvy budou v mezích možné interpretace vykládána tak, aby nedošlo k nedovolené veřejné podpoře.</w:t>
      </w:r>
    </w:p>
    <w:p w14:paraId="11B087D0" w14:textId="6AD978AA" w:rsidR="00962296" w:rsidRPr="00E80182" w:rsidRDefault="00962296" w:rsidP="00FC5AA8">
      <w:pPr>
        <w:pStyle w:val="Odstavecseseznamem"/>
        <w:numPr>
          <w:ilvl w:val="0"/>
          <w:numId w:val="19"/>
        </w:numPr>
        <w:jc w:val="both"/>
        <w:rPr>
          <w:rFonts w:ascii="Arial" w:hAnsi="Arial" w:cs="Arial"/>
          <w:b/>
        </w:rPr>
      </w:pPr>
      <w:r>
        <w:rPr>
          <w:rFonts w:ascii="Arial" w:hAnsi="Arial" w:cs="Arial"/>
          <w:b/>
        </w:rPr>
        <w:t xml:space="preserve">Pověření SGEI. </w:t>
      </w:r>
      <w:r w:rsidRPr="000C0D1C">
        <w:rPr>
          <w:rFonts w:ascii="Arial" w:hAnsi="Arial" w:cs="Arial"/>
        </w:rPr>
        <w:t xml:space="preserve">Poskytovatel touto smlouvou přistupuje k </w:t>
      </w:r>
      <w:r w:rsidRPr="00A27D34">
        <w:rPr>
          <w:rFonts w:ascii="Arial" w:hAnsi="Arial" w:cs="Arial"/>
          <w:highlight w:val="yellow"/>
        </w:rPr>
        <w:t xml:space="preserve">Pověření k poskytování služby obecného hospodářského zájmu, vydanému příjemci ze strany </w:t>
      </w:r>
      <w:proofErr w:type="gramStart"/>
      <w:r w:rsidR="00C47939">
        <w:rPr>
          <w:rFonts w:ascii="Arial" w:hAnsi="Arial" w:cs="Arial"/>
          <w:highlight w:val="yellow"/>
        </w:rPr>
        <w:t>….. (např.</w:t>
      </w:r>
      <w:proofErr w:type="gramEnd"/>
      <w:r w:rsidR="00C47939">
        <w:rPr>
          <w:rFonts w:ascii="Arial" w:hAnsi="Arial" w:cs="Arial"/>
          <w:highlight w:val="yellow"/>
        </w:rPr>
        <w:t xml:space="preserve"> </w:t>
      </w:r>
      <w:r w:rsidRPr="00A27D34">
        <w:rPr>
          <w:rFonts w:ascii="Arial" w:hAnsi="Arial" w:cs="Arial"/>
          <w:highlight w:val="yellow"/>
        </w:rPr>
        <w:t>hl. m. Prahy</w:t>
      </w:r>
      <w:r w:rsidR="00C47939" w:rsidRPr="00C268D3">
        <w:rPr>
          <w:rFonts w:ascii="Arial" w:hAnsi="Arial" w:cs="Arial"/>
          <w:highlight w:val="yellow"/>
        </w:rPr>
        <w:t xml:space="preserve"> / městské části hl. m. Prahy / Ministerstva práce a sociálních věcí ČR /příp. jiného subjektu)</w:t>
      </w:r>
      <w:r w:rsidRPr="00A27D34">
        <w:rPr>
          <w:rFonts w:ascii="Arial" w:hAnsi="Arial" w:cs="Arial"/>
          <w:highlight w:val="yellow"/>
        </w:rPr>
        <w:t xml:space="preserve"> dne … pod čj. </w:t>
      </w:r>
      <w:proofErr w:type="gramStart"/>
      <w:r w:rsidRPr="00A27D34">
        <w:rPr>
          <w:rFonts w:ascii="Arial" w:hAnsi="Arial" w:cs="Arial"/>
          <w:highlight w:val="yellow"/>
        </w:rPr>
        <w:t>…,</w:t>
      </w:r>
      <w:r w:rsidRPr="00E80182">
        <w:rPr>
          <w:rFonts w:ascii="Arial" w:hAnsi="Arial" w:cs="Arial"/>
        </w:rPr>
        <w:t xml:space="preserve">  (dále</w:t>
      </w:r>
      <w:proofErr w:type="gramEnd"/>
      <w:r w:rsidRPr="00E80182">
        <w:rPr>
          <w:rFonts w:ascii="Arial" w:hAnsi="Arial" w:cs="Arial"/>
        </w:rPr>
        <w:t xml:space="preserve"> také jen „pověření SGEI“) s tím, že finanční podpora z OP PPR poskytnutá na základě této smlouvy tvoří nedílnou součást jednotné vyrovnávací platby hrazené příjemci.</w:t>
      </w:r>
    </w:p>
    <w:p w14:paraId="3C56EB76" w14:textId="6BBA12B1" w:rsidR="00962296" w:rsidRPr="00E80182" w:rsidRDefault="00962296" w:rsidP="00FC5AA8">
      <w:pPr>
        <w:pStyle w:val="Odstavecseseznamem"/>
        <w:numPr>
          <w:ilvl w:val="0"/>
          <w:numId w:val="19"/>
        </w:numPr>
        <w:jc w:val="both"/>
        <w:rPr>
          <w:rFonts w:ascii="Arial" w:hAnsi="Arial" w:cs="Arial"/>
          <w:b/>
        </w:rPr>
      </w:pPr>
      <w:r w:rsidRPr="00E80182">
        <w:rPr>
          <w:rFonts w:ascii="Arial" w:hAnsi="Arial" w:cs="Arial"/>
          <w:b/>
        </w:rPr>
        <w:t xml:space="preserve">Závazek veřejné služby. </w:t>
      </w:r>
      <w:r w:rsidRPr="00E80182">
        <w:rPr>
          <w:rFonts w:ascii="Arial" w:hAnsi="Arial" w:cs="Arial"/>
        </w:rPr>
        <w:t xml:space="preserve">Podpora poskytnutá na základě této smlouvy tvoří dílčí část vyrovnávací platby a slouží zejména ke krytí investičních nákladů k pořízení investice nezbytné k poskytování služby obecného hospodářského zájmu, jejíž obsah je vymezen v pověření (dále také jen "SGEI"). Příjemce je povinen zajistit, aby investice pořízená z finanční podpory na základě této smlouvy byla i po celou dobu </w:t>
      </w:r>
      <w:r w:rsidR="00566D58" w:rsidRPr="00E80182">
        <w:rPr>
          <w:rFonts w:ascii="Arial" w:hAnsi="Arial" w:cs="Arial"/>
        </w:rPr>
        <w:t>její kalkulované životnosti</w:t>
      </w:r>
      <w:r w:rsidRPr="00E80182">
        <w:rPr>
          <w:rFonts w:ascii="Arial" w:hAnsi="Arial" w:cs="Arial"/>
        </w:rPr>
        <w:t xml:space="preserve">, která </w:t>
      </w:r>
      <w:proofErr w:type="gramStart"/>
      <w:r w:rsidRPr="00E80182">
        <w:rPr>
          <w:rFonts w:ascii="Arial" w:hAnsi="Arial" w:cs="Arial"/>
        </w:rPr>
        <w:t xml:space="preserve">činí </w:t>
      </w:r>
      <w:r w:rsidRPr="00A27D34">
        <w:rPr>
          <w:rFonts w:ascii="Arial" w:hAnsi="Arial" w:cs="Arial"/>
          <w:highlight w:val="yellow"/>
        </w:rPr>
        <w:t>....</w:t>
      </w:r>
      <w:r w:rsidRPr="00E80182">
        <w:rPr>
          <w:rFonts w:ascii="Arial" w:hAnsi="Arial" w:cs="Arial"/>
        </w:rPr>
        <w:t xml:space="preserve"> let</w:t>
      </w:r>
      <w:proofErr w:type="gramEnd"/>
      <w:r w:rsidRPr="00E80182">
        <w:rPr>
          <w:rFonts w:ascii="Arial" w:hAnsi="Arial" w:cs="Arial"/>
        </w:rPr>
        <w:t xml:space="preserve"> od jejího pořízení, tj. i po skončení realizace projektu využívána v souladu s účelem, za jakým byla pořízena. Porušení této povinnosti je považováno za porušení rozpočtové kázně </w:t>
      </w:r>
      <w:r>
        <w:rPr>
          <w:rFonts w:ascii="Arial" w:hAnsi="Arial" w:cs="Arial"/>
        </w:rPr>
        <w:t xml:space="preserve">ve výši </w:t>
      </w:r>
      <w:r w:rsidR="00C47939">
        <w:rPr>
          <w:rFonts w:ascii="Arial" w:hAnsi="Arial" w:cs="Arial"/>
        </w:rPr>
        <w:t xml:space="preserve">0 - 100 % z poskytnuté finanční podpory </w:t>
      </w:r>
      <w:r w:rsidR="00B10C52">
        <w:rPr>
          <w:rFonts w:ascii="Arial" w:hAnsi="Arial" w:cs="Arial"/>
        </w:rPr>
        <w:t>V uvedeném procentním rozmezí bude odvod stanovován dle procenta vycházejícího z výpočtu (</w:t>
      </w:r>
      <w:r w:rsidR="00566D58">
        <w:rPr>
          <w:rFonts w:ascii="Arial" w:hAnsi="Arial" w:cs="Arial"/>
        </w:rPr>
        <w:t>kalkulovaná doba životnosti investice</w:t>
      </w:r>
      <w:r w:rsidR="00566D58" w:rsidDel="00566D58">
        <w:rPr>
          <w:rFonts w:ascii="Arial" w:hAnsi="Arial" w:cs="Arial"/>
        </w:rPr>
        <w:t xml:space="preserve"> </w:t>
      </w:r>
      <w:r w:rsidR="00B10C52">
        <w:rPr>
          <w:rFonts w:ascii="Arial" w:hAnsi="Arial" w:cs="Arial"/>
        </w:rPr>
        <w:t xml:space="preserve">minus celková doba realizace SGEI) děleno </w:t>
      </w:r>
      <w:r w:rsidR="00F43CEA">
        <w:rPr>
          <w:rFonts w:ascii="Arial" w:hAnsi="Arial" w:cs="Arial"/>
        </w:rPr>
        <w:t xml:space="preserve">kalkulovaná </w:t>
      </w:r>
      <w:r w:rsidR="00B10C52">
        <w:rPr>
          <w:rFonts w:ascii="Arial" w:hAnsi="Arial" w:cs="Arial"/>
        </w:rPr>
        <w:t xml:space="preserve">doba </w:t>
      </w:r>
      <w:r w:rsidR="00566D58">
        <w:rPr>
          <w:rFonts w:ascii="Arial" w:hAnsi="Arial" w:cs="Arial"/>
        </w:rPr>
        <w:t xml:space="preserve">životnosti investice </w:t>
      </w:r>
      <w:r w:rsidR="00B10C52">
        <w:rPr>
          <w:rFonts w:ascii="Arial" w:hAnsi="Arial" w:cs="Arial"/>
        </w:rPr>
        <w:t>krát 100.</w:t>
      </w:r>
    </w:p>
    <w:p w14:paraId="6D93F0D8" w14:textId="77777777" w:rsidR="00962296" w:rsidRDefault="00962296" w:rsidP="00FC5AA8">
      <w:pPr>
        <w:pStyle w:val="Odstavecseseznamem"/>
        <w:numPr>
          <w:ilvl w:val="0"/>
          <w:numId w:val="19"/>
        </w:numPr>
        <w:jc w:val="both"/>
        <w:rPr>
          <w:rFonts w:ascii="Arial" w:hAnsi="Arial" w:cs="Arial"/>
          <w:b/>
        </w:rPr>
      </w:pPr>
      <w:r w:rsidRPr="00D43A76">
        <w:rPr>
          <w:rFonts w:ascii="Arial" w:hAnsi="Arial" w:cs="Arial"/>
          <w:b/>
        </w:rPr>
        <w:t>Výhradní práva</w:t>
      </w:r>
      <w:r>
        <w:rPr>
          <w:rFonts w:ascii="Arial" w:hAnsi="Arial" w:cs="Arial"/>
          <w:b/>
        </w:rPr>
        <w:t xml:space="preserve">. </w:t>
      </w:r>
      <w:r>
        <w:rPr>
          <w:rFonts w:ascii="Arial" w:hAnsi="Arial" w:cs="Arial"/>
        </w:rPr>
        <w:t>Touto smlouvou nejsou příjemci udělena žádná výhradní nebo zvláštní práva.</w:t>
      </w:r>
    </w:p>
    <w:p w14:paraId="5F8B8CA5" w14:textId="6AAF59C8" w:rsidR="00962296" w:rsidRPr="00936844" w:rsidRDefault="00962296" w:rsidP="00FC5AA8">
      <w:pPr>
        <w:pStyle w:val="Odstavecseseznamem"/>
        <w:numPr>
          <w:ilvl w:val="0"/>
          <w:numId w:val="19"/>
        </w:numPr>
        <w:jc w:val="both"/>
        <w:rPr>
          <w:rFonts w:ascii="Arial" w:hAnsi="Arial" w:cs="Arial"/>
        </w:rPr>
      </w:pPr>
      <w:r w:rsidRPr="00936844">
        <w:rPr>
          <w:rFonts w:ascii="Arial" w:hAnsi="Arial" w:cs="Arial"/>
        </w:rPr>
        <w:t xml:space="preserve">Příjemce se zavazuje dodržovat podmínky poskytnutí slučitelné podpory a podmínky vyplývající z </w:t>
      </w:r>
      <w:r w:rsidR="008C6960" w:rsidRPr="000C0D1C">
        <w:rPr>
          <w:rFonts w:ascii="Arial" w:hAnsi="Arial" w:cs="Arial"/>
        </w:rPr>
        <w:t>Rozhodnutí SGEI</w:t>
      </w:r>
      <w:r w:rsidR="008C6960" w:rsidRPr="00936844" w:rsidDel="00987510">
        <w:rPr>
          <w:rFonts w:ascii="Arial" w:hAnsi="Arial" w:cs="Arial"/>
        </w:rPr>
        <w:t xml:space="preserve"> </w:t>
      </w:r>
      <w:r w:rsidRPr="00936844">
        <w:rPr>
          <w:rFonts w:ascii="Arial" w:hAnsi="Arial" w:cs="Arial"/>
        </w:rPr>
        <w:t>po celou dobu realizace a udržitelnosti</w:t>
      </w:r>
      <w:r w:rsidRPr="00E13BB1">
        <w:rPr>
          <w:rFonts w:ascii="Arial" w:hAnsi="Arial" w:cs="Arial"/>
          <w:sz w:val="16"/>
          <w:szCs w:val="16"/>
          <w:vertAlign w:val="superscript"/>
        </w:rPr>
        <w:footnoteReference w:id="25"/>
      </w:r>
      <w:r w:rsidRPr="00562F24">
        <w:rPr>
          <w:rFonts w:ascii="Arial" w:hAnsi="Arial" w:cs="Arial"/>
          <w:vertAlign w:val="superscript"/>
        </w:rPr>
        <w:t xml:space="preserve"> </w:t>
      </w:r>
      <w:r w:rsidRPr="00936844">
        <w:rPr>
          <w:rFonts w:ascii="Arial" w:hAnsi="Arial" w:cs="Arial"/>
        </w:rPr>
        <w:t>projektu</w:t>
      </w:r>
      <w:r w:rsidR="00C47939">
        <w:rPr>
          <w:rFonts w:ascii="Arial" w:hAnsi="Arial" w:cs="Arial"/>
        </w:rPr>
        <w:t xml:space="preserve">, </w:t>
      </w:r>
      <w:r w:rsidR="00C47939" w:rsidRPr="007C6BD5">
        <w:rPr>
          <w:rFonts w:ascii="Arial" w:hAnsi="Arial" w:cs="Arial"/>
        </w:rPr>
        <w:t xml:space="preserve">a v následujícím období </w:t>
      </w:r>
      <w:r w:rsidR="00566D58" w:rsidRPr="007C6BD5">
        <w:rPr>
          <w:rFonts w:ascii="Arial" w:hAnsi="Arial" w:cs="Arial"/>
        </w:rPr>
        <w:t xml:space="preserve">kalkulované životnosti </w:t>
      </w:r>
      <w:r w:rsidR="00C47939" w:rsidRPr="007C6BD5">
        <w:rPr>
          <w:rFonts w:ascii="Arial" w:hAnsi="Arial" w:cs="Arial"/>
        </w:rPr>
        <w:t xml:space="preserve">dle odstavce </w:t>
      </w:r>
      <w:r w:rsidR="00C47939">
        <w:rPr>
          <w:rFonts w:ascii="Arial" w:hAnsi="Arial" w:cs="Arial"/>
        </w:rPr>
        <w:t>4</w:t>
      </w:r>
      <w:r w:rsidRPr="00936844">
        <w:rPr>
          <w:rFonts w:ascii="Arial" w:hAnsi="Arial" w:cs="Arial"/>
        </w:rPr>
        <w:t xml:space="preserve"> a zajistit, aby nedošlo k nedovolené veřejné podpoře zejména:</w:t>
      </w:r>
    </w:p>
    <w:p w14:paraId="079F91A7" w14:textId="77777777" w:rsidR="00962296" w:rsidRDefault="00962296" w:rsidP="00FC5AA8">
      <w:pPr>
        <w:pStyle w:val="Odstavecseseznamem"/>
        <w:numPr>
          <w:ilvl w:val="1"/>
          <w:numId w:val="19"/>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0FA362E0" w14:textId="77777777" w:rsidR="00962296" w:rsidRPr="00E80182" w:rsidRDefault="00962296" w:rsidP="00FC5AA8">
      <w:pPr>
        <w:pStyle w:val="Odstavecseseznamem"/>
        <w:numPr>
          <w:ilvl w:val="1"/>
          <w:numId w:val="19"/>
        </w:numPr>
        <w:ind w:left="993" w:hanging="284"/>
        <w:jc w:val="both"/>
        <w:rPr>
          <w:rFonts w:ascii="Arial" w:hAnsi="Arial" w:cs="Arial"/>
        </w:rPr>
      </w:pPr>
      <w:r w:rsidRPr="00E80182">
        <w:rPr>
          <w:rFonts w:ascii="Arial" w:hAnsi="Arial" w:cs="Arial"/>
        </w:rPr>
        <w:t>ve vztahu příjemce a dalších subjektů (zabránění jakékoliv tzv. nepřímé veřejné podpoře - zvýhodnění podniků - třetích stran v souvislosti s poskytnutím dotace dle této smlouvy).</w:t>
      </w:r>
    </w:p>
    <w:p w14:paraId="0A14EF7D" w14:textId="188977A0" w:rsidR="00962296" w:rsidRPr="00E80182" w:rsidRDefault="00962296" w:rsidP="00FC5AA8">
      <w:pPr>
        <w:pStyle w:val="Odstavecseseznamem"/>
        <w:numPr>
          <w:ilvl w:val="0"/>
          <w:numId w:val="19"/>
        </w:numPr>
        <w:jc w:val="both"/>
        <w:rPr>
          <w:rFonts w:ascii="Arial" w:hAnsi="Arial" w:cs="Arial"/>
        </w:rPr>
      </w:pPr>
      <w:r w:rsidRPr="00E80182">
        <w:rPr>
          <w:rFonts w:ascii="Arial" w:hAnsi="Arial" w:cs="Arial"/>
          <w:b/>
        </w:rPr>
        <w:t xml:space="preserve">Zvláštní podmínky. </w:t>
      </w:r>
      <w:r w:rsidRPr="00E80182">
        <w:rPr>
          <w:rFonts w:ascii="Arial" w:hAnsi="Arial" w:cs="Arial"/>
        </w:rPr>
        <w:t xml:space="preserve">Podpora dle této smlouvy se poskytuje na pokrytí vybraných nákladů SGEI. Příjemci z této smlouvy nevyplývá žádný nárok financování nad rámec této smlouvy </w:t>
      </w:r>
      <w:r>
        <w:rPr>
          <w:rFonts w:ascii="Arial" w:hAnsi="Arial" w:cs="Arial"/>
        </w:rPr>
        <w:br/>
      </w:r>
      <w:r w:rsidRPr="00E80182">
        <w:rPr>
          <w:rFonts w:ascii="Arial" w:hAnsi="Arial" w:cs="Arial"/>
        </w:rPr>
        <w:t xml:space="preserve">a zejména ani žádný nárok nebo příslib financování provozu nebo investic po zbylou dobu životnosti projektu. Zajištění financování a prodlužování, obnovování, či získání nových dílčích pověření po dobu trvání závazku veřejné služby dle odst. 4 je v plném rozsahu odpovědností příjemce. Po skončení realizace projektu se příjemce zavazuje </w:t>
      </w:r>
      <w:r w:rsidR="00566D58" w:rsidRPr="00E80182">
        <w:rPr>
          <w:rFonts w:ascii="Arial" w:hAnsi="Arial" w:cs="Arial"/>
        </w:rPr>
        <w:t>osobě, která mu udělila</w:t>
      </w:r>
      <w:r w:rsidRPr="00E80182">
        <w:rPr>
          <w:rFonts w:ascii="Arial" w:hAnsi="Arial" w:cs="Arial"/>
        </w:rPr>
        <w:t xml:space="preserve"> pověření SGEI nahlásit údaje o podpoře - </w:t>
      </w:r>
      <w:r w:rsidR="008C6960">
        <w:rPr>
          <w:rFonts w:ascii="Arial" w:hAnsi="Arial" w:cs="Arial"/>
        </w:rPr>
        <w:t>výši poskytnuté finanční podpory</w:t>
      </w:r>
      <w:r w:rsidR="008C6960" w:rsidRPr="00E80182" w:rsidDel="008C6960">
        <w:rPr>
          <w:rFonts w:ascii="Arial" w:hAnsi="Arial" w:cs="Arial"/>
        </w:rPr>
        <w:t xml:space="preserve"> </w:t>
      </w:r>
      <w:r w:rsidRPr="00E80182">
        <w:rPr>
          <w:rFonts w:ascii="Arial" w:hAnsi="Arial" w:cs="Arial"/>
        </w:rPr>
        <w:t xml:space="preserve">dle této smlouvy </w:t>
      </w:r>
      <w:r w:rsidR="00FF0BD3">
        <w:rPr>
          <w:rFonts w:ascii="Arial" w:hAnsi="Arial" w:cs="Arial"/>
        </w:rPr>
        <w:br/>
      </w:r>
      <w:r w:rsidRPr="00E80182">
        <w:rPr>
          <w:rFonts w:ascii="Arial" w:hAnsi="Arial" w:cs="Arial"/>
        </w:rPr>
        <w:t xml:space="preserve">a zajistit, </w:t>
      </w:r>
      <w:r w:rsidRPr="005375D0">
        <w:rPr>
          <w:rFonts w:ascii="Arial" w:hAnsi="Arial" w:cs="Arial"/>
        </w:rPr>
        <w:t xml:space="preserve">aby </w:t>
      </w:r>
      <w:r w:rsidR="008C6960" w:rsidRPr="005375D0">
        <w:rPr>
          <w:rFonts w:ascii="Arial" w:hAnsi="Arial" w:cs="Arial"/>
        </w:rPr>
        <w:t>výš</w:t>
      </w:r>
      <w:r w:rsidR="009A429C" w:rsidRPr="005375D0">
        <w:rPr>
          <w:rFonts w:ascii="Arial" w:hAnsi="Arial" w:cs="Arial"/>
        </w:rPr>
        <w:t>e</w:t>
      </w:r>
      <w:r w:rsidR="008C6960" w:rsidRPr="005375D0">
        <w:rPr>
          <w:rFonts w:ascii="Arial" w:hAnsi="Arial" w:cs="Arial"/>
        </w:rPr>
        <w:t xml:space="preserve"> poskytnuté finanční podpory</w:t>
      </w:r>
      <w:r w:rsidR="008C6960" w:rsidRPr="005375D0" w:rsidDel="008C6960">
        <w:rPr>
          <w:rFonts w:ascii="Arial" w:hAnsi="Arial" w:cs="Arial"/>
        </w:rPr>
        <w:t xml:space="preserve"> </w:t>
      </w:r>
      <w:r w:rsidRPr="00E80182">
        <w:rPr>
          <w:rFonts w:ascii="Arial" w:hAnsi="Arial" w:cs="Arial"/>
        </w:rPr>
        <w:t xml:space="preserve">dle této smlouvy byla zohledněna v kalkulaci vyrovnávací platby dle </w:t>
      </w:r>
      <w:r w:rsidR="008C6960">
        <w:rPr>
          <w:rFonts w:ascii="Arial" w:hAnsi="Arial" w:cs="Arial"/>
        </w:rPr>
        <w:t>pověření SGEI</w:t>
      </w:r>
      <w:r w:rsidR="008C6960" w:rsidRPr="00E80182">
        <w:rPr>
          <w:rFonts w:ascii="Arial" w:hAnsi="Arial" w:cs="Arial"/>
        </w:rPr>
        <w:t xml:space="preserve"> </w:t>
      </w:r>
      <w:r w:rsidRPr="00E80182">
        <w:rPr>
          <w:rFonts w:ascii="Arial" w:hAnsi="Arial" w:cs="Arial"/>
        </w:rPr>
        <w:t>po celou dobu udržitelnosti</w:t>
      </w:r>
      <w:r w:rsidR="00566D58">
        <w:rPr>
          <w:rStyle w:val="Znakapoznpodarou"/>
          <w:rFonts w:ascii="Arial" w:hAnsi="Arial" w:cs="Arial"/>
        </w:rPr>
        <w:footnoteReference w:id="26"/>
      </w:r>
      <w:r w:rsidRPr="00E80182">
        <w:rPr>
          <w:rFonts w:ascii="Arial" w:hAnsi="Arial" w:cs="Arial"/>
        </w:rPr>
        <w:t xml:space="preserve"> a </w:t>
      </w:r>
      <w:r w:rsidRPr="002430D1">
        <w:rPr>
          <w:rFonts w:ascii="Arial" w:hAnsi="Arial" w:cs="Arial"/>
        </w:rPr>
        <w:t xml:space="preserve">ve zbývající části </w:t>
      </w:r>
      <w:r w:rsidR="00566D58" w:rsidRPr="00E80182">
        <w:rPr>
          <w:rFonts w:ascii="Arial" w:hAnsi="Arial" w:cs="Arial"/>
        </w:rPr>
        <w:t>kalkulované doby životnosti</w:t>
      </w:r>
      <w:r w:rsidRPr="002430D1">
        <w:rPr>
          <w:rFonts w:ascii="Arial" w:hAnsi="Arial" w:cs="Arial"/>
        </w:rPr>
        <w:t xml:space="preserve"> dle odstavce </w:t>
      </w:r>
      <w:r w:rsidR="008C6960" w:rsidRPr="002430D1">
        <w:rPr>
          <w:rFonts w:ascii="Arial" w:hAnsi="Arial" w:cs="Arial"/>
        </w:rPr>
        <w:t>4</w:t>
      </w:r>
      <w:r w:rsidRPr="002430D1">
        <w:rPr>
          <w:rFonts w:ascii="Arial" w:hAnsi="Arial" w:cs="Arial"/>
        </w:rPr>
        <w:t>.</w:t>
      </w:r>
      <w:r w:rsidRPr="00E80182">
        <w:rPr>
          <w:rFonts w:ascii="Arial" w:hAnsi="Arial" w:cs="Arial"/>
        </w:rPr>
        <w:t xml:space="preserve"> Příjemce se zavazuje </w:t>
      </w:r>
      <w:r w:rsidR="008C6960">
        <w:rPr>
          <w:rFonts w:ascii="Arial" w:hAnsi="Arial" w:cs="Arial"/>
        </w:rPr>
        <w:t>po celou dobu udržitelnosti</w:t>
      </w:r>
      <w:r w:rsidR="008C6960">
        <w:rPr>
          <w:rStyle w:val="Znakapoznpodarou"/>
          <w:rFonts w:ascii="Arial" w:hAnsi="Arial" w:cs="Arial"/>
        </w:rPr>
        <w:footnoteReference w:id="27"/>
      </w:r>
      <w:r w:rsidR="008C6960">
        <w:rPr>
          <w:rFonts w:ascii="Arial" w:hAnsi="Arial" w:cs="Arial"/>
        </w:rPr>
        <w:t xml:space="preserve"> </w:t>
      </w:r>
      <w:r w:rsidRPr="00E80182">
        <w:rPr>
          <w:rFonts w:ascii="Arial" w:hAnsi="Arial" w:cs="Arial"/>
        </w:rPr>
        <w:t>předkládat poskytovateli o stavu plnění povinnosti</w:t>
      </w:r>
      <w:r w:rsidR="00FC5AA8">
        <w:rPr>
          <w:rFonts w:ascii="Arial" w:hAnsi="Arial" w:cs="Arial"/>
        </w:rPr>
        <w:t xml:space="preserve"> </w:t>
      </w:r>
      <w:r w:rsidRPr="00E80182">
        <w:rPr>
          <w:rFonts w:ascii="Arial" w:hAnsi="Arial" w:cs="Arial"/>
        </w:rPr>
        <w:t xml:space="preserve">dle odst. </w:t>
      </w:r>
      <w:r w:rsidR="008C6960">
        <w:rPr>
          <w:rFonts w:ascii="Arial" w:hAnsi="Arial" w:cs="Arial"/>
        </w:rPr>
        <w:t>4</w:t>
      </w:r>
      <w:r w:rsidR="008C6960" w:rsidRPr="00E80182">
        <w:rPr>
          <w:rFonts w:ascii="Arial" w:hAnsi="Arial" w:cs="Arial"/>
        </w:rPr>
        <w:t xml:space="preserve"> </w:t>
      </w:r>
      <w:r w:rsidRPr="00E80182">
        <w:rPr>
          <w:rFonts w:ascii="Arial" w:hAnsi="Arial" w:cs="Arial"/>
        </w:rPr>
        <w:t xml:space="preserve">každoročně </w:t>
      </w:r>
      <w:r w:rsidR="008C6960" w:rsidRPr="00E80182">
        <w:rPr>
          <w:rFonts w:ascii="Arial" w:hAnsi="Arial" w:cs="Arial"/>
        </w:rPr>
        <w:t>průběžn</w:t>
      </w:r>
      <w:r w:rsidR="008C6960">
        <w:rPr>
          <w:rFonts w:ascii="Arial" w:hAnsi="Arial" w:cs="Arial"/>
        </w:rPr>
        <w:t>é</w:t>
      </w:r>
      <w:r w:rsidR="004F05FC">
        <w:rPr>
          <w:rFonts w:ascii="Arial" w:hAnsi="Arial" w:cs="Arial"/>
        </w:rPr>
        <w:t xml:space="preserve"> zprávy</w:t>
      </w:r>
      <w:r w:rsidR="008C6960">
        <w:rPr>
          <w:rFonts w:ascii="Arial" w:hAnsi="Arial" w:cs="Arial"/>
        </w:rPr>
        <w:t>,</w:t>
      </w:r>
      <w:r w:rsidR="008C6960" w:rsidRPr="00E80182">
        <w:rPr>
          <w:rFonts w:ascii="Arial" w:hAnsi="Arial" w:cs="Arial"/>
        </w:rPr>
        <w:t xml:space="preserve"> po skončení </w:t>
      </w:r>
      <w:r w:rsidR="008C6960">
        <w:rPr>
          <w:rFonts w:ascii="Arial" w:hAnsi="Arial" w:cs="Arial"/>
        </w:rPr>
        <w:t>udržitelnosti</w:t>
      </w:r>
      <w:r w:rsidR="008C6960">
        <w:rPr>
          <w:rStyle w:val="Znakapoznpodarou"/>
          <w:rFonts w:ascii="Arial" w:hAnsi="Arial" w:cs="Arial"/>
        </w:rPr>
        <w:footnoteReference w:id="28"/>
      </w:r>
      <w:r w:rsidR="008C6960">
        <w:rPr>
          <w:rFonts w:ascii="Arial" w:hAnsi="Arial" w:cs="Arial"/>
        </w:rPr>
        <w:t xml:space="preserve"> vždy jednou za 3 roky průběžné zprávy a po skončení pověření SGEI </w:t>
      </w:r>
      <w:r w:rsidR="008C6960">
        <w:rPr>
          <w:rFonts w:ascii="Arial" w:hAnsi="Arial" w:cs="Arial"/>
        </w:rPr>
        <w:lastRenderedPageBreak/>
        <w:t xml:space="preserve">pak </w:t>
      </w:r>
      <w:r w:rsidR="008C6960" w:rsidRPr="00E80182">
        <w:rPr>
          <w:rFonts w:ascii="Arial" w:hAnsi="Arial" w:cs="Arial"/>
        </w:rPr>
        <w:t>souhrnnou zprávu za celé období</w:t>
      </w:r>
      <w:r w:rsidR="008C6960">
        <w:rPr>
          <w:rFonts w:ascii="Arial" w:hAnsi="Arial" w:cs="Arial"/>
        </w:rPr>
        <w:t>, na které bylo vydáno pověření SGEI</w:t>
      </w:r>
      <w:r w:rsidRPr="00E80182">
        <w:rPr>
          <w:rFonts w:ascii="Arial" w:hAnsi="Arial" w:cs="Arial"/>
        </w:rPr>
        <w:t xml:space="preserve">, a to vždy písemně </w:t>
      </w:r>
      <w:r w:rsidR="00670798">
        <w:rPr>
          <w:rFonts w:ascii="Arial" w:hAnsi="Arial" w:cs="Arial"/>
        </w:rPr>
        <w:br/>
      </w:r>
      <w:r w:rsidRPr="00E80182">
        <w:rPr>
          <w:rFonts w:ascii="Arial" w:hAnsi="Arial" w:cs="Arial"/>
        </w:rPr>
        <w:t>v termínu do 4 měsíců po skončení daného účetního období příjemce.</w:t>
      </w:r>
    </w:p>
    <w:p w14:paraId="60344628" w14:textId="77777777" w:rsidR="00962296" w:rsidRDefault="00962296" w:rsidP="00962296">
      <w:pPr>
        <w:jc w:val="both"/>
        <w:rPr>
          <w:rFonts w:ascii="Arial" w:hAnsi="Arial" w:cs="Arial"/>
        </w:rPr>
      </w:pPr>
    </w:p>
    <w:p w14:paraId="50744BC4" w14:textId="77777777" w:rsidR="00962296" w:rsidRDefault="00962296" w:rsidP="00962296">
      <w:pPr>
        <w:rPr>
          <w:b/>
        </w:rPr>
      </w:pPr>
    </w:p>
    <w:p w14:paraId="188B72E0" w14:textId="77777777" w:rsidR="00962296" w:rsidRPr="009045A0" w:rsidRDefault="00962296" w:rsidP="00FF0BD3">
      <w:pPr>
        <w:keepNext/>
        <w:jc w:val="both"/>
        <w:rPr>
          <w:rFonts w:ascii="Arial" w:hAnsi="Arial" w:cs="Arial"/>
          <w:b/>
          <w:highlight w:val="yellow"/>
        </w:rPr>
      </w:pPr>
      <w:r w:rsidRPr="009045A0">
        <w:rPr>
          <w:rFonts w:ascii="Arial" w:hAnsi="Arial" w:cs="Arial"/>
          <w:b/>
          <w:highlight w:val="yellow"/>
        </w:rPr>
        <w:t>Varianta</w:t>
      </w:r>
    </w:p>
    <w:p w14:paraId="38C2B898" w14:textId="77777777" w:rsidR="00962296" w:rsidRDefault="00962296" w:rsidP="00FF0BD3">
      <w:pPr>
        <w:jc w:val="both"/>
        <w:rPr>
          <w:rFonts w:ascii="Arial" w:hAnsi="Arial" w:cs="Arial"/>
          <w:b/>
        </w:rPr>
      </w:pPr>
      <w:r w:rsidRPr="009045A0">
        <w:rPr>
          <w:rFonts w:ascii="Arial" w:hAnsi="Arial" w:cs="Arial"/>
          <w:b/>
          <w:highlight w:val="yellow"/>
        </w:rPr>
        <w:t xml:space="preserve">Režim veřejné podpory slučitelné s vnitřním trhem bez nutnosti notifikace Evropské komisi </w:t>
      </w:r>
      <w:r w:rsidRPr="009045A0">
        <w:rPr>
          <w:rFonts w:ascii="Arial" w:hAnsi="Arial" w:cs="Arial"/>
          <w:b/>
          <w:highlight w:val="yellow"/>
        </w:rPr>
        <w:br/>
        <w:t>v režimu vyrovnávací platby na služby obecného hospodářského zájmu dle Rozhodnutí SGEI - varianta pověření SGEI založeného touto smlouvou</w:t>
      </w:r>
    </w:p>
    <w:p w14:paraId="2130620F" w14:textId="77777777" w:rsidR="00962296" w:rsidRDefault="00962296" w:rsidP="00962296">
      <w:pPr>
        <w:rPr>
          <w:rFonts w:ascii="Arial" w:hAnsi="Arial" w:cs="Arial"/>
          <w:b/>
        </w:rPr>
      </w:pPr>
    </w:p>
    <w:p w14:paraId="582E8DD3" w14:textId="2F30FA14" w:rsidR="00962296" w:rsidRDefault="00962296" w:rsidP="00FC5AA8">
      <w:pPr>
        <w:pStyle w:val="Odstavecseseznamem"/>
        <w:numPr>
          <w:ilvl w:val="0"/>
          <w:numId w:val="20"/>
        </w:numPr>
        <w:jc w:val="both"/>
        <w:rPr>
          <w:rFonts w:ascii="Arial" w:hAnsi="Arial" w:cs="Arial"/>
        </w:rPr>
      </w:pPr>
      <w:r w:rsidRPr="00E54DF7">
        <w:rPr>
          <w:rFonts w:ascii="Arial" w:hAnsi="Arial" w:cs="Arial"/>
          <w:b/>
        </w:rPr>
        <w:t xml:space="preserve">Režim podpory. </w:t>
      </w:r>
      <w:r w:rsidRPr="00E54DF7">
        <w:rPr>
          <w:rFonts w:ascii="Arial" w:hAnsi="Arial" w:cs="Arial"/>
        </w:rPr>
        <w:t>Podpora projektu se poskytuje v režimu vyrovnávací platby za závazek realizace služeb obecného hospodářského zájmu 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w:t>
      </w:r>
      <w:r w:rsidRPr="00744431">
        <w:rPr>
          <w:rFonts w:ascii="Arial" w:hAnsi="Arial" w:cs="Arial"/>
        </w:rPr>
        <w:t xml:space="preserve">ého zájmu, </w:t>
      </w:r>
      <w:proofErr w:type="spellStart"/>
      <w:r w:rsidRPr="00744431">
        <w:rPr>
          <w:rFonts w:ascii="Arial" w:hAnsi="Arial" w:cs="Arial"/>
        </w:rPr>
        <w:t>Úř</w:t>
      </w:r>
      <w:proofErr w:type="spellEnd"/>
      <w:r w:rsidRPr="00744431">
        <w:rPr>
          <w:rFonts w:ascii="Arial" w:hAnsi="Arial" w:cs="Arial"/>
        </w:rPr>
        <w:t xml:space="preserve">. </w:t>
      </w:r>
      <w:proofErr w:type="spellStart"/>
      <w:proofErr w:type="gramStart"/>
      <w:r w:rsidRPr="00744431">
        <w:rPr>
          <w:rFonts w:ascii="Arial" w:hAnsi="Arial" w:cs="Arial"/>
        </w:rPr>
        <w:t>věst</w:t>
      </w:r>
      <w:proofErr w:type="spellEnd"/>
      <w:proofErr w:type="gramEnd"/>
      <w:r w:rsidRPr="00744431">
        <w:rPr>
          <w:rFonts w:ascii="Arial" w:hAnsi="Arial" w:cs="Arial"/>
        </w:rPr>
        <w:t>. L 7, 11.</w:t>
      </w:r>
      <w:r w:rsidR="007164F0">
        <w:rPr>
          <w:rFonts w:ascii="Arial" w:hAnsi="Arial" w:cs="Arial"/>
        </w:rPr>
        <w:t xml:space="preserve"> </w:t>
      </w:r>
      <w:r w:rsidRPr="00744431">
        <w:rPr>
          <w:rFonts w:ascii="Arial" w:hAnsi="Arial" w:cs="Arial"/>
        </w:rPr>
        <w:t>1.</w:t>
      </w:r>
      <w:r w:rsidR="007164F0">
        <w:rPr>
          <w:rFonts w:ascii="Arial" w:hAnsi="Arial" w:cs="Arial"/>
        </w:rPr>
        <w:t xml:space="preserve"> </w:t>
      </w:r>
      <w:r w:rsidRPr="00744431">
        <w:rPr>
          <w:rFonts w:ascii="Arial" w:hAnsi="Arial" w:cs="Arial"/>
        </w:rPr>
        <w:t xml:space="preserve">2012, s. 3—10, (dále také jen a "Rozhodnutí SGEI"). Smluvní strany prohlašují, že podpora projektu dle této smlouvy nezahrnuje vyrovnávací platbu </w:t>
      </w:r>
      <w:r>
        <w:rPr>
          <w:rFonts w:ascii="Arial" w:hAnsi="Arial" w:cs="Arial"/>
        </w:rPr>
        <w:t xml:space="preserve">za </w:t>
      </w:r>
      <w:r w:rsidRPr="00E54DF7">
        <w:rPr>
          <w:rFonts w:ascii="Arial" w:hAnsi="Arial" w:cs="Arial"/>
        </w:rPr>
        <w:t>závazek veřejné služby poskytovan</w:t>
      </w:r>
      <w:r>
        <w:rPr>
          <w:rFonts w:ascii="Arial" w:hAnsi="Arial" w:cs="Arial"/>
        </w:rPr>
        <w:t>ou</w:t>
      </w:r>
      <w:r w:rsidRPr="00E54DF7">
        <w:rPr>
          <w:rFonts w:ascii="Arial" w:hAnsi="Arial" w:cs="Arial"/>
        </w:rPr>
        <w:t xml:space="preserve"> podnikům </w:t>
      </w:r>
      <w:r w:rsidR="00FF0BD3">
        <w:rPr>
          <w:rFonts w:ascii="Arial" w:hAnsi="Arial" w:cs="Arial"/>
        </w:rPr>
        <w:br/>
      </w:r>
      <w:r w:rsidRPr="00E54DF7">
        <w:rPr>
          <w:rFonts w:ascii="Arial" w:hAnsi="Arial" w:cs="Arial"/>
        </w:rPr>
        <w:t>v odvětví pozemní dopravy</w:t>
      </w:r>
      <w:r>
        <w:rPr>
          <w:rFonts w:ascii="Arial" w:hAnsi="Arial" w:cs="Arial"/>
        </w:rPr>
        <w:t xml:space="preserve">. </w:t>
      </w:r>
    </w:p>
    <w:p w14:paraId="0D03B039" w14:textId="251FF25F" w:rsidR="00962296" w:rsidRDefault="00962296" w:rsidP="00FC5AA8">
      <w:pPr>
        <w:pStyle w:val="Odstavecseseznamem"/>
        <w:numPr>
          <w:ilvl w:val="0"/>
          <w:numId w:val="20"/>
        </w:numPr>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 mezích možné interpretace vykládána tak, aby nedošlo k nedovolené veřejné podpoře.</w:t>
      </w:r>
    </w:p>
    <w:p w14:paraId="618C22A4" w14:textId="0D64B386" w:rsidR="00962296" w:rsidRPr="00E00B5C" w:rsidRDefault="00962296" w:rsidP="00FC5AA8">
      <w:pPr>
        <w:pStyle w:val="Odstavecseseznamem"/>
        <w:numPr>
          <w:ilvl w:val="0"/>
          <w:numId w:val="20"/>
        </w:numPr>
        <w:jc w:val="both"/>
        <w:rPr>
          <w:rFonts w:ascii="Arial" w:hAnsi="Arial" w:cs="Arial"/>
          <w:b/>
        </w:rPr>
      </w:pPr>
      <w:r w:rsidRPr="00E00B5C">
        <w:rPr>
          <w:rFonts w:ascii="Arial" w:hAnsi="Arial" w:cs="Arial"/>
          <w:b/>
        </w:rPr>
        <w:t xml:space="preserve">Pověření SGEI. </w:t>
      </w:r>
      <w:r w:rsidRPr="00E00B5C">
        <w:rPr>
          <w:rFonts w:ascii="Arial" w:hAnsi="Arial" w:cs="Arial"/>
        </w:rPr>
        <w:t>Poskytovatel touto smlouvou</w:t>
      </w:r>
      <w:r w:rsidR="00C47939" w:rsidRPr="00E00B5C">
        <w:rPr>
          <w:rFonts w:ascii="Arial" w:hAnsi="Arial" w:cs="Arial"/>
        </w:rPr>
        <w:t>, resp. přílohou č. 3 této smlouvy,</w:t>
      </w:r>
      <w:r w:rsidRPr="00E00B5C">
        <w:rPr>
          <w:rFonts w:ascii="Arial" w:hAnsi="Arial" w:cs="Arial"/>
        </w:rPr>
        <w:t xml:space="preserve"> příjemce pověřuje za dále stanovených podmínek poskytováním veřejné služby jako služby obecného hospodářského zájmu, a to na základě ustanovení čl. 4 Rozhodnutí SGEI s tím, že finanční podpora z OP PPR poskytnutá na základě této smlouvy tvoří nedílnou součást jednotné vyr</w:t>
      </w:r>
      <w:r w:rsidR="00FB101A" w:rsidRPr="00E00B5C">
        <w:rPr>
          <w:rFonts w:ascii="Arial" w:hAnsi="Arial" w:cs="Arial"/>
        </w:rPr>
        <w:t>ovnávací platby hrazené příjemc</w:t>
      </w:r>
      <w:r w:rsidR="00E00B5C" w:rsidRPr="00E00B5C">
        <w:rPr>
          <w:rFonts w:ascii="Arial" w:hAnsi="Arial" w:cs="Arial"/>
        </w:rPr>
        <w:t>i</w:t>
      </w:r>
      <w:r w:rsidRPr="00E00B5C">
        <w:rPr>
          <w:rFonts w:ascii="Arial" w:hAnsi="Arial" w:cs="Arial"/>
        </w:rPr>
        <w:t>.</w:t>
      </w:r>
    </w:p>
    <w:p w14:paraId="5819E6A9" w14:textId="77777777" w:rsidR="00962296" w:rsidRPr="00E80182" w:rsidRDefault="00962296" w:rsidP="00FC5AA8">
      <w:pPr>
        <w:pStyle w:val="Odstavecseseznamem"/>
        <w:numPr>
          <w:ilvl w:val="0"/>
          <w:numId w:val="20"/>
        </w:numPr>
        <w:jc w:val="both"/>
        <w:rPr>
          <w:rFonts w:ascii="Arial" w:hAnsi="Arial" w:cs="Arial"/>
          <w:b/>
        </w:rPr>
      </w:pPr>
      <w:r>
        <w:rPr>
          <w:rFonts w:ascii="Arial" w:hAnsi="Arial" w:cs="Arial"/>
          <w:b/>
        </w:rPr>
        <w:t xml:space="preserve">Předmět služby. </w:t>
      </w:r>
      <w:r>
        <w:rPr>
          <w:rFonts w:ascii="Arial" w:hAnsi="Arial" w:cs="Arial"/>
        </w:rPr>
        <w:t xml:space="preserve">Předmětem služby obecného </w:t>
      </w:r>
      <w:r w:rsidRPr="00E80182">
        <w:rPr>
          <w:rFonts w:ascii="Arial" w:hAnsi="Arial" w:cs="Arial"/>
        </w:rPr>
        <w:t xml:space="preserve">hospodářského zájmu </w:t>
      </w:r>
      <w:proofErr w:type="gramStart"/>
      <w:r w:rsidRPr="00E80182">
        <w:rPr>
          <w:rFonts w:ascii="Arial" w:hAnsi="Arial" w:cs="Arial"/>
        </w:rPr>
        <w:t xml:space="preserve">je </w:t>
      </w:r>
      <w:r w:rsidRPr="00A27D34">
        <w:rPr>
          <w:rFonts w:ascii="Arial" w:hAnsi="Arial" w:cs="Arial"/>
          <w:highlight w:val="yellow"/>
        </w:rPr>
        <w:t>.....</w:t>
      </w:r>
      <w:r w:rsidRPr="00E80182">
        <w:rPr>
          <w:rFonts w:ascii="Arial" w:hAnsi="Arial" w:cs="Arial"/>
        </w:rPr>
        <w:t xml:space="preserve"> (dále</w:t>
      </w:r>
      <w:proofErr w:type="gramEnd"/>
      <w:r w:rsidRPr="00E80182">
        <w:rPr>
          <w:rFonts w:ascii="Arial" w:hAnsi="Arial" w:cs="Arial"/>
        </w:rPr>
        <w:t xml:space="preserve"> také jen "SGEI")</w:t>
      </w:r>
    </w:p>
    <w:p w14:paraId="74B2CF9C" w14:textId="38D335D6" w:rsidR="00962296" w:rsidRPr="00E80182" w:rsidRDefault="00962296" w:rsidP="00FC5AA8">
      <w:pPr>
        <w:pStyle w:val="Odstavecseseznamem"/>
        <w:numPr>
          <w:ilvl w:val="0"/>
          <w:numId w:val="20"/>
        </w:numPr>
        <w:jc w:val="both"/>
        <w:rPr>
          <w:rFonts w:ascii="Arial" w:hAnsi="Arial" w:cs="Arial"/>
          <w:b/>
        </w:rPr>
      </w:pPr>
      <w:r w:rsidRPr="00E80182">
        <w:rPr>
          <w:rFonts w:ascii="Arial" w:hAnsi="Arial" w:cs="Arial"/>
          <w:b/>
        </w:rPr>
        <w:t xml:space="preserve">Závazek veřejné služby. </w:t>
      </w:r>
      <w:r w:rsidRPr="00E80182">
        <w:rPr>
          <w:rFonts w:ascii="Arial" w:hAnsi="Arial" w:cs="Arial"/>
        </w:rPr>
        <w:t xml:space="preserve">Podpora poskytnutá na základě této smlouvy tvoří dílčí část vyrovnávací platby a slouží zejména ke krytí investičních nákladů k pořízení investice nezbytné k poskytování služby obecného hospodářského zájmu, jejíž obsah je vymezen výše. Příjemce je povinen zajistit, aby investice pořízená z finanční podpory na základě této smlouvy byla i po celou dobu </w:t>
      </w:r>
      <w:r w:rsidR="001706FE" w:rsidRPr="00E80182">
        <w:rPr>
          <w:rFonts w:ascii="Arial" w:hAnsi="Arial" w:cs="Arial"/>
        </w:rPr>
        <w:t>její kalkulované životnosti</w:t>
      </w:r>
      <w:r w:rsidRPr="00E80182">
        <w:rPr>
          <w:rFonts w:ascii="Arial" w:hAnsi="Arial" w:cs="Arial"/>
        </w:rPr>
        <w:t xml:space="preserve">, která </w:t>
      </w:r>
      <w:proofErr w:type="gramStart"/>
      <w:r w:rsidRPr="00E80182">
        <w:rPr>
          <w:rFonts w:ascii="Arial" w:hAnsi="Arial" w:cs="Arial"/>
        </w:rPr>
        <w:t xml:space="preserve">činí </w:t>
      </w:r>
      <w:r w:rsidRPr="00A27D34">
        <w:rPr>
          <w:rFonts w:ascii="Arial" w:hAnsi="Arial" w:cs="Arial"/>
          <w:highlight w:val="yellow"/>
        </w:rPr>
        <w:t>....</w:t>
      </w:r>
      <w:r w:rsidRPr="00E80182">
        <w:rPr>
          <w:rFonts w:ascii="Arial" w:hAnsi="Arial" w:cs="Arial"/>
        </w:rPr>
        <w:t xml:space="preserve"> let</w:t>
      </w:r>
      <w:proofErr w:type="gramEnd"/>
      <w:r w:rsidRPr="00E80182">
        <w:rPr>
          <w:rFonts w:ascii="Arial" w:hAnsi="Arial" w:cs="Arial"/>
        </w:rPr>
        <w:t xml:space="preserve"> od jejího pořízení, tj. i po skončení projektu využívána v souladu s účelem, za jakým byla pořízena. Porušení této povinnosti je považováno za porušení rozpočtové kázně </w:t>
      </w:r>
      <w:r>
        <w:rPr>
          <w:rFonts w:ascii="Arial" w:hAnsi="Arial" w:cs="Arial"/>
        </w:rPr>
        <w:t xml:space="preserve">ve výši </w:t>
      </w:r>
      <w:r w:rsidR="00B955B8">
        <w:rPr>
          <w:rFonts w:ascii="Arial" w:hAnsi="Arial" w:cs="Arial"/>
        </w:rPr>
        <w:t>0 - 100 % z poskytnuté finanční podpory</w:t>
      </w:r>
      <w:r w:rsidR="00B955B8" w:rsidRPr="00E80182">
        <w:rPr>
          <w:rFonts w:ascii="Arial" w:hAnsi="Arial" w:cs="Arial"/>
        </w:rPr>
        <w:t>.</w:t>
      </w:r>
      <w:r w:rsidR="00B955B8">
        <w:rPr>
          <w:rFonts w:ascii="Arial" w:hAnsi="Arial" w:cs="Arial"/>
        </w:rPr>
        <w:t xml:space="preserve"> </w:t>
      </w:r>
      <w:r w:rsidR="00F43CEA">
        <w:rPr>
          <w:rFonts w:ascii="Arial" w:hAnsi="Arial" w:cs="Arial"/>
        </w:rPr>
        <w:br/>
      </w:r>
      <w:bookmarkStart w:id="2" w:name="_GoBack"/>
      <w:bookmarkEnd w:id="2"/>
      <w:r w:rsidR="00B10C52">
        <w:rPr>
          <w:rFonts w:ascii="Arial" w:hAnsi="Arial" w:cs="Arial"/>
        </w:rPr>
        <w:t>V uvedeném procentním rozmezí bude odvod stanovován dle procenta vycházejícího z výpočtu (</w:t>
      </w:r>
      <w:r w:rsidR="001706FE">
        <w:rPr>
          <w:rFonts w:ascii="Arial" w:hAnsi="Arial" w:cs="Arial"/>
        </w:rPr>
        <w:t>kalkulovaná doba životnosti investice</w:t>
      </w:r>
      <w:r w:rsidR="001706FE" w:rsidDel="00566D58">
        <w:rPr>
          <w:rFonts w:ascii="Arial" w:hAnsi="Arial" w:cs="Arial"/>
        </w:rPr>
        <w:t xml:space="preserve"> </w:t>
      </w:r>
      <w:r w:rsidR="00B10C52">
        <w:rPr>
          <w:rFonts w:ascii="Arial" w:hAnsi="Arial" w:cs="Arial"/>
        </w:rPr>
        <w:t xml:space="preserve">minus celková doba realizace SGEI) děleno </w:t>
      </w:r>
      <w:r w:rsidR="00F43CEA">
        <w:rPr>
          <w:rFonts w:ascii="Arial" w:hAnsi="Arial" w:cs="Arial"/>
        </w:rPr>
        <w:t xml:space="preserve">kalkulovaná </w:t>
      </w:r>
      <w:r w:rsidR="00B10C52">
        <w:rPr>
          <w:rFonts w:ascii="Arial" w:hAnsi="Arial" w:cs="Arial"/>
        </w:rPr>
        <w:t xml:space="preserve">doba </w:t>
      </w:r>
      <w:r w:rsidR="001706FE">
        <w:rPr>
          <w:rFonts w:ascii="Arial" w:hAnsi="Arial" w:cs="Arial"/>
        </w:rPr>
        <w:t xml:space="preserve">životnosti investice </w:t>
      </w:r>
      <w:r w:rsidR="00B10C52">
        <w:rPr>
          <w:rFonts w:ascii="Arial" w:hAnsi="Arial" w:cs="Arial"/>
        </w:rPr>
        <w:t>krát 100.</w:t>
      </w:r>
    </w:p>
    <w:p w14:paraId="0AD39B4C" w14:textId="77777777" w:rsidR="00962296" w:rsidRDefault="00962296" w:rsidP="00FC5AA8">
      <w:pPr>
        <w:pStyle w:val="Odstavecseseznamem"/>
        <w:numPr>
          <w:ilvl w:val="0"/>
          <w:numId w:val="20"/>
        </w:numPr>
        <w:jc w:val="both"/>
        <w:rPr>
          <w:rFonts w:ascii="Arial" w:hAnsi="Arial" w:cs="Arial"/>
          <w:b/>
        </w:rPr>
      </w:pPr>
      <w:r w:rsidRPr="00E80182">
        <w:rPr>
          <w:rFonts w:ascii="Arial" w:hAnsi="Arial" w:cs="Arial"/>
          <w:b/>
        </w:rPr>
        <w:t xml:space="preserve">Výhradní práva. </w:t>
      </w:r>
      <w:r w:rsidRPr="00E80182">
        <w:rPr>
          <w:rFonts w:ascii="Arial" w:hAnsi="Arial" w:cs="Arial"/>
        </w:rPr>
        <w:t>Touto smlouvou nejsou příjemci udělena žádná výhradní nebo zvláštní</w:t>
      </w:r>
      <w:r>
        <w:rPr>
          <w:rFonts w:ascii="Arial" w:hAnsi="Arial" w:cs="Arial"/>
        </w:rPr>
        <w:t xml:space="preserve"> práva.</w:t>
      </w:r>
    </w:p>
    <w:p w14:paraId="72F95D64" w14:textId="4A5173FC" w:rsidR="00962296" w:rsidRPr="00936844" w:rsidRDefault="00962296" w:rsidP="00FC5AA8">
      <w:pPr>
        <w:pStyle w:val="Odstavecseseznamem"/>
        <w:numPr>
          <w:ilvl w:val="0"/>
          <w:numId w:val="20"/>
        </w:numPr>
        <w:jc w:val="both"/>
        <w:rPr>
          <w:rFonts w:ascii="Arial" w:hAnsi="Arial" w:cs="Arial"/>
        </w:rPr>
      </w:pPr>
      <w:r w:rsidRPr="00936844">
        <w:rPr>
          <w:rFonts w:ascii="Arial" w:hAnsi="Arial" w:cs="Arial"/>
        </w:rPr>
        <w:t xml:space="preserve">Příjemce se zavazuje dodržovat podmínky poskytnutí slučitelné podpory a podmínky vyplývající z </w:t>
      </w:r>
      <w:r w:rsidR="008C6960">
        <w:rPr>
          <w:rFonts w:ascii="Arial" w:hAnsi="Arial" w:cs="Arial"/>
        </w:rPr>
        <w:t>Rozhodnutí SGEI</w:t>
      </w:r>
      <w:r w:rsidR="008C6960" w:rsidRPr="00936844">
        <w:rPr>
          <w:rFonts w:ascii="Arial" w:hAnsi="Arial" w:cs="Arial"/>
        </w:rPr>
        <w:t xml:space="preserve"> </w:t>
      </w:r>
      <w:r w:rsidRPr="00936844">
        <w:rPr>
          <w:rFonts w:ascii="Arial" w:hAnsi="Arial" w:cs="Arial"/>
        </w:rPr>
        <w:t>po celou dobu realizace a udržitelnosti</w:t>
      </w:r>
      <w:r w:rsidRPr="00E13BB1">
        <w:rPr>
          <w:rFonts w:ascii="Arial" w:hAnsi="Arial" w:cs="Arial"/>
          <w:sz w:val="16"/>
          <w:szCs w:val="16"/>
          <w:vertAlign w:val="superscript"/>
        </w:rPr>
        <w:footnoteReference w:id="29"/>
      </w:r>
      <w:r w:rsidRPr="007C6BD5">
        <w:rPr>
          <w:rFonts w:ascii="Arial" w:hAnsi="Arial" w:cs="Arial"/>
          <w:vertAlign w:val="superscript"/>
        </w:rPr>
        <w:t xml:space="preserve"> </w:t>
      </w:r>
      <w:r w:rsidRPr="00936844">
        <w:rPr>
          <w:rFonts w:ascii="Arial" w:hAnsi="Arial" w:cs="Arial"/>
        </w:rPr>
        <w:t>projektu</w:t>
      </w:r>
      <w:r w:rsidR="00C47939">
        <w:rPr>
          <w:rFonts w:ascii="Arial" w:hAnsi="Arial" w:cs="Arial"/>
        </w:rPr>
        <w:t xml:space="preserve">, </w:t>
      </w:r>
      <w:r w:rsidR="00C47939" w:rsidRPr="007C6BD5">
        <w:rPr>
          <w:rFonts w:ascii="Arial" w:hAnsi="Arial" w:cs="Arial"/>
        </w:rPr>
        <w:t xml:space="preserve">a v následujícím období </w:t>
      </w:r>
      <w:r w:rsidR="001706FE" w:rsidRPr="007C6BD5">
        <w:rPr>
          <w:rFonts w:ascii="Arial" w:hAnsi="Arial" w:cs="Arial"/>
        </w:rPr>
        <w:t xml:space="preserve">kalkulované životnosti </w:t>
      </w:r>
      <w:r w:rsidR="00C47939" w:rsidRPr="007C6BD5">
        <w:rPr>
          <w:rFonts w:ascii="Arial" w:hAnsi="Arial" w:cs="Arial"/>
        </w:rPr>
        <w:t>dle odstavce 5</w:t>
      </w:r>
      <w:r w:rsidRPr="00936844">
        <w:rPr>
          <w:rFonts w:ascii="Arial" w:hAnsi="Arial" w:cs="Arial"/>
        </w:rPr>
        <w:t xml:space="preserve"> a zajistit, aby nedošlo k nedovolené veřejné podpoře zejména:</w:t>
      </w:r>
    </w:p>
    <w:p w14:paraId="6380BAAA" w14:textId="77777777" w:rsidR="00962296" w:rsidRDefault="00962296" w:rsidP="00FC5AA8">
      <w:pPr>
        <w:pStyle w:val="Odstavecseseznamem"/>
        <w:numPr>
          <w:ilvl w:val="1"/>
          <w:numId w:val="20"/>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5C85F6FB" w14:textId="77777777" w:rsidR="00962296" w:rsidRPr="007C6BD5" w:rsidRDefault="00962296" w:rsidP="00FC5AA8">
      <w:pPr>
        <w:pStyle w:val="Odstavecseseznamem"/>
        <w:numPr>
          <w:ilvl w:val="1"/>
          <w:numId w:val="20"/>
        </w:numPr>
        <w:ind w:left="993" w:hanging="284"/>
        <w:jc w:val="both"/>
        <w:rPr>
          <w:rFonts w:ascii="Arial" w:hAnsi="Arial" w:cs="Arial"/>
          <w:b/>
        </w:rPr>
      </w:pPr>
      <w:r w:rsidRPr="007C6BD5">
        <w:rPr>
          <w:rFonts w:ascii="Arial" w:hAnsi="Arial" w:cs="Arial"/>
        </w:rPr>
        <w:t>ve vztahu příjemce a dalších subjektů (zabránění jakékoliv tzv. nepřímé veřejné podpoře - zvýhodnění podniků - třetích stran v souvislosti s poskytnutím dotace dle této smlouvy).</w:t>
      </w:r>
    </w:p>
    <w:p w14:paraId="1A60D241" w14:textId="4992B108" w:rsidR="00962296" w:rsidRPr="00567005" w:rsidRDefault="00962296" w:rsidP="00FC5AA8">
      <w:pPr>
        <w:pStyle w:val="Odstavecseseznamem"/>
        <w:numPr>
          <w:ilvl w:val="0"/>
          <w:numId w:val="20"/>
        </w:numPr>
        <w:jc w:val="both"/>
        <w:rPr>
          <w:rFonts w:ascii="Arial" w:hAnsi="Arial" w:cs="Arial"/>
          <w:b/>
        </w:rPr>
      </w:pPr>
      <w:r w:rsidRPr="007C6BD5">
        <w:rPr>
          <w:rFonts w:ascii="Arial" w:hAnsi="Arial" w:cs="Arial"/>
          <w:b/>
        </w:rPr>
        <w:t xml:space="preserve">Zvláštní podmínky. </w:t>
      </w:r>
      <w:r w:rsidRPr="007C6BD5">
        <w:rPr>
          <w:rFonts w:ascii="Arial" w:hAnsi="Arial" w:cs="Arial"/>
        </w:rPr>
        <w:t xml:space="preserve">Podpora dle této smlouvy se poskytuje na pokrytí vybraných nákladů SGEI. Příjemci z této smlouvy nevyplývá žádný nárok financování nad rámec této smlouvy </w:t>
      </w:r>
      <w:r>
        <w:rPr>
          <w:rFonts w:ascii="Arial" w:hAnsi="Arial" w:cs="Arial"/>
        </w:rPr>
        <w:br/>
      </w:r>
      <w:r w:rsidRPr="007C6BD5">
        <w:rPr>
          <w:rFonts w:ascii="Arial" w:hAnsi="Arial" w:cs="Arial"/>
        </w:rPr>
        <w:t xml:space="preserve">a zejména ani žádný nárok nebo příslib financování provozu nebo investic po zbylou dobu životnosti projektu. Zajištění financování, obnovování, či získání nových dílčích pověření po dobu trvání závazku veřejné služby dle odst. 4 je v plném rozsahu odpovědností příjemce. </w:t>
      </w:r>
      <w:r w:rsidR="00FF0BD3">
        <w:rPr>
          <w:rFonts w:ascii="Arial" w:hAnsi="Arial" w:cs="Arial"/>
        </w:rPr>
        <w:br/>
      </w:r>
      <w:r w:rsidRPr="007C6BD5">
        <w:rPr>
          <w:rFonts w:ascii="Arial" w:hAnsi="Arial" w:cs="Arial"/>
        </w:rPr>
        <w:t xml:space="preserve">V případě, že by celková současná hodnota příjmů z realizace SGEI po skončení projektu </w:t>
      </w:r>
      <w:r w:rsidRPr="007C6BD5">
        <w:rPr>
          <w:rFonts w:ascii="Arial" w:hAnsi="Arial" w:cs="Arial"/>
        </w:rPr>
        <w:lastRenderedPageBreak/>
        <w:t>(včetně přijatých vyrovnávacích plateb), po dobu udržitelnosti</w:t>
      </w:r>
      <w:r w:rsidR="00FC5AA8">
        <w:rPr>
          <w:rStyle w:val="Znakapoznpodarou"/>
          <w:rFonts w:ascii="Arial" w:hAnsi="Arial" w:cs="Arial"/>
        </w:rPr>
        <w:footnoteReference w:id="30"/>
      </w:r>
      <w:r w:rsidRPr="007C6BD5">
        <w:rPr>
          <w:rFonts w:ascii="Arial" w:hAnsi="Arial" w:cs="Arial"/>
        </w:rPr>
        <w:t xml:space="preserve"> a v následujícím období </w:t>
      </w:r>
      <w:r w:rsidR="001706FE" w:rsidRPr="007C6BD5">
        <w:rPr>
          <w:rFonts w:ascii="Arial" w:hAnsi="Arial" w:cs="Arial"/>
        </w:rPr>
        <w:t>kalkulované životnosti</w:t>
      </w:r>
      <w:r w:rsidRPr="007C6BD5">
        <w:rPr>
          <w:rFonts w:ascii="Arial" w:hAnsi="Arial" w:cs="Arial"/>
        </w:rPr>
        <w:t xml:space="preserve"> dle odstavce 5 přesáhla celkovou současnou hodnotu nákladů za toto období, zavazuje se příjemce poskytovateli vrátit rozdíl těchto částek jako krácení podpory - v</w:t>
      </w:r>
      <w:r w:rsidRPr="00567005">
        <w:rPr>
          <w:rFonts w:ascii="Arial" w:hAnsi="Arial" w:cs="Arial"/>
        </w:rPr>
        <w:t>yrovnávací platby poskytnuté dle této smlouvy</w:t>
      </w:r>
      <w:r w:rsidR="00C47939">
        <w:rPr>
          <w:rFonts w:ascii="Arial" w:hAnsi="Arial" w:cs="Arial"/>
        </w:rPr>
        <w:t xml:space="preserve">, </w:t>
      </w:r>
      <w:r w:rsidR="00C47939" w:rsidRPr="00A016E1">
        <w:rPr>
          <w:rFonts w:ascii="Arial" w:hAnsi="Arial" w:cs="Arial"/>
        </w:rPr>
        <w:t>resp. příloh</w:t>
      </w:r>
      <w:r w:rsidR="00C47939">
        <w:rPr>
          <w:rFonts w:ascii="Arial" w:hAnsi="Arial" w:cs="Arial"/>
        </w:rPr>
        <w:t>y</w:t>
      </w:r>
      <w:r w:rsidR="00C47939" w:rsidRPr="00A016E1">
        <w:rPr>
          <w:rFonts w:ascii="Arial" w:hAnsi="Arial" w:cs="Arial"/>
        </w:rPr>
        <w:t xml:space="preserve"> č. 3 této smlouvy</w:t>
      </w:r>
      <w:r w:rsidRPr="00567005">
        <w:rPr>
          <w:rFonts w:ascii="Arial" w:hAnsi="Arial" w:cs="Arial"/>
        </w:rPr>
        <w:t xml:space="preserve">. Příjemce se zavazuje </w:t>
      </w:r>
      <w:r w:rsidR="00C47939" w:rsidRPr="00567005">
        <w:rPr>
          <w:rFonts w:ascii="Arial" w:hAnsi="Arial" w:cs="Arial"/>
        </w:rPr>
        <w:t xml:space="preserve">po </w:t>
      </w:r>
      <w:r w:rsidR="00C47939">
        <w:rPr>
          <w:rFonts w:ascii="Arial" w:hAnsi="Arial" w:cs="Arial"/>
        </w:rPr>
        <w:t>celou dobu udržitelnosti</w:t>
      </w:r>
      <w:r w:rsidR="00670798">
        <w:rPr>
          <w:rStyle w:val="Znakapoznpodarou"/>
          <w:rFonts w:ascii="Arial" w:hAnsi="Arial" w:cs="Arial"/>
        </w:rPr>
        <w:footnoteReference w:id="31"/>
      </w:r>
      <w:r w:rsidRPr="00567005">
        <w:rPr>
          <w:rFonts w:ascii="Arial" w:hAnsi="Arial" w:cs="Arial"/>
        </w:rPr>
        <w:t xml:space="preserve"> poskytovat o relevantních parametrech pro případné určení takového krácení a o stavu plnění povinnosti dle odst. 5 každoročně </w:t>
      </w:r>
      <w:r w:rsidR="00C47939" w:rsidRPr="00567005">
        <w:rPr>
          <w:rFonts w:ascii="Arial" w:hAnsi="Arial" w:cs="Arial"/>
        </w:rPr>
        <w:t>průběžn</w:t>
      </w:r>
      <w:r w:rsidR="00C47939">
        <w:rPr>
          <w:rFonts w:ascii="Arial" w:hAnsi="Arial" w:cs="Arial"/>
        </w:rPr>
        <w:t>é</w:t>
      </w:r>
      <w:r w:rsidR="00C47939" w:rsidRPr="00567005">
        <w:rPr>
          <w:rFonts w:ascii="Arial" w:hAnsi="Arial" w:cs="Arial"/>
        </w:rPr>
        <w:t xml:space="preserve"> </w:t>
      </w:r>
      <w:r w:rsidRPr="00567005">
        <w:rPr>
          <w:rFonts w:ascii="Arial" w:hAnsi="Arial" w:cs="Arial"/>
        </w:rPr>
        <w:t>zprávy</w:t>
      </w:r>
      <w:r w:rsidR="00C47939">
        <w:rPr>
          <w:rFonts w:ascii="Arial" w:hAnsi="Arial" w:cs="Arial"/>
        </w:rPr>
        <w:t>,</w:t>
      </w:r>
      <w:r w:rsidR="00C47939" w:rsidRPr="00E80182">
        <w:rPr>
          <w:rFonts w:ascii="Arial" w:hAnsi="Arial" w:cs="Arial"/>
        </w:rPr>
        <w:t xml:space="preserve"> po skončení </w:t>
      </w:r>
      <w:r w:rsidR="00C47939">
        <w:rPr>
          <w:rFonts w:ascii="Arial" w:hAnsi="Arial" w:cs="Arial"/>
        </w:rPr>
        <w:t>udržitelnosti</w:t>
      </w:r>
      <w:r w:rsidR="00C47939">
        <w:rPr>
          <w:rStyle w:val="Znakapoznpodarou"/>
          <w:rFonts w:ascii="Arial" w:hAnsi="Arial" w:cs="Arial"/>
        </w:rPr>
        <w:footnoteReference w:id="32"/>
      </w:r>
      <w:r w:rsidR="00C47939">
        <w:rPr>
          <w:rFonts w:ascii="Arial" w:hAnsi="Arial" w:cs="Arial"/>
        </w:rPr>
        <w:t xml:space="preserve"> vždy jednou za 3 roky průběžné zprávy a po skončení pověření SGEI pak</w:t>
      </w:r>
      <w:r w:rsidR="00C47939" w:rsidRPr="00567005">
        <w:rPr>
          <w:rFonts w:ascii="Arial" w:hAnsi="Arial" w:cs="Arial"/>
        </w:rPr>
        <w:t xml:space="preserve"> souhrnnou zprávu za celé období</w:t>
      </w:r>
      <w:r w:rsidR="00C47939">
        <w:rPr>
          <w:rFonts w:ascii="Arial" w:hAnsi="Arial" w:cs="Arial"/>
        </w:rPr>
        <w:t>, na které bylo vydáno pověření SGEI</w:t>
      </w:r>
      <w:r w:rsidRPr="00567005">
        <w:rPr>
          <w:rFonts w:ascii="Arial" w:hAnsi="Arial" w:cs="Arial"/>
        </w:rPr>
        <w:t xml:space="preserve">, a to vždy </w:t>
      </w:r>
      <w:proofErr w:type="gramStart"/>
      <w:r w:rsidRPr="00567005">
        <w:rPr>
          <w:rFonts w:ascii="Arial" w:hAnsi="Arial" w:cs="Arial"/>
        </w:rPr>
        <w:t>písemně  termínu</w:t>
      </w:r>
      <w:proofErr w:type="gramEnd"/>
      <w:r w:rsidRPr="00567005">
        <w:rPr>
          <w:rFonts w:ascii="Arial" w:hAnsi="Arial" w:cs="Arial"/>
        </w:rPr>
        <w:t xml:space="preserve"> do 4 měsíců po skončení daného účetního období příjemce.</w:t>
      </w:r>
    </w:p>
    <w:p w14:paraId="5F30A8A3" w14:textId="29A542F0" w:rsidR="002317E6" w:rsidRDefault="002317E6">
      <w:pPr>
        <w:widowControl w:val="0"/>
        <w:tabs>
          <w:tab w:val="left" w:pos="0"/>
        </w:tabs>
        <w:ind w:left="566" w:right="72" w:hangingChars="283" w:hanging="566"/>
        <w:jc w:val="both"/>
        <w:rPr>
          <w:rFonts w:ascii="Arial" w:hAnsi="Arial" w:cs="Arial"/>
          <w:snapToGrid w:val="0"/>
          <w:szCs w:val="24"/>
        </w:rPr>
      </w:pPr>
    </w:p>
    <w:p w14:paraId="146E181A" w14:textId="77777777" w:rsidR="00F60BD5" w:rsidRPr="00754BC8" w:rsidRDefault="00F60BD5" w:rsidP="00F60BD5">
      <w:pPr>
        <w:jc w:val="both"/>
        <w:rPr>
          <w:rFonts w:ascii="Arial" w:hAnsi="Arial" w:cs="Arial"/>
          <w:b/>
        </w:rPr>
      </w:pPr>
      <w:r w:rsidRPr="00F60BD5">
        <w:rPr>
          <w:rFonts w:ascii="Arial" w:hAnsi="Arial" w:cs="Arial"/>
          <w:b/>
          <w:highlight w:val="yellow"/>
        </w:rPr>
        <w:t xml:space="preserve">Varianta Režim podpory SGEI nezakládající veřejnou podporu dle Rozsudku </w:t>
      </w:r>
      <w:proofErr w:type="spellStart"/>
      <w:r w:rsidRPr="00F60BD5">
        <w:rPr>
          <w:rFonts w:ascii="Arial" w:hAnsi="Arial" w:cs="Arial"/>
          <w:b/>
          <w:highlight w:val="yellow"/>
        </w:rPr>
        <w:t>Altmark</w:t>
      </w:r>
      <w:proofErr w:type="spellEnd"/>
    </w:p>
    <w:p w14:paraId="5E9F63CD" w14:textId="77777777" w:rsidR="00F60BD5" w:rsidRDefault="00F60BD5" w:rsidP="00F60BD5">
      <w:pPr>
        <w:pStyle w:val="Nadpis2-zprva"/>
        <w:spacing w:before="40" w:after="40"/>
        <w:jc w:val="left"/>
        <w:rPr>
          <w:snapToGrid w:val="0"/>
        </w:rPr>
      </w:pPr>
    </w:p>
    <w:p w14:paraId="0C6C6BF7" w14:textId="77777777" w:rsidR="00C47939" w:rsidRPr="00D57A52" w:rsidRDefault="00C47939" w:rsidP="00FC5AA8">
      <w:pPr>
        <w:pStyle w:val="Nadpis2-zprva"/>
        <w:numPr>
          <w:ilvl w:val="0"/>
          <w:numId w:val="24"/>
        </w:numPr>
        <w:spacing w:before="40" w:after="40"/>
        <w:ind w:left="851" w:hanging="425"/>
        <w:jc w:val="both"/>
        <w:rPr>
          <w:b w:val="0"/>
          <w:bCs w:val="0"/>
          <w:iCs w:val="0"/>
          <w:szCs w:val="20"/>
        </w:rPr>
      </w:pPr>
      <w:r w:rsidRPr="00D1345E">
        <w:rPr>
          <w:b w:val="0"/>
        </w:rPr>
        <w:t xml:space="preserve">Projekt nezakládá veřejnou podporu ve smyslu čl. 107 Smlouvy o fungování Evropské unie </w:t>
      </w:r>
      <w:r w:rsidRPr="00D1345E">
        <w:rPr>
          <w:b w:val="0"/>
        </w:rPr>
        <w:br/>
        <w:t>z důvodu</w:t>
      </w:r>
      <w:r w:rsidRPr="00CE76BC">
        <w:t xml:space="preserve"> </w:t>
      </w:r>
      <w:r w:rsidRPr="004310FF">
        <w:rPr>
          <w:b w:val="0"/>
        </w:rPr>
        <w:t>nenaplnění znaků veřejné podpory</w:t>
      </w:r>
      <w:r>
        <w:rPr>
          <w:b w:val="0"/>
        </w:rPr>
        <w:t xml:space="preserve">, a to </w:t>
      </w:r>
      <w:r w:rsidRPr="00D57A52">
        <w:rPr>
          <w:b w:val="0"/>
          <w:bCs w:val="0"/>
          <w:iCs w:val="0"/>
          <w:szCs w:val="20"/>
        </w:rPr>
        <w:t>naplnění</w:t>
      </w:r>
      <w:r>
        <w:rPr>
          <w:b w:val="0"/>
          <w:bCs w:val="0"/>
          <w:iCs w:val="0"/>
          <w:szCs w:val="20"/>
        </w:rPr>
        <w:t>m</w:t>
      </w:r>
      <w:r w:rsidRPr="00D57A52">
        <w:rPr>
          <w:b w:val="0"/>
          <w:bCs w:val="0"/>
          <w:iCs w:val="0"/>
          <w:szCs w:val="20"/>
        </w:rPr>
        <w:t xml:space="preserve"> všech čtyř podmínek Rozsudku </w:t>
      </w:r>
      <w:proofErr w:type="spellStart"/>
      <w:r w:rsidRPr="00D57A52">
        <w:rPr>
          <w:b w:val="0"/>
          <w:bCs w:val="0"/>
          <w:iCs w:val="0"/>
          <w:szCs w:val="20"/>
        </w:rPr>
        <w:t>Altmark</w:t>
      </w:r>
      <w:proofErr w:type="spellEnd"/>
      <w:r w:rsidRPr="00D57A52">
        <w:rPr>
          <w:b w:val="0"/>
          <w:bCs w:val="0"/>
          <w:iCs w:val="0"/>
          <w:szCs w:val="20"/>
        </w:rPr>
        <w:t>:</w:t>
      </w:r>
    </w:p>
    <w:p w14:paraId="367690E3" w14:textId="77777777" w:rsidR="00C47939" w:rsidRDefault="00C47939" w:rsidP="00FC5AA8">
      <w:pPr>
        <w:pStyle w:val="Nadpis2-zprva"/>
        <w:numPr>
          <w:ilvl w:val="0"/>
          <w:numId w:val="25"/>
        </w:numPr>
        <w:spacing w:before="40" w:after="40"/>
        <w:ind w:left="1418"/>
        <w:jc w:val="both"/>
        <w:rPr>
          <w:b w:val="0"/>
          <w:bCs w:val="0"/>
          <w:iCs w:val="0"/>
          <w:szCs w:val="20"/>
        </w:rPr>
      </w:pPr>
      <w:r w:rsidRPr="00D57A52">
        <w:rPr>
          <w:b w:val="0"/>
          <w:bCs w:val="0"/>
          <w:iCs w:val="0"/>
          <w:szCs w:val="20"/>
        </w:rPr>
        <w:t xml:space="preserve">subjekt, který je příjemcem vyrovnávací platby, musí být výkonem SGEI pověřen, </w:t>
      </w:r>
      <w:r>
        <w:rPr>
          <w:b w:val="0"/>
          <w:bCs w:val="0"/>
          <w:iCs w:val="0"/>
          <w:szCs w:val="20"/>
        </w:rPr>
        <w:br/>
      </w:r>
      <w:r w:rsidRPr="00D57A52">
        <w:rPr>
          <w:b w:val="0"/>
          <w:bCs w:val="0"/>
          <w:iCs w:val="0"/>
          <w:szCs w:val="20"/>
        </w:rPr>
        <w:t>a to jasně vymezeným způsobem;</w:t>
      </w:r>
    </w:p>
    <w:p w14:paraId="7DA12A1B" w14:textId="77777777" w:rsidR="00C47939" w:rsidRDefault="00C47939" w:rsidP="00FC5AA8">
      <w:pPr>
        <w:pStyle w:val="Nadpis2-zprva"/>
        <w:numPr>
          <w:ilvl w:val="0"/>
          <w:numId w:val="25"/>
        </w:numPr>
        <w:spacing w:before="40" w:after="40"/>
        <w:ind w:left="1418"/>
        <w:jc w:val="both"/>
        <w:rPr>
          <w:b w:val="0"/>
          <w:bCs w:val="0"/>
          <w:iCs w:val="0"/>
          <w:szCs w:val="20"/>
        </w:rPr>
      </w:pPr>
      <w:r w:rsidRPr="00697B0F">
        <w:rPr>
          <w:b w:val="0"/>
          <w:bCs w:val="0"/>
          <w:iCs w:val="0"/>
          <w:szCs w:val="20"/>
        </w:rPr>
        <w:t xml:space="preserve">ukazatele pro kalkulaci výše vyrovnávací platby musí být stanoveny předem </w:t>
      </w:r>
      <w:r>
        <w:rPr>
          <w:b w:val="0"/>
          <w:bCs w:val="0"/>
          <w:iCs w:val="0"/>
          <w:szCs w:val="20"/>
        </w:rPr>
        <w:br/>
      </w:r>
      <w:r w:rsidRPr="00697B0F">
        <w:rPr>
          <w:b w:val="0"/>
          <w:bCs w:val="0"/>
          <w:iCs w:val="0"/>
          <w:szCs w:val="20"/>
        </w:rPr>
        <w:t>a</w:t>
      </w:r>
      <w:r>
        <w:rPr>
          <w:b w:val="0"/>
          <w:bCs w:val="0"/>
          <w:iCs w:val="0"/>
          <w:szCs w:val="20"/>
        </w:rPr>
        <w:t xml:space="preserve"> </w:t>
      </w:r>
      <w:r w:rsidRPr="00697B0F">
        <w:rPr>
          <w:b w:val="0"/>
          <w:bCs w:val="0"/>
          <w:iCs w:val="0"/>
          <w:szCs w:val="20"/>
        </w:rPr>
        <w:t>objektivním způsobem;</w:t>
      </w:r>
    </w:p>
    <w:p w14:paraId="2AD93F40" w14:textId="77777777" w:rsidR="00C47939" w:rsidRDefault="00C47939" w:rsidP="00FC5AA8">
      <w:pPr>
        <w:pStyle w:val="Nadpis2-zprva"/>
        <w:numPr>
          <w:ilvl w:val="0"/>
          <w:numId w:val="25"/>
        </w:numPr>
        <w:spacing w:before="40" w:after="40"/>
        <w:ind w:left="1418"/>
        <w:jc w:val="both"/>
        <w:rPr>
          <w:b w:val="0"/>
          <w:bCs w:val="0"/>
          <w:iCs w:val="0"/>
          <w:szCs w:val="20"/>
        </w:rPr>
      </w:pPr>
      <w:r w:rsidRPr="00697B0F">
        <w:rPr>
          <w:b w:val="0"/>
          <w:bCs w:val="0"/>
          <w:iCs w:val="0"/>
          <w:szCs w:val="20"/>
        </w:rPr>
        <w:t xml:space="preserve">výše vyrovnávací platby nesmí překročit náklady vynaložené subjektem při plnění závazku veřejné služby po odečtení příslušných příjmů z tohoto závazku a přičtení přiměřeného zisku (nástroje proti </w:t>
      </w:r>
      <w:proofErr w:type="spellStart"/>
      <w:r w:rsidRPr="00697B0F">
        <w:rPr>
          <w:b w:val="0"/>
          <w:bCs w:val="0"/>
          <w:iCs w:val="0"/>
          <w:szCs w:val="20"/>
        </w:rPr>
        <w:t>překompenzaci</w:t>
      </w:r>
      <w:proofErr w:type="spellEnd"/>
      <w:r w:rsidRPr="00697B0F">
        <w:rPr>
          <w:b w:val="0"/>
          <w:bCs w:val="0"/>
          <w:iCs w:val="0"/>
          <w:szCs w:val="20"/>
        </w:rPr>
        <w:t>); a</w:t>
      </w:r>
    </w:p>
    <w:p w14:paraId="6B5C5463" w14:textId="77777777" w:rsidR="00C47939" w:rsidRPr="00697B0F" w:rsidRDefault="00C47939" w:rsidP="00FC5AA8">
      <w:pPr>
        <w:pStyle w:val="Nadpis2-zprva"/>
        <w:numPr>
          <w:ilvl w:val="0"/>
          <w:numId w:val="25"/>
        </w:numPr>
        <w:spacing w:before="40" w:after="40"/>
        <w:ind w:left="1418"/>
        <w:jc w:val="both"/>
        <w:rPr>
          <w:b w:val="0"/>
          <w:bCs w:val="0"/>
          <w:iCs w:val="0"/>
          <w:szCs w:val="20"/>
        </w:rPr>
      </w:pPr>
      <w:r w:rsidRPr="00697B0F">
        <w:rPr>
          <w:b w:val="0"/>
          <w:bCs w:val="0"/>
          <w:iCs w:val="0"/>
          <w:szCs w:val="20"/>
        </w:rPr>
        <w:t>platí</w:t>
      </w:r>
      <w:r>
        <w:rPr>
          <w:b w:val="0"/>
          <w:bCs w:val="0"/>
          <w:iCs w:val="0"/>
          <w:szCs w:val="20"/>
        </w:rPr>
        <w:t>,</w:t>
      </w:r>
      <w:r w:rsidRPr="00697B0F">
        <w:rPr>
          <w:b w:val="0"/>
          <w:bCs w:val="0"/>
          <w:iCs w:val="0"/>
          <w:szCs w:val="20"/>
        </w:rPr>
        <w:t xml:space="preserve"> že buďto:</w:t>
      </w:r>
    </w:p>
    <w:p w14:paraId="501E4782" w14:textId="77777777" w:rsidR="00C47939" w:rsidRDefault="00C47939" w:rsidP="00FC5AA8">
      <w:pPr>
        <w:pStyle w:val="Nadpis2-zprva"/>
        <w:numPr>
          <w:ilvl w:val="1"/>
          <w:numId w:val="23"/>
        </w:numPr>
        <w:spacing w:before="40" w:after="40"/>
        <w:ind w:left="1843" w:hanging="283"/>
        <w:jc w:val="both"/>
        <w:rPr>
          <w:b w:val="0"/>
          <w:bCs w:val="0"/>
          <w:iCs w:val="0"/>
          <w:szCs w:val="20"/>
        </w:rPr>
      </w:pPr>
      <w:r w:rsidRPr="00D57A52">
        <w:rPr>
          <w:b w:val="0"/>
          <w:bCs w:val="0"/>
          <w:iCs w:val="0"/>
          <w:szCs w:val="20"/>
        </w:rPr>
        <w:t>subjekt pověřený výkonem veřejné služby byl vybrán v rámci výběrového řízení umožňující vybrat zájemce schopného poskytovat tyto služby za nejmenších nákladů; nebo</w:t>
      </w:r>
    </w:p>
    <w:p w14:paraId="34AA35A5" w14:textId="77777777" w:rsidR="00C47939" w:rsidRDefault="00C47939" w:rsidP="00FC5AA8">
      <w:pPr>
        <w:pStyle w:val="Nadpis2-zprva"/>
        <w:numPr>
          <w:ilvl w:val="1"/>
          <w:numId w:val="23"/>
        </w:numPr>
        <w:spacing w:before="40" w:after="40"/>
        <w:ind w:left="1843" w:hanging="283"/>
        <w:jc w:val="both"/>
        <w:rPr>
          <w:b w:val="0"/>
          <w:bCs w:val="0"/>
          <w:iCs w:val="0"/>
          <w:szCs w:val="20"/>
        </w:rPr>
      </w:pPr>
      <w:r w:rsidRPr="00697B0F">
        <w:rPr>
          <w:b w:val="0"/>
          <w:bCs w:val="0"/>
          <w:iCs w:val="0"/>
          <w:szCs w:val="20"/>
        </w:rPr>
        <w:t>kompenzace byla stanovena na základě analýzy nákladů, jež by na výkon veřejné služby vynaložil průměrný, řádně řízený podnik, jež disponuje odpovídajícími technickými prostředky k plnění výkonu dané veřejné služby.</w:t>
      </w:r>
    </w:p>
    <w:p w14:paraId="00D8D89B" w14:textId="77777777" w:rsidR="00C47939" w:rsidRPr="009E413B" w:rsidRDefault="00C47939" w:rsidP="00FC5AA8">
      <w:pPr>
        <w:pStyle w:val="Nadpis2-zprva"/>
        <w:numPr>
          <w:ilvl w:val="0"/>
          <w:numId w:val="24"/>
        </w:numPr>
        <w:spacing w:before="40" w:after="40"/>
        <w:ind w:left="851" w:hanging="425"/>
        <w:jc w:val="both"/>
        <w:rPr>
          <w:b w:val="0"/>
        </w:rPr>
      </w:pPr>
      <w:r w:rsidRPr="004310FF">
        <w:rPr>
          <w:b w:val="0"/>
        </w:rPr>
        <w:t>Příjemce se zavazuje dodržovat podmínky poskytnutí podpory nezakládající veřejnou podporu po celou dobu realizace a udržitelnosti</w:t>
      </w:r>
      <w:r w:rsidRPr="009E413B">
        <w:rPr>
          <w:b w:val="0"/>
          <w:vertAlign w:val="superscript"/>
        </w:rPr>
        <w:footnoteReference w:id="33"/>
      </w:r>
      <w:r w:rsidRPr="009E413B">
        <w:rPr>
          <w:b w:val="0"/>
          <w:vertAlign w:val="superscript"/>
        </w:rPr>
        <w:t xml:space="preserve"> </w:t>
      </w:r>
      <w:r w:rsidRPr="004310FF">
        <w:rPr>
          <w:b w:val="0"/>
        </w:rPr>
        <w:t>projektu a zajistit, aby nedošlo k nedovolené veřejné podpoře zejména:</w:t>
      </w:r>
    </w:p>
    <w:p w14:paraId="19FA67BC" w14:textId="77777777" w:rsidR="00C47939" w:rsidRPr="009E413B" w:rsidRDefault="00C47939" w:rsidP="00FC5AA8">
      <w:pPr>
        <w:pStyle w:val="Odstavecseseznamem"/>
        <w:numPr>
          <w:ilvl w:val="1"/>
          <w:numId w:val="26"/>
        </w:numPr>
        <w:ind w:left="1418"/>
        <w:jc w:val="both"/>
        <w:rPr>
          <w:rFonts w:ascii="Arial" w:hAnsi="Arial" w:cs="Arial"/>
        </w:rPr>
      </w:pPr>
      <w:r w:rsidRPr="00CE76BC">
        <w:rPr>
          <w:rFonts w:ascii="Arial" w:hAnsi="Arial" w:cs="Arial"/>
        </w:rPr>
        <w:t>ve vztahu poskytovatele a příjemce (zejména dodržení podmínek stanovených touto smlouvou);</w:t>
      </w:r>
    </w:p>
    <w:p w14:paraId="366A5E55" w14:textId="77777777" w:rsidR="00C47939" w:rsidRPr="009E413B" w:rsidRDefault="00C47939" w:rsidP="00FC5AA8">
      <w:pPr>
        <w:pStyle w:val="Odstavecseseznamem"/>
        <w:numPr>
          <w:ilvl w:val="1"/>
          <w:numId w:val="26"/>
        </w:numPr>
        <w:ind w:left="1418"/>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Pr>
          <w:rFonts w:ascii="Arial" w:hAnsi="Arial" w:cs="Arial"/>
        </w:rPr>
        <w:t>podpory</w:t>
      </w:r>
      <w:r w:rsidRPr="00CE76BC">
        <w:rPr>
          <w:rFonts w:ascii="Arial" w:hAnsi="Arial" w:cs="Arial"/>
        </w:rPr>
        <w:t xml:space="preserve"> dle této smlouvy).</w:t>
      </w:r>
    </w:p>
    <w:p w14:paraId="29B1A95A" w14:textId="77777777" w:rsidR="00C47939" w:rsidRPr="009E413B" w:rsidRDefault="00C47939" w:rsidP="00FC5AA8">
      <w:pPr>
        <w:pStyle w:val="Nadpis2-zprva"/>
        <w:numPr>
          <w:ilvl w:val="0"/>
          <w:numId w:val="24"/>
        </w:numPr>
        <w:spacing w:before="40" w:after="40"/>
        <w:ind w:left="851" w:hanging="425"/>
        <w:jc w:val="both"/>
        <w:rPr>
          <w:b w:val="0"/>
        </w:rPr>
      </w:pPr>
      <w:r w:rsidRPr="009E413B">
        <w:rPr>
          <w:b w:val="0"/>
        </w:rPr>
        <w:lastRenderedPageBreak/>
        <w:t>Příjemce se zavazuje po dobu realizace projektu a jeho udržitelnosti</w:t>
      </w:r>
      <w:r w:rsidRPr="00875AD1">
        <w:rPr>
          <w:b w:val="0"/>
          <w:vertAlign w:val="superscript"/>
        </w:rPr>
        <w:footnoteReference w:id="34"/>
      </w:r>
      <w:r w:rsidRPr="009E413B">
        <w:rPr>
          <w:b w:val="0"/>
        </w:rPr>
        <w:t xml:space="preserve"> zachovat stávající charakter svých činností tak, aby po tuto dobu byly naplněny před</w:t>
      </w:r>
      <w:r w:rsidRPr="00127311">
        <w:rPr>
          <w:b w:val="0"/>
        </w:rPr>
        <w:t>poklady prvního odstavce tohoto článku.</w:t>
      </w:r>
    </w:p>
    <w:p w14:paraId="64BDF354" w14:textId="77777777" w:rsidR="00C47939" w:rsidRDefault="00C47939" w:rsidP="00FC5AA8">
      <w:pPr>
        <w:pStyle w:val="Nadpis2-zprva"/>
        <w:numPr>
          <w:ilvl w:val="0"/>
          <w:numId w:val="24"/>
        </w:numPr>
        <w:spacing w:before="40" w:after="40"/>
        <w:jc w:val="both"/>
        <w:rPr>
          <w:b w:val="0"/>
        </w:rPr>
      </w:pPr>
      <w:r w:rsidRPr="009E413B">
        <w:rPr>
          <w:b w:val="0"/>
        </w:rPr>
        <w:t>Příjemce si je vědom skutečnosti, že porušení pravidel veřejné podpory zakládá obecnou povinnost vrátit veřejnou podporu v souladu s právem EU</w:t>
      </w:r>
      <w:r w:rsidRPr="004310FF">
        <w:rPr>
          <w:b w:val="0"/>
          <w:vertAlign w:val="superscript"/>
        </w:rPr>
        <w:footnoteReference w:id="35"/>
      </w:r>
      <w:r w:rsidRPr="009E413B">
        <w:rPr>
          <w:b w:val="0"/>
          <w:vertAlign w:val="superscript"/>
        </w:rPr>
        <w:t xml:space="preserve"> </w:t>
      </w:r>
      <w:r w:rsidRPr="009E413B">
        <w:rPr>
          <w:b w:val="0"/>
        </w:rPr>
        <w:t>a navazujícími předpisy ČR</w:t>
      </w:r>
      <w:r w:rsidRPr="004310FF">
        <w:rPr>
          <w:b w:val="0"/>
          <w:vertAlign w:val="superscript"/>
        </w:rPr>
        <w:footnoteReference w:id="36"/>
      </w:r>
      <w:r w:rsidRPr="009E413B">
        <w:rPr>
          <w:b w:val="0"/>
        </w:rPr>
        <w:t>.</w:t>
      </w:r>
    </w:p>
    <w:p w14:paraId="6C68DD63" w14:textId="6AC050D7" w:rsidR="00F60BD5" w:rsidRPr="00697B0F" w:rsidRDefault="00F60BD5" w:rsidP="00FF0BD3">
      <w:pPr>
        <w:pStyle w:val="Nadpis2-zprva"/>
        <w:spacing w:before="40" w:after="40"/>
        <w:ind w:left="993"/>
        <w:jc w:val="both"/>
        <w:rPr>
          <w:b w:val="0"/>
          <w:bCs w:val="0"/>
          <w:iCs w:val="0"/>
          <w:szCs w:val="20"/>
        </w:rPr>
      </w:pPr>
    </w:p>
    <w:p w14:paraId="4405B2FA" w14:textId="77777777" w:rsidR="00F60BD5" w:rsidRDefault="00F60BD5">
      <w:pPr>
        <w:widowControl w:val="0"/>
        <w:tabs>
          <w:tab w:val="left" w:pos="0"/>
        </w:tabs>
        <w:ind w:left="566" w:right="72" w:hangingChars="283" w:hanging="566"/>
        <w:jc w:val="both"/>
        <w:rPr>
          <w:rFonts w:ascii="Arial" w:hAnsi="Arial" w:cs="Arial"/>
          <w:snapToGrid w:val="0"/>
          <w:szCs w:val="24"/>
        </w:rPr>
      </w:pPr>
    </w:p>
    <w:p w14:paraId="68C26202" w14:textId="77777777" w:rsidR="00DD22CB" w:rsidRDefault="00DD22CB">
      <w:pPr>
        <w:pStyle w:val="Nadpis2-zprva"/>
        <w:spacing w:before="40" w:after="40"/>
        <w:jc w:val="left"/>
        <w:rPr>
          <w:snapToGrid w:val="0"/>
        </w:rPr>
      </w:pPr>
    </w:p>
    <w:p w14:paraId="72DB1EBE" w14:textId="77777777" w:rsidR="00962296" w:rsidRDefault="00962296" w:rsidP="00962296">
      <w:pPr>
        <w:pStyle w:val="Nadpis2-zprva"/>
        <w:spacing w:before="40" w:after="40"/>
        <w:rPr>
          <w:snapToGrid w:val="0"/>
        </w:rPr>
      </w:pPr>
      <w:r>
        <w:rPr>
          <w:snapToGrid w:val="0"/>
        </w:rPr>
        <w:t>Článek X.</w:t>
      </w:r>
    </w:p>
    <w:p w14:paraId="5B375628" w14:textId="77777777" w:rsidR="00962296" w:rsidRDefault="00962296" w:rsidP="00962296">
      <w:pPr>
        <w:pStyle w:val="Nadpis2"/>
        <w:spacing w:before="40" w:after="40"/>
      </w:pPr>
      <w:r>
        <w:t xml:space="preserve">Porušení podmínek smlouvy, právních předpisů a sankce </w:t>
      </w:r>
    </w:p>
    <w:p w14:paraId="74F1358A" w14:textId="77777777" w:rsidR="00962296" w:rsidRPr="00586F5B"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 xml:space="preserve">Pokud poskytovatel zjistí, že příjemce nesplnil nebo neplní některou z 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 ve smyslu § 22 zákona č. 250/2000 Sb. </w:t>
      </w:r>
    </w:p>
    <w:p w14:paraId="649FD662" w14:textId="2514CC3F" w:rsidR="00962296" w:rsidRPr="00CE76BC"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w:t>
      </w:r>
      <w:r w:rsidR="00A27D34">
        <w:rPr>
          <w:rFonts w:ascii="Arial" w:hAnsi="Arial" w:cs="Arial"/>
        </w:rPr>
        <w:t xml:space="preserve"> příjemce k navrácení dotace či </w:t>
      </w:r>
      <w:r w:rsidRPr="00CE76BC">
        <w:rPr>
          <w:rFonts w:ascii="Arial" w:hAnsi="Arial" w:cs="Arial"/>
        </w:rPr>
        <w:t>její části ve stanovené lhůtě. V rozsahu, v jakém provedl příjemce nápravu/navrátil dotaci nebo její část, platí, že nedošlo k porušení rozpočtové kázně.</w:t>
      </w:r>
    </w:p>
    <w:p w14:paraId="62F05321" w14:textId="15309429" w:rsidR="00962296" w:rsidRPr="00586F5B" w:rsidRDefault="00962296" w:rsidP="00FC5AA8">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Pr>
          <w:rFonts w:ascii="Arial" w:hAnsi="Arial" w:cs="Arial"/>
        </w:rPr>
        <w:t xml:space="preserve"> že </w:t>
      </w:r>
      <w:r w:rsidRPr="00586F5B">
        <w:rPr>
          <w:rFonts w:ascii="Arial" w:hAnsi="Arial" w:cs="Arial"/>
        </w:rPr>
        <w:t>bylo rozhodnuto</w:t>
      </w:r>
      <w:r>
        <w:rPr>
          <w:rFonts w:ascii="Arial" w:hAnsi="Arial" w:cs="Arial"/>
        </w:rPr>
        <w:t xml:space="preserve"> o </w:t>
      </w:r>
      <w:r w:rsidRPr="00586F5B">
        <w:rPr>
          <w:rFonts w:ascii="Arial" w:hAnsi="Arial" w:cs="Arial"/>
        </w:rPr>
        <w:t>porušení rozpočtové kázně dle zákona</w:t>
      </w:r>
      <w:r>
        <w:rPr>
          <w:rFonts w:ascii="Arial" w:hAnsi="Arial" w:cs="Arial"/>
        </w:rPr>
        <w:t xml:space="preserve"> č. </w:t>
      </w:r>
      <w:r w:rsidRPr="00586F5B">
        <w:rPr>
          <w:rFonts w:ascii="Arial" w:hAnsi="Arial" w:cs="Arial"/>
        </w:rPr>
        <w:t>250/2000 S</w:t>
      </w:r>
      <w:r>
        <w:rPr>
          <w:rFonts w:ascii="Arial" w:hAnsi="Arial" w:cs="Arial"/>
        </w:rPr>
        <w:t>b., budou</w:t>
      </w:r>
      <w:r w:rsidRPr="00586F5B">
        <w:rPr>
          <w:rFonts w:ascii="Arial" w:hAnsi="Arial" w:cs="Arial"/>
        </w:rPr>
        <w:t xml:space="preserve"> odvod i případné penále</w:t>
      </w:r>
      <w:r>
        <w:rPr>
          <w:rFonts w:ascii="Arial" w:hAnsi="Arial" w:cs="Arial"/>
        </w:rPr>
        <w:t xml:space="preserve"> za </w:t>
      </w:r>
      <w:r w:rsidRPr="00586F5B">
        <w:rPr>
          <w:rFonts w:ascii="Arial" w:hAnsi="Arial" w:cs="Arial"/>
        </w:rPr>
        <w:t>porušení rozpočtové kázně vyměřeny</w:t>
      </w:r>
      <w:r>
        <w:rPr>
          <w:rFonts w:ascii="Arial" w:hAnsi="Arial" w:cs="Arial"/>
        </w:rPr>
        <w:t xml:space="preserve"> ve </w:t>
      </w:r>
      <w:r w:rsidRPr="00586F5B">
        <w:rPr>
          <w:rFonts w:ascii="Arial" w:hAnsi="Arial" w:cs="Arial"/>
        </w:rPr>
        <w:t>výši stanovené tímto zákonem</w:t>
      </w:r>
      <w:r w:rsidR="00C47939" w:rsidRPr="00C268D3">
        <w:rPr>
          <w:rFonts w:ascii="Arial" w:hAnsi="Arial" w:cs="Arial"/>
          <w:highlight w:val="yellow"/>
        </w:rPr>
        <w:t>, příp. čl. IX odst. 4</w:t>
      </w:r>
      <w:r w:rsidR="00C47939">
        <w:rPr>
          <w:rFonts w:ascii="Arial" w:hAnsi="Arial" w:cs="Arial"/>
          <w:highlight w:val="yellow"/>
        </w:rPr>
        <w:t xml:space="preserve"> / 5</w:t>
      </w:r>
      <w:r w:rsidR="00C47939" w:rsidRPr="00C268D3">
        <w:rPr>
          <w:rFonts w:ascii="Arial" w:hAnsi="Arial" w:cs="Arial"/>
          <w:highlight w:val="yellow"/>
        </w:rPr>
        <w:t xml:space="preserve"> této smlouvy</w:t>
      </w:r>
      <w:r>
        <w:rPr>
          <w:rFonts w:ascii="Arial" w:hAnsi="Arial" w:cs="Arial"/>
        </w:rPr>
        <w:t xml:space="preserve"> a v </w:t>
      </w:r>
      <w:r w:rsidRPr="00586F5B">
        <w:rPr>
          <w:rFonts w:ascii="Arial" w:hAnsi="Arial" w:cs="Arial"/>
        </w:rPr>
        <w:t>souladu</w:t>
      </w:r>
      <w:r>
        <w:rPr>
          <w:rFonts w:ascii="Arial" w:hAnsi="Arial" w:cs="Arial"/>
        </w:rPr>
        <w:t xml:space="preserve"> se </w:t>
      </w:r>
      <w:r w:rsidRPr="00586F5B">
        <w:rPr>
          <w:rFonts w:ascii="Arial" w:hAnsi="Arial" w:cs="Arial"/>
        </w:rPr>
        <w:t>stanovením snížených odvodů</w:t>
      </w:r>
      <w:r>
        <w:rPr>
          <w:rFonts w:ascii="Arial" w:hAnsi="Arial" w:cs="Arial"/>
        </w:rPr>
        <w:t xml:space="preserve"> a </w:t>
      </w:r>
      <w:r w:rsidRPr="00586F5B">
        <w:rPr>
          <w:rFonts w:ascii="Arial" w:hAnsi="Arial" w:cs="Arial"/>
        </w:rPr>
        <w:t>méně závažných porušení smlouvy uvedené</w:t>
      </w:r>
      <w:r>
        <w:rPr>
          <w:rFonts w:ascii="Arial" w:hAnsi="Arial" w:cs="Arial"/>
        </w:rPr>
        <w:t xml:space="preserve"> v </w:t>
      </w:r>
      <w:r w:rsidRPr="00586F5B">
        <w:rPr>
          <w:rFonts w:ascii="Arial" w:hAnsi="Arial" w:cs="Arial"/>
        </w:rPr>
        <w:t>příloze</w:t>
      </w:r>
      <w:r>
        <w:rPr>
          <w:rFonts w:ascii="Arial" w:hAnsi="Arial" w:cs="Arial"/>
        </w:rPr>
        <w:t xml:space="preserve"> č. 2</w:t>
      </w:r>
      <w:r w:rsidRPr="00586F5B">
        <w:rPr>
          <w:rFonts w:ascii="Arial" w:hAnsi="Arial" w:cs="Arial"/>
        </w:rPr>
        <w:t xml:space="preserve"> (dále jen „Snížené odvody“)</w:t>
      </w:r>
      <w:r>
        <w:rPr>
          <w:rFonts w:ascii="Arial" w:hAnsi="Arial" w:cs="Arial"/>
        </w:rPr>
        <w:t xml:space="preserve"> ve </w:t>
      </w:r>
      <w:r w:rsidRPr="00586F5B">
        <w:rPr>
          <w:rFonts w:ascii="Arial" w:hAnsi="Arial" w:cs="Arial"/>
        </w:rPr>
        <w:t>znění účinném ke dni rozhodnutí</w:t>
      </w:r>
      <w:r>
        <w:rPr>
          <w:rFonts w:ascii="Arial" w:hAnsi="Arial" w:cs="Arial"/>
        </w:rPr>
        <w:t xml:space="preserve"> o </w:t>
      </w:r>
      <w:r w:rsidRPr="00586F5B">
        <w:rPr>
          <w:rFonts w:ascii="Arial" w:hAnsi="Arial" w:cs="Arial"/>
        </w:rPr>
        <w:t>uložení odvodu</w:t>
      </w:r>
      <w:r>
        <w:rPr>
          <w:rFonts w:ascii="Arial" w:hAnsi="Arial" w:cs="Arial"/>
        </w:rPr>
        <w:t xml:space="preserve"> za </w:t>
      </w:r>
      <w:r w:rsidRPr="00586F5B">
        <w:rPr>
          <w:rFonts w:ascii="Arial" w:hAnsi="Arial" w:cs="Arial"/>
        </w:rPr>
        <w:t>porušení rozpočtové kázně. Případná aktualizace Snížených odvodů bude zveřejněna</w:t>
      </w:r>
      <w:r>
        <w:rPr>
          <w:rFonts w:ascii="Arial" w:hAnsi="Arial" w:cs="Arial"/>
        </w:rPr>
        <w:t xml:space="preserve"> na </w:t>
      </w:r>
      <w:r w:rsidRPr="00586F5B">
        <w:rPr>
          <w:rFonts w:ascii="Arial" w:hAnsi="Arial" w:cs="Arial"/>
        </w:rPr>
        <w:t xml:space="preserve">internetových stránkách </w:t>
      </w:r>
      <w:hyperlink r:id="rId8" w:history="1">
        <w:r w:rsidRPr="0031656B">
          <w:rPr>
            <w:rStyle w:val="Hypertextovodkaz"/>
            <w:rFonts w:ascii="Arial" w:hAnsi="Arial" w:cs="Arial"/>
          </w:rPr>
          <w:t>www.penizeproprahu.cz</w:t>
        </w:r>
      </w:hyperlink>
      <w:r>
        <w:rPr>
          <w:rFonts w:ascii="Arial" w:hAnsi="Arial" w:cs="Arial"/>
        </w:rPr>
        <w:t xml:space="preserve">. </w:t>
      </w:r>
      <w:r w:rsidRPr="00586F5B">
        <w:rPr>
          <w:rFonts w:ascii="Arial" w:hAnsi="Arial" w:cs="Arial"/>
        </w:rPr>
        <w:t>Příjemce podpisem této smlouvy stvrzuje,</w:t>
      </w:r>
      <w:r>
        <w:rPr>
          <w:rFonts w:ascii="Arial" w:hAnsi="Arial" w:cs="Arial"/>
        </w:rPr>
        <w:t xml:space="preserve"> že </w:t>
      </w:r>
      <w:r w:rsidRPr="00586F5B">
        <w:rPr>
          <w:rFonts w:ascii="Arial" w:hAnsi="Arial" w:cs="Arial"/>
        </w:rPr>
        <w:t>byl</w:t>
      </w:r>
      <w:r>
        <w:rPr>
          <w:rFonts w:ascii="Arial" w:hAnsi="Arial" w:cs="Arial"/>
        </w:rPr>
        <w:t xml:space="preserve"> v </w:t>
      </w:r>
      <w:r w:rsidRPr="00586F5B">
        <w:rPr>
          <w:rFonts w:ascii="Arial" w:hAnsi="Arial" w:cs="Arial"/>
        </w:rPr>
        <w:t>době uzavření této smlouvy</w:t>
      </w:r>
      <w:r>
        <w:rPr>
          <w:rFonts w:ascii="Arial" w:hAnsi="Arial" w:cs="Arial"/>
        </w:rPr>
        <w:t xml:space="preserve"> se </w:t>
      </w:r>
      <w:r w:rsidRPr="00586F5B">
        <w:rPr>
          <w:rFonts w:ascii="Arial" w:hAnsi="Arial" w:cs="Arial"/>
        </w:rPr>
        <w:t>Sníženými odvody seznámen</w:t>
      </w:r>
      <w:r>
        <w:rPr>
          <w:rFonts w:ascii="Arial" w:hAnsi="Arial" w:cs="Arial"/>
        </w:rPr>
        <w:t xml:space="preserve"> a </w:t>
      </w:r>
      <w:r w:rsidRPr="00586F5B">
        <w:rPr>
          <w:rFonts w:ascii="Arial" w:hAnsi="Arial" w:cs="Arial"/>
        </w:rPr>
        <w:t>souhlasí,</w:t>
      </w:r>
      <w:r>
        <w:rPr>
          <w:rFonts w:ascii="Arial" w:hAnsi="Arial" w:cs="Arial"/>
        </w:rPr>
        <w:t xml:space="preserve"> že </w:t>
      </w:r>
      <w:r w:rsidRPr="00586F5B">
        <w:rPr>
          <w:rFonts w:ascii="Arial" w:hAnsi="Arial" w:cs="Arial"/>
        </w:rPr>
        <w:t>poskytovatel je oprávněn Snížené odvody jednostranně</w:t>
      </w:r>
      <w:r>
        <w:rPr>
          <w:rFonts w:ascii="Arial" w:hAnsi="Arial" w:cs="Arial"/>
        </w:rPr>
        <w:t xml:space="preserve"> na </w:t>
      </w:r>
      <w:r w:rsidRPr="00586F5B">
        <w:rPr>
          <w:rFonts w:ascii="Arial" w:hAnsi="Arial" w:cs="Arial"/>
        </w:rPr>
        <w:t>základě usnesení Rady hl. m. Prahy po celou dobu trvání této smlouvy doplňovat</w:t>
      </w:r>
      <w:r>
        <w:rPr>
          <w:rFonts w:ascii="Arial" w:hAnsi="Arial" w:cs="Arial"/>
        </w:rPr>
        <w:t xml:space="preserve"> o </w:t>
      </w:r>
      <w:r w:rsidRPr="00586F5B">
        <w:rPr>
          <w:rFonts w:ascii="Arial" w:hAnsi="Arial" w:cs="Arial"/>
        </w:rPr>
        <w:t>nové typy pochybení postihované sníženým odvodem</w:t>
      </w:r>
      <w:r>
        <w:rPr>
          <w:rFonts w:ascii="Arial" w:hAnsi="Arial" w:cs="Arial"/>
        </w:rPr>
        <w:t xml:space="preserve"> za </w:t>
      </w:r>
      <w:r w:rsidRPr="00586F5B">
        <w:rPr>
          <w:rFonts w:ascii="Arial" w:hAnsi="Arial" w:cs="Arial"/>
        </w:rPr>
        <w:t>porušení rozpočtové kázně</w:t>
      </w:r>
      <w:r>
        <w:rPr>
          <w:rFonts w:ascii="Arial" w:hAnsi="Arial" w:cs="Arial"/>
        </w:rPr>
        <w:t xml:space="preserve"> s </w:t>
      </w:r>
      <w:r w:rsidRPr="00586F5B">
        <w:rPr>
          <w:rFonts w:ascii="Arial" w:hAnsi="Arial" w:cs="Arial"/>
        </w:rPr>
        <w:t>tím,</w:t>
      </w:r>
      <w:r>
        <w:rPr>
          <w:rFonts w:ascii="Arial" w:hAnsi="Arial" w:cs="Arial"/>
        </w:rPr>
        <w:t xml:space="preserve"> že </w:t>
      </w:r>
      <w:r w:rsidRPr="00586F5B">
        <w:rPr>
          <w:rFonts w:ascii="Arial" w:hAnsi="Arial" w:cs="Arial"/>
        </w:rPr>
        <w:t>jejich platné znění bude vždy uveřejněno</w:t>
      </w:r>
      <w:r>
        <w:rPr>
          <w:rFonts w:ascii="Arial" w:hAnsi="Arial" w:cs="Arial"/>
        </w:rPr>
        <w:t xml:space="preserve"> na </w:t>
      </w:r>
      <w:r w:rsidRPr="00586F5B">
        <w:rPr>
          <w:rFonts w:ascii="Arial" w:hAnsi="Arial" w:cs="Arial"/>
        </w:rPr>
        <w:t>výše uvedených webových stránkách poskytovatele,</w:t>
      </w:r>
      <w:r>
        <w:rPr>
          <w:rFonts w:ascii="Arial" w:hAnsi="Arial" w:cs="Arial"/>
        </w:rPr>
        <w:t xml:space="preserve"> a </w:t>
      </w:r>
      <w:r w:rsidRPr="00586F5B">
        <w:rPr>
          <w:rFonts w:ascii="Arial" w:hAnsi="Arial" w:cs="Arial"/>
        </w:rPr>
        <w:t>zároveň bude příjemce</w:t>
      </w:r>
      <w:r>
        <w:rPr>
          <w:rFonts w:ascii="Arial" w:hAnsi="Arial" w:cs="Arial"/>
        </w:rPr>
        <w:t xml:space="preserve"> o </w:t>
      </w:r>
      <w:r w:rsidRPr="00586F5B">
        <w:rPr>
          <w:rFonts w:ascii="Arial" w:hAnsi="Arial" w:cs="Arial"/>
        </w:rPr>
        <w:t>změně informován písemnou formou.</w:t>
      </w:r>
    </w:p>
    <w:p w14:paraId="38B1F78C" w14:textId="25EE3A2A" w:rsidR="00962296" w:rsidRPr="00930B9B" w:rsidRDefault="00B955B8" w:rsidP="00FC5AA8">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porušení podmínek před proplacením/vyúčtováním 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dané porušení váže, je oprávněn provést finanční korekci dotčených výdajů. Poskytovatel je oprávněn snížit následující platbu</w:t>
      </w:r>
      <w:r>
        <w:rPr>
          <w:rFonts w:ascii="Arial" w:hAnsi="Arial" w:cs="Arial"/>
        </w:rPr>
        <w:t xml:space="preserve"> o </w:t>
      </w:r>
      <w:r w:rsidRPr="00930B9B">
        <w:rPr>
          <w:rFonts w:ascii="Arial" w:hAnsi="Arial" w:cs="Arial"/>
        </w:rPr>
        <w:t>částku připadající</w:t>
      </w:r>
      <w:r>
        <w:rPr>
          <w:rFonts w:ascii="Arial" w:hAnsi="Arial" w:cs="Arial"/>
        </w:rPr>
        <w:t xml:space="preserve"> na </w:t>
      </w:r>
      <w:r w:rsidRPr="00930B9B">
        <w:rPr>
          <w:rFonts w:ascii="Arial" w:hAnsi="Arial" w:cs="Arial"/>
        </w:rPr>
        <w:t>zjištěné nezpůsobilé výdaje.</w:t>
      </w:r>
      <w:r>
        <w:rPr>
          <w:rFonts w:ascii="Arial" w:hAnsi="Arial" w:cs="Arial"/>
        </w:rPr>
        <w:t xml:space="preserve"> V </w:t>
      </w:r>
      <w:r w:rsidRPr="00930B9B">
        <w:rPr>
          <w:rFonts w:ascii="Arial" w:hAnsi="Arial" w:cs="Arial"/>
        </w:rPr>
        <w:t>případě,</w:t>
      </w:r>
      <w:r>
        <w:rPr>
          <w:rFonts w:ascii="Arial" w:hAnsi="Arial" w:cs="Arial"/>
        </w:rPr>
        <w:t xml:space="preserve"> že </w:t>
      </w:r>
      <w:r w:rsidRPr="00930B9B">
        <w:rPr>
          <w:rFonts w:ascii="Arial" w:hAnsi="Arial" w:cs="Arial"/>
        </w:rPr>
        <w:t>nebude možné</w:t>
      </w:r>
      <w:r>
        <w:rPr>
          <w:rFonts w:ascii="Arial" w:hAnsi="Arial" w:cs="Arial"/>
        </w:rPr>
        <w:t xml:space="preserve"> v žádosti o platbu</w:t>
      </w:r>
      <w:r w:rsidRPr="00930B9B">
        <w:rPr>
          <w:rFonts w:ascii="Arial" w:hAnsi="Arial" w:cs="Arial"/>
        </w:rPr>
        <w:t xml:space="preserve"> tyto prostředky snížit, pak bude příjemce vyzván k vrácení finančních prostředků</w:t>
      </w:r>
      <w:r w:rsidRPr="004A3DD6">
        <w:rPr>
          <w:rFonts w:ascii="Arial" w:hAnsi="Arial" w:cs="Arial"/>
        </w:rPr>
        <w:t xml:space="preserve"> </w:t>
      </w:r>
      <w:r>
        <w:rPr>
          <w:rFonts w:ascii="Arial" w:hAnsi="Arial" w:cs="Arial"/>
        </w:rPr>
        <w:t xml:space="preserve">v souladu s § 22 odst. </w:t>
      </w:r>
      <w:r w:rsidR="001706FE">
        <w:rPr>
          <w:rFonts w:ascii="Arial" w:hAnsi="Arial" w:cs="Arial"/>
        </w:rPr>
        <w:t xml:space="preserve">5 a </w:t>
      </w:r>
      <w:r>
        <w:rPr>
          <w:rFonts w:ascii="Arial" w:hAnsi="Arial" w:cs="Arial"/>
        </w:rPr>
        <w:t>6 zákona č. 250/2000Sb</w:t>
      </w:r>
      <w:r w:rsidRPr="00930B9B">
        <w:rPr>
          <w:rFonts w:ascii="Arial" w:hAnsi="Arial" w:cs="Arial"/>
        </w:rPr>
        <w:t>. Splatnost výzvy je 30 kalendářních dní od doručení této výzvy.</w:t>
      </w:r>
      <w:r w:rsidR="00962296" w:rsidRPr="00930B9B">
        <w:rPr>
          <w:rFonts w:ascii="Arial" w:hAnsi="Arial" w:cs="Arial"/>
        </w:rPr>
        <w:t xml:space="preserve"> </w:t>
      </w:r>
    </w:p>
    <w:p w14:paraId="1E72988B" w14:textId="3810D71B"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 na účet poskytovatele. Při vrácení dotace nebo její části je příjemce povinen uvést stejný variabilní symbol, pod kterým obdržel platbu dotace. Poskytovatel si vyhrazuje právo pozastavit proplácení finančních prostředků dotace zejména z důvodu změny právních předpisů, živelných přírodních událostí, usnesení vlády či jiných objektivních událostí, které poskytovatel nemohl předpokládat. Dále je poskytovatel oprávněn pozastavit vyplácení dotace</w:t>
      </w:r>
      <w:r w:rsidR="00B955B8">
        <w:rPr>
          <w:rFonts w:ascii="Arial" w:hAnsi="Arial" w:cs="Arial"/>
        </w:rPr>
        <w:t>,</w:t>
      </w:r>
      <w:r w:rsidR="00B955B8" w:rsidRPr="004A3DD6">
        <w:rPr>
          <w:rFonts w:ascii="Arial" w:hAnsi="Arial" w:cs="Arial"/>
        </w:rPr>
        <w:t xml:space="preserve"> </w:t>
      </w:r>
      <w:r w:rsidR="00B955B8">
        <w:rPr>
          <w:rFonts w:ascii="Arial" w:hAnsi="Arial" w:cs="Arial"/>
        </w:rPr>
        <w:t xml:space="preserve">a to </w:t>
      </w:r>
      <w:r w:rsidR="00B955B8" w:rsidRPr="00425D4E">
        <w:rPr>
          <w:rFonts w:ascii="Arial" w:hAnsi="Arial" w:cs="Arial"/>
        </w:rPr>
        <w:t>v souladu s ustanovením § 22 odst. 5 zákona č. 250/2000 Sb</w:t>
      </w:r>
      <w:r w:rsidR="00B955B8">
        <w:rPr>
          <w:rFonts w:ascii="Arial" w:hAnsi="Arial" w:cs="Arial"/>
        </w:rPr>
        <w:t>.</w:t>
      </w:r>
      <w:r>
        <w:rPr>
          <w:rFonts w:ascii="Arial" w:hAnsi="Arial" w:cs="Arial"/>
        </w:rPr>
        <w:t xml:space="preserve">, dojde-li ke zjištění, že příjemce porušuje (anebo porušil) dotčené právní předpisy, předpisy EU anebo tuto smlouvu </w:t>
      </w:r>
      <w:r>
        <w:rPr>
          <w:rFonts w:ascii="Arial" w:hAnsi="Arial" w:cs="Arial"/>
        </w:rPr>
        <w:lastRenderedPageBreak/>
        <w:t xml:space="preserve">(včetně s ní souvisejících závazných dokumentů). </w:t>
      </w:r>
    </w:p>
    <w:p w14:paraId="2D52C871" w14:textId="77777777"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 že dojde k porušení povinností dle této smlouvy a příjemce dotace prokáže, že porušení smlouvy bylo způsobeno okolnostmi vylučujícími odpovědnost (např. zemětřesení, požár, bouře, záplavy, teroristický útok,…), rozhoduje o dalším postupu poskytovatel.</w:t>
      </w:r>
    </w:p>
    <w:p w14:paraId="5BE05683" w14:textId="77777777" w:rsidR="00962296" w:rsidRDefault="00962296" w:rsidP="00962296">
      <w:pPr>
        <w:widowControl w:val="0"/>
        <w:spacing w:before="40" w:after="40"/>
        <w:ind w:left="567"/>
        <w:jc w:val="both"/>
        <w:rPr>
          <w:rFonts w:ascii="Arial" w:hAnsi="Arial" w:cs="Arial"/>
        </w:rPr>
      </w:pPr>
    </w:p>
    <w:p w14:paraId="4863DA06" w14:textId="77777777" w:rsidR="00962296" w:rsidRDefault="00962296" w:rsidP="00962296">
      <w:pPr>
        <w:pStyle w:val="Normln12TNRCharCharCharChar"/>
        <w:widowControl w:val="0"/>
        <w:tabs>
          <w:tab w:val="left" w:pos="708"/>
        </w:tabs>
        <w:spacing w:before="40" w:after="40"/>
        <w:rPr>
          <w:rFonts w:ascii="Arial" w:hAnsi="Arial" w:cs="Arial"/>
          <w:snapToGrid w:val="0"/>
          <w:sz w:val="20"/>
        </w:rPr>
      </w:pPr>
    </w:p>
    <w:p w14:paraId="39AFEA60" w14:textId="77777777" w:rsidR="00962296" w:rsidRDefault="00962296" w:rsidP="00962296">
      <w:pPr>
        <w:pStyle w:val="Nadpis2-zprva"/>
        <w:spacing w:before="40" w:after="40"/>
        <w:rPr>
          <w:rFonts w:ascii="Times New Roman" w:hAnsi="Times New Roman" w:cs="Times New Roman"/>
          <w:szCs w:val="20"/>
        </w:rPr>
      </w:pPr>
      <w:r>
        <w:rPr>
          <w:snapToGrid w:val="0"/>
        </w:rPr>
        <w:t>Článek XI.</w:t>
      </w:r>
    </w:p>
    <w:p w14:paraId="2CBF48AE" w14:textId="77777777" w:rsidR="00962296" w:rsidRDefault="00962296" w:rsidP="00962296">
      <w:pPr>
        <w:pStyle w:val="Nadpis2"/>
        <w:spacing w:before="40" w:after="40"/>
      </w:pPr>
      <w:r>
        <w:t>Ukončení smlouvy</w:t>
      </w:r>
    </w:p>
    <w:p w14:paraId="415412F4"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Pr>
          <w:rFonts w:ascii="Arial" w:hAnsi="Arial" w:cs="Arial"/>
        </w:rPr>
        <w:t>článku</w:t>
      </w:r>
      <w:r w:rsidRPr="00FF04FE">
        <w:rPr>
          <w:rFonts w:ascii="Arial" w:hAnsi="Arial" w:cs="Arial"/>
        </w:rPr>
        <w:t xml:space="preserve"> I. odst. 3 této smlouvy.</w:t>
      </w:r>
    </w:p>
    <w:p w14:paraId="5167E904" w14:textId="2BD0E953"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A27D34">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1A631825"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Pr>
          <w:rFonts w:ascii="Arial" w:hAnsi="Arial" w:cs="Arial"/>
        </w:rPr>
        <w:t xml:space="preserve"> smlouvy</w:t>
      </w:r>
      <w:r w:rsidRPr="00FF04FE">
        <w:rPr>
          <w:rFonts w:ascii="Arial" w:hAnsi="Arial" w:cs="Arial"/>
        </w:rPr>
        <w:t>.</w:t>
      </w:r>
    </w:p>
    <w:p w14:paraId="66A2072D"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Pr>
          <w:rFonts w:ascii="Arial" w:hAnsi="Arial" w:cs="Arial"/>
        </w:rPr>
        <w:t> </w:t>
      </w:r>
      <w:r w:rsidRPr="00FF04FE">
        <w:rPr>
          <w:rFonts w:ascii="Arial" w:hAnsi="Arial" w:cs="Arial"/>
        </w:rPr>
        <w:t>PPR nebo obecně závaznými právními předpisy, kterých se příjemce dopustí zejména pokud:</w:t>
      </w:r>
    </w:p>
    <w:p w14:paraId="067736BD"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67BA629" w14:textId="43E4D294"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 xml:space="preserve">opakovaně neplní své povinnosti dle článku V. odst. </w:t>
      </w:r>
      <w:r w:rsidR="001706FE" w:rsidRPr="00FF04FE">
        <w:rPr>
          <w:rFonts w:ascii="Arial" w:hAnsi="Arial" w:cs="Arial"/>
        </w:rPr>
        <w:t>1</w:t>
      </w:r>
      <w:r w:rsidR="001706FE">
        <w:rPr>
          <w:rFonts w:ascii="Arial" w:hAnsi="Arial" w:cs="Arial"/>
        </w:rPr>
        <w:t>3</w:t>
      </w:r>
      <w:r w:rsidR="001706FE" w:rsidRPr="00FF04FE">
        <w:rPr>
          <w:rFonts w:ascii="Arial" w:hAnsi="Arial" w:cs="Arial"/>
        </w:rPr>
        <w:t xml:space="preserve"> </w:t>
      </w:r>
      <w:r w:rsidRPr="00FF04FE">
        <w:rPr>
          <w:rFonts w:ascii="Arial" w:hAnsi="Arial" w:cs="Arial"/>
        </w:rPr>
        <w:t>této smlouvy;</w:t>
      </w:r>
    </w:p>
    <w:p w14:paraId="70A240E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učiní bez souhlasu poskytovatele právní úkon, který je tímto souhlasem výslovně podmíněn;</w:t>
      </w:r>
    </w:p>
    <w:p w14:paraId="1BA06E68"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5B261B3C"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v žádosti o podporu z</w:t>
      </w:r>
      <w:r>
        <w:rPr>
          <w:rFonts w:ascii="Arial" w:hAnsi="Arial" w:cs="Arial"/>
        </w:rPr>
        <w:t> </w:t>
      </w:r>
      <w:r w:rsidRPr="00FF04FE">
        <w:rPr>
          <w:rFonts w:ascii="Arial" w:hAnsi="Arial" w:cs="Arial"/>
        </w:rPr>
        <w:t>OP</w:t>
      </w:r>
      <w:r>
        <w:rPr>
          <w:rFonts w:ascii="Arial" w:hAnsi="Arial" w:cs="Arial"/>
        </w:rPr>
        <w:t> </w:t>
      </w:r>
      <w:r w:rsidRPr="00FF04FE">
        <w:rPr>
          <w:rFonts w:ascii="Arial" w:hAnsi="Arial" w:cs="Arial"/>
        </w:rPr>
        <w:t>PPR, v čestn</w:t>
      </w:r>
      <w:r>
        <w:rPr>
          <w:rFonts w:ascii="Arial" w:hAnsi="Arial" w:cs="Arial"/>
        </w:rPr>
        <w:t xml:space="preserve">ém prohlášení, ve </w:t>
      </w:r>
      <w:r w:rsidRPr="00FF04FE">
        <w:rPr>
          <w:rFonts w:ascii="Arial" w:hAnsi="Arial" w:cs="Arial"/>
        </w:rPr>
        <w:t>Zprávě o realizaci projektu nebo ve Zprávě o udržitelnosti projektu uvede nepravdivé či zkreslené údaje;</w:t>
      </w:r>
    </w:p>
    <w:p w14:paraId="08A7839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59DA6362"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odmítne jednostranné změny smlouvy učiněné formou vydání nových verzí dokumentů podle článku I. odst. 3</w:t>
      </w:r>
      <w:r>
        <w:rPr>
          <w:rFonts w:ascii="Arial" w:hAnsi="Arial" w:cs="Arial"/>
        </w:rPr>
        <w:t xml:space="preserve"> této smlouvy</w:t>
      </w:r>
      <w:r w:rsidRPr="00FF04FE">
        <w:rPr>
          <w:rFonts w:ascii="Arial" w:hAnsi="Arial" w:cs="Arial"/>
        </w:rPr>
        <w:t>.</w:t>
      </w:r>
      <w:r>
        <w:rPr>
          <w:rFonts w:ascii="Arial" w:hAnsi="Arial" w:cs="Arial"/>
        </w:rPr>
        <w:t xml:space="preserve"> </w:t>
      </w:r>
    </w:p>
    <w:p w14:paraId="2A238157" w14:textId="3D036491"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A27D34">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2F25BF2C" w14:textId="1729DE0A"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Výpovědní lhůta činí jeden měsíc a začne běžet od prvního dne měsíce následujícího po měsíci, v němž byla výpověď doručena příjemci. Účinky doručení pro účel</w:t>
      </w:r>
      <w:r w:rsidR="00A27D34">
        <w:rPr>
          <w:rFonts w:ascii="Arial" w:hAnsi="Arial" w:cs="Arial"/>
        </w:rPr>
        <w:t>y této smlouvy však nastávají i </w:t>
      </w:r>
      <w:r w:rsidRPr="00FF04FE">
        <w:rPr>
          <w:rFonts w:ascii="Arial" w:hAnsi="Arial" w:cs="Arial"/>
        </w:rPr>
        <w:t>tehdy, pokud příjemce svým jednáním nebo opomenutím doručení zmařil.</w:t>
      </w:r>
    </w:p>
    <w:p w14:paraId="5623C949" w14:textId="7149603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A27D34">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35EDC83E"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7E27BA60"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5525FC7F" w14:textId="442C0AC0"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 xml:space="preserve">ení této smlouvy lze podat i </w:t>
      </w:r>
      <w:r w:rsidR="0069517F">
        <w:rPr>
          <w:rFonts w:ascii="Arial" w:hAnsi="Arial" w:cs="Arial"/>
        </w:rPr>
        <w:t xml:space="preserve">z jiných </w:t>
      </w:r>
      <w:r w:rsidR="00F16D33">
        <w:rPr>
          <w:rFonts w:ascii="Arial" w:hAnsi="Arial" w:cs="Arial"/>
        </w:rPr>
        <w:t xml:space="preserve">důvodů </w:t>
      </w:r>
      <w:r w:rsidR="0069517F">
        <w:rPr>
          <w:rFonts w:ascii="Arial" w:hAnsi="Arial" w:cs="Arial"/>
        </w:rPr>
        <w:t xml:space="preserve">než </w:t>
      </w:r>
      <w:r w:rsidR="00F16D33">
        <w:rPr>
          <w:rFonts w:ascii="Arial" w:hAnsi="Arial" w:cs="Arial"/>
        </w:rPr>
        <w:t>které jsou uvedeny v </w:t>
      </w:r>
      <w:r w:rsidR="00F16D33" w:rsidRPr="003D3C35">
        <w:rPr>
          <w:rFonts w:ascii="Arial" w:hAnsi="Arial" w:cs="Arial"/>
        </w:rPr>
        <w:t xml:space="preserve">§ 167 odst. 1 písm. </w:t>
      </w:r>
      <w:r w:rsidR="00F16D33">
        <w:rPr>
          <w:rFonts w:ascii="Arial" w:hAnsi="Arial" w:cs="Arial"/>
        </w:rPr>
        <w:t>b) až e)</w:t>
      </w:r>
      <w:r w:rsidR="0069517F">
        <w:rPr>
          <w:rFonts w:ascii="Arial" w:hAnsi="Arial" w:cs="Arial"/>
        </w:rPr>
        <w:t xml:space="preserve"> </w:t>
      </w:r>
      <w:r w:rsidR="00F16D33" w:rsidRPr="003D3C35">
        <w:rPr>
          <w:rFonts w:ascii="Arial" w:hAnsi="Arial" w:cs="Arial"/>
        </w:rPr>
        <w:t>zákona č. 500/2004 Sb., správní řá</w:t>
      </w:r>
      <w:r w:rsidR="00F16D33">
        <w:rPr>
          <w:rFonts w:ascii="Arial" w:hAnsi="Arial" w:cs="Arial"/>
        </w:rPr>
        <w:t xml:space="preserve">d, ve znění pozdějších předpisů. </w:t>
      </w:r>
      <w:r>
        <w:rPr>
          <w:rFonts w:ascii="Arial" w:hAnsi="Arial" w:cs="Arial"/>
        </w:rPr>
        <w:t xml:space="preserve">V případě zrušení této smlouvy zaniká nárok příjemce na </w:t>
      </w:r>
      <w:r>
        <w:rPr>
          <w:rFonts w:ascii="Arial" w:hAnsi="Arial" w:cs="Arial"/>
        </w:rPr>
        <w:lastRenderedPageBreak/>
        <w:t>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10028D4C" w14:textId="3D44508C" w:rsidR="00F25CAC" w:rsidRDefault="00F25CAC">
      <w:pPr>
        <w:rPr>
          <w:rFonts w:ascii="Arial" w:hAnsi="Arial" w:cs="Arial"/>
          <w:b/>
          <w:bCs/>
          <w:iCs/>
          <w:snapToGrid w:val="0"/>
          <w:szCs w:val="28"/>
        </w:rPr>
      </w:pPr>
    </w:p>
    <w:p w14:paraId="19BE707F" w14:textId="65412A59" w:rsidR="00962296" w:rsidRDefault="00962296" w:rsidP="00962296">
      <w:pPr>
        <w:pStyle w:val="Nadpis2-zprva"/>
        <w:spacing w:before="40" w:after="40"/>
        <w:rPr>
          <w:rFonts w:ascii="Times New Roman" w:hAnsi="Times New Roman" w:cs="Times New Roman"/>
          <w:szCs w:val="20"/>
        </w:rPr>
      </w:pPr>
      <w:r>
        <w:rPr>
          <w:snapToGrid w:val="0"/>
        </w:rPr>
        <w:t>Článek XII.</w:t>
      </w:r>
    </w:p>
    <w:p w14:paraId="39EE7CD9" w14:textId="77777777" w:rsidR="00962296" w:rsidRDefault="00962296" w:rsidP="00962296">
      <w:pPr>
        <w:pStyle w:val="Nadpis2"/>
        <w:spacing w:before="40" w:after="40"/>
      </w:pPr>
      <w:r>
        <w:t>Závěrečná ustanovení</w:t>
      </w:r>
    </w:p>
    <w:p w14:paraId="0D3859F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se zařazením projektu na seznam projektů podpořených z OP PPR, který bude poskytovatelem zveřejněn. Tento seznam bude obsahovat zejména identifikaci příjemce, název projektu, informaci o zaměření projektu a v</w:t>
      </w:r>
      <w:r>
        <w:rPr>
          <w:rFonts w:ascii="Arial" w:hAnsi="Arial" w:cs="Arial" w:hint="eastAsia"/>
        </w:rPr>
        <w:t>ýš</w:t>
      </w:r>
      <w:r>
        <w:rPr>
          <w:rFonts w:ascii="Arial" w:hAnsi="Arial" w:cs="Arial"/>
        </w:rPr>
        <w:t>i podpory poskytnuté z OP PPR.</w:t>
      </w:r>
    </w:p>
    <w:p w14:paraId="45E016FF" w14:textId="144A4DED"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5375D0">
        <w:rPr>
          <w:rFonts w:ascii="Arial" w:hAnsi="Arial" w:cs="Arial"/>
        </w:rPr>
        <w:t xml:space="preserve">Příjemce tímto uděluje poskytovateli souhlas ke zpracování svých osobních údajů v souladu s příslušnými ustanoveními zákona č. 101/2000 Sb., o ochraně osobních údajů, ve znění pozdějších předpisů, </w:t>
      </w:r>
      <w:r w:rsidR="00FF5C2D" w:rsidRPr="005375D0">
        <w:rPr>
          <w:rFonts w:ascii="Arial" w:hAnsi="Arial" w:cs="Arial"/>
        </w:rPr>
        <w:t xml:space="preserve">které sdělil nebo sdělí poskytovateli v žádosti od podporu, Zprávách </w:t>
      </w:r>
      <w:r w:rsidR="00670798">
        <w:rPr>
          <w:rFonts w:ascii="Arial" w:hAnsi="Arial" w:cs="Arial"/>
        </w:rPr>
        <w:br/>
      </w:r>
      <w:r w:rsidR="00FF5C2D" w:rsidRPr="005375D0">
        <w:rPr>
          <w:rFonts w:ascii="Arial" w:hAnsi="Arial" w:cs="Arial"/>
        </w:rPr>
        <w:t>o realizaci projektu a dalších dokumentech</w:t>
      </w:r>
      <w:r w:rsidR="00C47993" w:rsidRPr="005375D0">
        <w:rPr>
          <w:rFonts w:ascii="Arial" w:hAnsi="Arial" w:cs="Arial"/>
        </w:rPr>
        <w:t xml:space="preserve">, </w:t>
      </w:r>
      <w:r w:rsidRPr="005375D0">
        <w:rPr>
          <w:rFonts w:ascii="Arial" w:hAnsi="Arial" w:cs="Arial"/>
        </w:rPr>
        <w:t>za účelem dokládání postupu implementace OP PPR</w:t>
      </w:r>
      <w:r w:rsidR="00C47993" w:rsidRPr="005375D0">
        <w:rPr>
          <w:rFonts w:ascii="Arial" w:hAnsi="Arial" w:cs="Arial"/>
        </w:rPr>
        <w:t>.</w:t>
      </w:r>
      <w:r>
        <w:rPr>
          <w:rFonts w:ascii="Arial" w:hAnsi="Arial" w:cs="Arial"/>
        </w:rPr>
        <w:t xml:space="preserve"> Příjemce souhlasí s tím, aby poskytovatel jeho osobní údaje</w:t>
      </w:r>
      <w:r w:rsidR="00A27D34">
        <w:rPr>
          <w:rFonts w:ascii="Arial" w:hAnsi="Arial" w:cs="Arial"/>
        </w:rPr>
        <w:t xml:space="preserve"> poskytnul dalším organizacím a </w:t>
      </w:r>
      <w:r>
        <w:rPr>
          <w:rFonts w:ascii="Arial" w:hAnsi="Arial" w:cs="Arial"/>
        </w:rPr>
        <w:t xml:space="preserve">partnerům hlavního města Prahy, a to výhradně za uvedeným účelem. Souhlas příjemce uděluje na dobu určitou, a to na dobu ode dne podání žádosti o podporu až do ukončení realizace projektu a dále na dobu 10 let od finančního ukončení projektu. Souhlas se zpracováním osobních údajů podle tohoto ustanovení nemůže být odvolán. Příjemce tímto prohlašuje, že byl ve smyslu § 11 zákona č. 101/2000 Sb., o ochraně osobních údajů a o změně některých předpisů, ve znění pozdějších předpisů, řádně informován o zpracování a uchování osobních údajů. Příjemce zároveň </w:t>
      </w:r>
      <w:r w:rsidRPr="000A3A8F">
        <w:rPr>
          <w:rFonts w:ascii="Arial" w:hAnsi="Arial" w:cs="Arial"/>
        </w:rPr>
        <w:t>souhlasí se zveřejněním údajů podle zákona č. 106/1999 Sb., o svobodném přístupu k informacím, ve znění pozdějších předpisů.</w:t>
      </w:r>
    </w:p>
    <w:p w14:paraId="40DF0C4E"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 v Centrální evidenci smluv (CES), vedené hl.  m. Prahou, která je veřejně přístupná a která obsahuje údaje o stranách této smlouvy, předmětu této smlouvy, číselné značení této smlouvy, datum podpisu a text smlouvy. Smluvní strany výslovně prohlašují, že skutečnosti uvedené v této smlouvě nepovažují za obchodní tajemství ve smyslu § 504 zákona č. 89/2012 Sb., občanský zákoník, v platném znění, a udělují svolení k jejich užití a zveřejnění bez stanovení jakýchkoliv dalších podmínek.</w:t>
      </w:r>
    </w:p>
    <w:p w14:paraId="47E7D3BE" w14:textId="6E269915" w:rsidR="00962296" w:rsidRPr="001135A5"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w:t>
      </w:r>
      <w:r w:rsidR="00F25CAC">
        <w:rPr>
          <w:rFonts w:ascii="Arial" w:hAnsi="Arial" w:cs="Arial"/>
        </w:rPr>
        <w:t>to smlouvy v registru smluv dle </w:t>
      </w:r>
      <w:r w:rsidRPr="001135A5">
        <w:rPr>
          <w:rFonts w:ascii="Arial" w:hAnsi="Arial" w:cs="Arial"/>
        </w:rPr>
        <w:t>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3B2FDD6"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 na základě vzájemné dohody smluvních stran formou písemných dodatků číslovaných vzestupnou nepřerušenou číselnou řadou a podepsaných oběma smluvními stranami. Výjimku z výše uvedeného ustanovení představuje:</w:t>
      </w:r>
    </w:p>
    <w:p w14:paraId="24C0BE1B"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změna termínu ukončení realizace projektu, dle podmínek uvedených v kapitole Změny projektu v Pravidlech pro žadatele a příjemce OP PPR,</w:t>
      </w:r>
    </w:p>
    <w:p w14:paraId="1149D09A"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změna podmínek v souladu s článkem I. odst. 3 této smlouvy,</w:t>
      </w:r>
    </w:p>
    <w:p w14:paraId="57D45FA9"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doplnění přílohy č. 2 Stanovení snížených odvodů a méně závažných porušení smlouvy</w:t>
      </w:r>
      <w:r w:rsidRPr="00FF04FE">
        <w:rPr>
          <w:rFonts w:ascii="Arial" w:hAnsi="Arial" w:cs="Arial"/>
        </w:rPr>
        <w:t xml:space="preserve"> o nový typ pochybení na základě usnesení Rady hl. m. Prahy v souladu s článkem X. odst. 3 této smlouvy.</w:t>
      </w:r>
    </w:p>
    <w:p w14:paraId="0966CDAF" w14:textId="77777777" w:rsidR="00962296" w:rsidRDefault="00962296" w:rsidP="00FC5AA8">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 na vyplacení dotace, pokud bude Evropskou komisí z jakýchkoliv důvodů zastaveno nebo přerušeno financování OP PPR jako celku.</w:t>
      </w:r>
    </w:p>
    <w:p w14:paraId="47ED6CA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 že smlouva byla uzavřena na základě svobodné vážné vůle, nebyla uzavřena v tísni, za nevýhodných podmínek ani pod nátlakem.</w:t>
      </w:r>
    </w:p>
    <w:p w14:paraId="7A6DC703" w14:textId="77777777" w:rsidR="00962296" w:rsidRPr="00CE76BC"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Pr="00513F5B">
        <w:rPr>
          <w:rFonts w:ascii="Arial" w:hAnsi="Arial" w:cs="Arial"/>
        </w:rPr>
        <w:t xml:space="preserve"> </w:t>
      </w:r>
      <w:r>
        <w:rPr>
          <w:rFonts w:ascii="Arial" w:hAnsi="Arial" w:cs="Arial"/>
        </w:rPr>
        <w:t>je uzavřena v elektronické podobě a</w:t>
      </w:r>
      <w:r w:rsidRPr="00CE76BC">
        <w:rPr>
          <w:rFonts w:ascii="Arial" w:hAnsi="Arial" w:cs="Arial"/>
        </w:rPr>
        <w:t xml:space="preserve"> 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6078AC7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3"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3"/>
    </w:p>
    <w:p w14:paraId="107CF3C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lastRenderedPageBreak/>
        <w:t>Součástí této smlouvy jsou přílohy smlouvy.</w:t>
      </w:r>
    </w:p>
    <w:p w14:paraId="24A0C2A8"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 s § 43 odst. 1 zákona č. 131/2000 Sb., o hlavním městě Praze, ve znění pozdějších předpisů, tímto poskytovatel potvrzuje, že uzavření této smlouvy schválilo Zastupitelstvo hlavního města Prahy usnesením č. </w:t>
      </w:r>
      <w:r>
        <w:rPr>
          <w:rFonts w:ascii="Arial" w:hAnsi="Arial" w:cs="Arial"/>
          <w:highlight w:val="yellow"/>
        </w:rPr>
        <w:t>…ze dne….</w:t>
      </w:r>
    </w:p>
    <w:p w14:paraId="465864B2"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 se některé ujednání této smlouvy jako neplatné, nemá to za následek neplatnost celé smlouvy.</w:t>
      </w:r>
    </w:p>
    <w:p w14:paraId="481BED4F" w14:textId="77777777" w:rsidR="00962296" w:rsidRDefault="00962296" w:rsidP="00962296">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962296" w14:paraId="6192EB03" w14:textId="77777777" w:rsidTr="008D3A6C">
        <w:trPr>
          <w:trHeight w:val="470"/>
        </w:trPr>
        <w:tc>
          <w:tcPr>
            <w:tcW w:w="4535" w:type="dxa"/>
            <w:vAlign w:val="center"/>
          </w:tcPr>
          <w:p w14:paraId="726BD812" w14:textId="7FD94246"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 xml:space="preserve">Praha </w:t>
            </w:r>
          </w:p>
        </w:tc>
        <w:tc>
          <w:tcPr>
            <w:tcW w:w="4527" w:type="dxa"/>
            <w:vAlign w:val="center"/>
          </w:tcPr>
          <w:p w14:paraId="2E4D2BB8" w14:textId="4E8BE3DE"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Praha</w:t>
            </w:r>
          </w:p>
        </w:tc>
      </w:tr>
      <w:tr w:rsidR="00962296" w14:paraId="4368A14A" w14:textId="77777777" w:rsidTr="008D3A6C">
        <w:trPr>
          <w:trHeight w:val="637"/>
        </w:trPr>
        <w:tc>
          <w:tcPr>
            <w:tcW w:w="4535" w:type="dxa"/>
            <w:vAlign w:val="center"/>
          </w:tcPr>
          <w:p w14:paraId="5C4EC2A1" w14:textId="77777777" w:rsidR="00962296" w:rsidRDefault="00962296" w:rsidP="008D3A6C">
            <w:pPr>
              <w:widowControl w:val="0"/>
              <w:spacing w:before="40" w:after="40" w:line="360" w:lineRule="auto"/>
              <w:jc w:val="both"/>
              <w:rPr>
                <w:rFonts w:ascii="Arial" w:hAnsi="Arial" w:cs="Arial"/>
                <w:snapToGrid w:val="0"/>
                <w:szCs w:val="24"/>
                <w:highlight w:val="yellow"/>
              </w:rPr>
            </w:pPr>
          </w:p>
          <w:p w14:paraId="40DA56CF" w14:textId="77777777" w:rsidR="00962296" w:rsidRDefault="00962296">
            <w:pPr>
              <w:widowControl w:val="0"/>
              <w:spacing w:before="40" w:after="40" w:line="360" w:lineRule="auto"/>
              <w:jc w:val="both"/>
              <w:rPr>
                <w:rFonts w:ascii="Arial" w:hAnsi="Arial" w:cs="Arial"/>
                <w:snapToGrid w:val="0"/>
                <w:szCs w:val="24"/>
                <w:highlight w:val="yellow"/>
              </w:rPr>
            </w:pPr>
          </w:p>
        </w:tc>
        <w:tc>
          <w:tcPr>
            <w:tcW w:w="4527" w:type="dxa"/>
            <w:vAlign w:val="center"/>
          </w:tcPr>
          <w:p w14:paraId="134118FF" w14:textId="77777777" w:rsidR="00962296" w:rsidRDefault="00962296" w:rsidP="008D3A6C">
            <w:pPr>
              <w:pStyle w:val="ListNumber3Level2"/>
              <w:widowControl w:val="0"/>
              <w:spacing w:before="40" w:after="40" w:line="360" w:lineRule="auto"/>
              <w:rPr>
                <w:rFonts w:ascii="Arial" w:hAnsi="Arial" w:cs="Arial"/>
                <w:snapToGrid w:val="0"/>
                <w:szCs w:val="24"/>
                <w:highlight w:val="yellow"/>
                <w:lang w:val="cs-CZ" w:eastAsia="cs-CZ"/>
              </w:rPr>
            </w:pPr>
          </w:p>
        </w:tc>
      </w:tr>
      <w:tr w:rsidR="00962296" w14:paraId="3B7E9BF0" w14:textId="77777777" w:rsidTr="008D3A6C">
        <w:tc>
          <w:tcPr>
            <w:tcW w:w="4535" w:type="dxa"/>
            <w:vAlign w:val="center"/>
          </w:tcPr>
          <w:p w14:paraId="200065A2"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poskytovatel</w:t>
            </w:r>
          </w:p>
        </w:tc>
        <w:tc>
          <w:tcPr>
            <w:tcW w:w="4527" w:type="dxa"/>
            <w:vAlign w:val="center"/>
          </w:tcPr>
          <w:p w14:paraId="4A47B1D9"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příjemce</w:t>
            </w:r>
          </w:p>
        </w:tc>
      </w:tr>
    </w:tbl>
    <w:p w14:paraId="03311252"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0C9875E3"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p>
    <w:p w14:paraId="4FEF2B61" w14:textId="77777777" w:rsidR="00962296" w:rsidRDefault="00962296" w:rsidP="00962296">
      <w:pPr>
        <w:pStyle w:val="Nadpis2"/>
        <w:spacing w:before="40" w:after="40"/>
        <w:jc w:val="left"/>
        <w:rPr>
          <w:snapToGrid w:val="0"/>
        </w:rPr>
      </w:pPr>
      <w:r>
        <w:rPr>
          <w:snapToGrid w:val="0"/>
        </w:rPr>
        <w:t>Přílohy smlouvy:</w:t>
      </w:r>
    </w:p>
    <w:p w14:paraId="256015A0"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Výzva k předkládání žádostí o podporu</w:t>
      </w:r>
    </w:p>
    <w:p w14:paraId="722A6D2B"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Stanovení snížených odvodů a méně závažných porušení smlouvy </w:t>
      </w:r>
    </w:p>
    <w:p w14:paraId="4AA186FA" w14:textId="05C1BC9F" w:rsidR="00C47939" w:rsidRPr="00C47939" w:rsidRDefault="00C47939" w:rsidP="00FC5AA8">
      <w:pPr>
        <w:widowControl w:val="0"/>
        <w:numPr>
          <w:ilvl w:val="0"/>
          <w:numId w:val="5"/>
        </w:numPr>
        <w:tabs>
          <w:tab w:val="clear" w:pos="1080"/>
          <w:tab w:val="num" w:pos="360"/>
        </w:tabs>
        <w:spacing w:before="40" w:after="40"/>
        <w:ind w:hanging="1080"/>
        <w:jc w:val="both"/>
        <w:rPr>
          <w:rFonts w:ascii="Arial" w:hAnsi="Arial" w:cs="Arial"/>
        </w:rPr>
      </w:pPr>
      <w:r w:rsidRPr="00C268D3">
        <w:rPr>
          <w:rFonts w:ascii="Arial" w:hAnsi="Arial" w:cs="Arial"/>
          <w:spacing w:val="5"/>
          <w:szCs w:val="22"/>
          <w:highlight w:val="yellow"/>
        </w:rPr>
        <w:t>Pověření k poskytování služby obecného hospodářského zájmu</w:t>
      </w:r>
    </w:p>
    <w:p w14:paraId="7B7B40FB" w14:textId="3BD4EED4" w:rsidR="00DD22CB" w:rsidRPr="005C7EE1" w:rsidRDefault="00DD22CB" w:rsidP="00962296">
      <w:pPr>
        <w:pStyle w:val="Nadpis2-zprva"/>
        <w:spacing w:before="40" w:after="40"/>
      </w:pPr>
    </w:p>
    <w:sectPr w:rsidR="00DD22CB" w:rsidRPr="005C7EE1" w:rsidSect="005B1207">
      <w:headerReference w:type="default" r:id="rId9"/>
      <w:footerReference w:type="default" r:id="rId10"/>
      <w:pgSz w:w="11906" w:h="16838" w:code="9"/>
      <w:pgMar w:top="709"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51FD3" w16cid:durableId="1DD02937"/>
  <w16cid:commentId w16cid:paraId="05951123" w16cid:durableId="1DD02938"/>
  <w16cid:commentId w16cid:paraId="0C52E250" w16cid:durableId="1DD02939"/>
  <w16cid:commentId w16cid:paraId="726BE63F" w16cid:durableId="1DD0293A"/>
  <w16cid:commentId w16cid:paraId="624AE885" w16cid:durableId="1DD0293B"/>
  <w16cid:commentId w16cid:paraId="789F5740" w16cid:durableId="1DD03A51"/>
  <w16cid:commentId w16cid:paraId="3C1DB45F" w16cid:durableId="1DD0293C"/>
  <w16cid:commentId w16cid:paraId="4627139B" w16cid:durableId="1DD0293D"/>
  <w16cid:commentId w16cid:paraId="03321822" w16cid:durableId="1DD0293E"/>
  <w16cid:commentId w16cid:paraId="05541947" w16cid:durableId="1DD0293F"/>
  <w16cid:commentId w16cid:paraId="24F1792F" w16cid:durableId="1DD02940"/>
  <w16cid:commentId w16cid:paraId="283DE1EA" w16cid:durableId="1DD02941"/>
  <w16cid:commentId w16cid:paraId="50D3582C" w16cid:durableId="1DD02942"/>
  <w16cid:commentId w16cid:paraId="73816F9F" w16cid:durableId="1DD03E5E"/>
  <w16cid:commentId w16cid:paraId="56E7A681" w16cid:durableId="1DD02943"/>
  <w16cid:commentId w16cid:paraId="03E4A1C9" w16cid:durableId="1DD02945"/>
  <w16cid:commentId w16cid:paraId="473E7D75" w16cid:durableId="1DD02946"/>
  <w16cid:commentId w16cid:paraId="38FAC619" w16cid:durableId="1DD02947"/>
  <w16cid:commentId w16cid:paraId="64DC6877" w16cid:durableId="1DD029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F16D33" w:rsidRDefault="00F16D33">
      <w:r>
        <w:separator/>
      </w:r>
    </w:p>
  </w:endnote>
  <w:endnote w:type="continuationSeparator" w:id="0">
    <w:p w14:paraId="7817783A" w14:textId="77777777" w:rsidR="00F16D33" w:rsidRDefault="00F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0D1A75A9" w:rsidR="00F16D33" w:rsidRDefault="00F16D33">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F43CEA">
      <w:rPr>
        <w:rStyle w:val="slostrnky"/>
        <w:rFonts w:ascii="Arial" w:hAnsi="Arial" w:cs="Arial"/>
        <w:noProof/>
        <w:sz w:val="18"/>
      </w:rPr>
      <w:t>16</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F43CEA">
      <w:rPr>
        <w:rStyle w:val="slostrnky"/>
        <w:rFonts w:ascii="Arial" w:hAnsi="Arial" w:cs="Arial"/>
        <w:noProof/>
        <w:sz w:val="18"/>
      </w:rPr>
      <w:t>20</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F16D33" w:rsidRDefault="00F16D33">
      <w:r>
        <w:separator/>
      </w:r>
    </w:p>
  </w:footnote>
  <w:footnote w:type="continuationSeparator" w:id="0">
    <w:p w14:paraId="675DE33B" w14:textId="77777777" w:rsidR="00F16D33" w:rsidRDefault="00F16D33">
      <w:r>
        <w:continuationSeparator/>
      </w:r>
    </w:p>
  </w:footnote>
  <w:footnote w:id="1">
    <w:p w14:paraId="501AAEFF" w14:textId="77777777" w:rsidR="00F16D33" w:rsidRPr="003C330B" w:rsidRDefault="00F16D33" w:rsidP="00962296">
      <w:pPr>
        <w:pStyle w:val="Textpoznpodarou"/>
        <w:rPr>
          <w:sz w:val="16"/>
          <w:szCs w:val="16"/>
          <w:lang w:val="cs-CZ"/>
        </w:rPr>
      </w:pPr>
      <w:r w:rsidRPr="003C330B">
        <w:rPr>
          <w:rStyle w:val="Znakapoznpodarou"/>
          <w:sz w:val="16"/>
          <w:szCs w:val="16"/>
        </w:rPr>
        <w:footnoteRef/>
      </w:r>
      <w:r w:rsidRPr="003C330B">
        <w:rPr>
          <w:sz w:val="16"/>
          <w:szCs w:val="16"/>
        </w:rPr>
        <w:t xml:space="preserve"> </w:t>
      </w:r>
      <w:r w:rsidRPr="003C330B">
        <w:rPr>
          <w:sz w:val="16"/>
          <w:szCs w:val="16"/>
          <w:lang w:val="cs-CZ"/>
        </w:rPr>
        <w:t>Přepočet na CZK dle aktuálního kurzu Evropské centrální banky ke dni účinnosti této Smlouvy</w:t>
      </w:r>
      <w:r>
        <w:rPr>
          <w:sz w:val="16"/>
          <w:szCs w:val="16"/>
          <w:lang w:val="cs-CZ"/>
        </w:rPr>
        <w:t>.</w:t>
      </w:r>
      <w:r w:rsidRPr="003C330B">
        <w:rPr>
          <w:sz w:val="16"/>
          <w:szCs w:val="16"/>
          <w:lang w:val="cs-CZ"/>
        </w:rPr>
        <w:t xml:space="preserve"> </w:t>
      </w:r>
    </w:p>
  </w:footnote>
  <w:footnote w:id="2">
    <w:p w14:paraId="303DF527" w14:textId="3102CC89" w:rsidR="00F16D33" w:rsidRPr="00962296" w:rsidRDefault="00F16D33">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Schválená žádost o podporu v informačním systému MS2014+</w:t>
      </w:r>
      <w:r>
        <w:rPr>
          <w:sz w:val="16"/>
          <w:lang w:val="cs-CZ"/>
        </w:rPr>
        <w:t>.</w:t>
      </w:r>
    </w:p>
  </w:footnote>
  <w:footnote w:id="3">
    <w:p w14:paraId="53F29B54" w14:textId="242EC19B" w:rsidR="00F16D33" w:rsidRPr="00962296" w:rsidRDefault="00F16D33">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4">
    <w:p w14:paraId="1D3DCE45" w14:textId="0F7FE2CE" w:rsidR="00F16D33" w:rsidRPr="001C7672" w:rsidRDefault="00F16D33">
      <w:pPr>
        <w:pStyle w:val="Textpoznpodarou"/>
        <w:rPr>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5">
    <w:p w14:paraId="2F8C8529" w14:textId="77777777" w:rsidR="00F16D33" w:rsidRPr="007164F0" w:rsidRDefault="00F16D33" w:rsidP="004F05FC">
      <w:pPr>
        <w:pStyle w:val="Textpoznpodarou"/>
        <w:rPr>
          <w:lang w:val="cs-CZ"/>
        </w:rPr>
      </w:pPr>
      <w:r>
        <w:rPr>
          <w:rStyle w:val="Znakapoznpodarou"/>
        </w:rPr>
        <w:footnoteRef/>
      </w:r>
      <w:r>
        <w:t xml:space="preserve"> </w:t>
      </w:r>
      <w:r w:rsidRPr="003C330B">
        <w:rPr>
          <w:sz w:val="16"/>
          <w:szCs w:val="16"/>
          <w:lang w:val="cs-CZ"/>
        </w:rPr>
        <w:t>Dle článku III. této smlouvy</w:t>
      </w:r>
      <w:r>
        <w:rPr>
          <w:sz w:val="16"/>
          <w:szCs w:val="16"/>
          <w:lang w:val="cs-CZ"/>
        </w:rPr>
        <w:t>.</w:t>
      </w:r>
    </w:p>
  </w:footnote>
  <w:footnote w:id="6">
    <w:p w14:paraId="671EDDFE" w14:textId="5520D88B" w:rsidR="00F16D33" w:rsidRPr="00667C9C" w:rsidRDefault="00F16D33">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7">
    <w:p w14:paraId="26374A91" w14:textId="44F17EEF" w:rsidR="00F16D33" w:rsidRPr="00434C75" w:rsidRDefault="00F16D33" w:rsidP="004671C4">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8">
    <w:p w14:paraId="2CD5B99B" w14:textId="604F42C0" w:rsidR="00F16D33" w:rsidRPr="00357DAD" w:rsidRDefault="00F16D33">
      <w:pPr>
        <w:pStyle w:val="Textpoznpodarou"/>
      </w:pPr>
      <w:r w:rsidRPr="00357DAD">
        <w:rPr>
          <w:rStyle w:val="Znakapoznpodarou"/>
          <w:sz w:val="18"/>
        </w:rPr>
        <w:footnoteRef/>
      </w:r>
      <w:r w:rsidRPr="00357DAD">
        <w:rPr>
          <w:sz w:val="18"/>
        </w:rPr>
        <w:t xml:space="preserve"> </w:t>
      </w:r>
      <w:r w:rsidRPr="00357DAD">
        <w:rPr>
          <w:sz w:val="16"/>
          <w:lang w:val="cs-CZ"/>
        </w:rPr>
        <w:t>Lhůty pro předložení žádosti o platbu jsou stanoveny v Pravidlech pro žadatele a příjemce.“</w:t>
      </w:r>
    </w:p>
  </w:footnote>
  <w:footnote w:id="9">
    <w:p w14:paraId="1FA28F6C" w14:textId="39558AF4" w:rsidR="00F16D33" w:rsidRPr="00E80182" w:rsidRDefault="00F16D33" w:rsidP="003815D1">
      <w:pPr>
        <w:pStyle w:val="Textpoznpodarou"/>
        <w:rPr>
          <w:lang w:val="cs-CZ"/>
        </w:rPr>
      </w:pPr>
      <w:r w:rsidRPr="00962296">
        <w:rPr>
          <w:rStyle w:val="Znakapoznpodarou"/>
          <w:sz w:val="16"/>
        </w:rPr>
        <w:footnoteRef/>
      </w:r>
      <w:r w:rsidRPr="00962296">
        <w:rPr>
          <w:sz w:val="16"/>
          <w:lang w:val="cs-CZ"/>
        </w:rPr>
        <w:t xml:space="preserve"> Dle článku III. této smlouvy</w:t>
      </w:r>
      <w:r>
        <w:rPr>
          <w:sz w:val="16"/>
          <w:lang w:val="cs-CZ"/>
        </w:rPr>
        <w:t>.</w:t>
      </w:r>
    </w:p>
  </w:footnote>
  <w:footnote w:id="10">
    <w:p w14:paraId="672E866C" w14:textId="33FC6418" w:rsidR="00F16D33" w:rsidRPr="00962296" w:rsidRDefault="00F16D33"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Dle článku III. této smlouvy</w:t>
      </w:r>
      <w:r>
        <w:rPr>
          <w:sz w:val="16"/>
          <w:lang w:val="cs-CZ"/>
        </w:rPr>
        <w:t>.</w:t>
      </w:r>
    </w:p>
  </w:footnote>
  <w:footnote w:id="11">
    <w:p w14:paraId="7EE7BEB6" w14:textId="4E60ACFF" w:rsidR="00F16D33" w:rsidRPr="00962296" w:rsidRDefault="00F16D33"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Dle článku III. této smlouvy</w:t>
      </w:r>
      <w:r>
        <w:rPr>
          <w:sz w:val="16"/>
          <w:lang w:val="cs-CZ"/>
        </w:rPr>
        <w:t>.</w:t>
      </w:r>
    </w:p>
  </w:footnote>
  <w:footnote w:id="12">
    <w:p w14:paraId="1B8C5863" w14:textId="2BC80AE1" w:rsidR="00F16D33" w:rsidRPr="00962296" w:rsidRDefault="00F16D33"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čl. 107 a násl. Smlouvy o fungování Evropské unie</w:t>
      </w:r>
      <w:r>
        <w:rPr>
          <w:sz w:val="16"/>
          <w:lang w:val="cs-CZ"/>
        </w:rPr>
        <w:t>.</w:t>
      </w:r>
    </w:p>
  </w:footnote>
  <w:footnote w:id="13">
    <w:p w14:paraId="722782A3" w14:textId="3ACAF26E" w:rsidR="00F16D33" w:rsidRPr="00962296" w:rsidRDefault="00F16D33"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4">
    <w:p w14:paraId="70CB9BA7" w14:textId="7D35D0C8" w:rsidR="00F16D33" w:rsidRPr="00435409" w:rsidRDefault="00F16D33" w:rsidP="00D32516">
      <w:pPr>
        <w:pStyle w:val="Textpoznpodarou"/>
        <w:rPr>
          <w:lang w:val="cs-CZ"/>
        </w:rPr>
      </w:pPr>
      <w:r w:rsidRPr="00962296">
        <w:rPr>
          <w:rStyle w:val="Znakapoznpodarou"/>
          <w:sz w:val="16"/>
        </w:rPr>
        <w:footnoteRef/>
      </w:r>
      <w:r>
        <w:rPr>
          <w:sz w:val="16"/>
          <w:lang w:val="cs-CZ"/>
        </w:rPr>
        <w:t xml:space="preserve"> </w:t>
      </w:r>
      <w:r w:rsidRPr="00962296">
        <w:rPr>
          <w:sz w:val="16"/>
          <w:lang w:val="cs-CZ"/>
        </w:rPr>
        <w:t>Dle kapitoly7.2, paragraf 207 Sdělení Komise o pojmu státní podpora podle čl. 107 Smlouvy o fungování Evropské unie</w:t>
      </w:r>
      <w:r>
        <w:rPr>
          <w:sz w:val="16"/>
          <w:lang w:val="cs-CZ"/>
        </w:rPr>
        <w:t>.</w:t>
      </w:r>
    </w:p>
  </w:footnote>
  <w:footnote w:id="15">
    <w:p w14:paraId="43AA11FD" w14:textId="06BB4497" w:rsidR="00F16D33" w:rsidRPr="00566D58" w:rsidRDefault="00F16D33">
      <w:pPr>
        <w:pStyle w:val="Textpoznpodarou"/>
      </w:pPr>
      <w:r w:rsidRPr="00566D58">
        <w:rPr>
          <w:rStyle w:val="Znakapoznpodarou"/>
          <w:sz w:val="18"/>
        </w:rPr>
        <w:footnoteRef/>
      </w:r>
      <w:r>
        <w:t xml:space="preserve"> </w:t>
      </w:r>
      <w:r w:rsidRPr="00962296">
        <w:rPr>
          <w:sz w:val="16"/>
          <w:lang w:val="cs-CZ"/>
        </w:rPr>
        <w:t>Dle článku III. této smlouvy</w:t>
      </w:r>
      <w:r>
        <w:rPr>
          <w:sz w:val="16"/>
          <w:lang w:val="cs-CZ"/>
        </w:rPr>
        <w:t>.</w:t>
      </w:r>
    </w:p>
  </w:footnote>
  <w:footnote w:id="16">
    <w:p w14:paraId="1410E913"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Dle článku III. této smlouvy</w:t>
      </w:r>
      <w:r>
        <w:rPr>
          <w:sz w:val="16"/>
          <w:szCs w:val="16"/>
          <w:lang w:val="cs-CZ"/>
        </w:rPr>
        <w:t>.</w:t>
      </w:r>
    </w:p>
  </w:footnote>
  <w:footnote w:id="17">
    <w:p w14:paraId="67CA2DDB"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Dle článku III. této smlouvy</w:t>
      </w:r>
      <w:r>
        <w:rPr>
          <w:sz w:val="16"/>
          <w:szCs w:val="16"/>
          <w:lang w:val="cs-CZ"/>
        </w:rPr>
        <w:t>.</w:t>
      </w:r>
    </w:p>
  </w:footnote>
  <w:footnote w:id="18">
    <w:p w14:paraId="524E0DFD"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čl. 107 a násl. Smlouvy o fungování Evropské unie</w:t>
      </w:r>
      <w:r>
        <w:rPr>
          <w:sz w:val="16"/>
          <w:szCs w:val="16"/>
          <w:lang w:val="cs-CZ"/>
        </w:rPr>
        <w:t>.</w:t>
      </w:r>
    </w:p>
  </w:footnote>
  <w:footnote w:id="19">
    <w:p w14:paraId="177B7E2D" w14:textId="77777777" w:rsidR="00F16D33" w:rsidRPr="00C354D3" w:rsidRDefault="00F16D33" w:rsidP="00962296">
      <w:pPr>
        <w:pStyle w:val="Textpoznpodarou"/>
        <w:rPr>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zákon č. 215/2004 Sb., o úpravě některých vztahů v oblasti veřejné podpory a o změně zákona o podpoře výzkumu a vývoje, ve znění pozdějších předpisů</w:t>
      </w:r>
      <w:r>
        <w:rPr>
          <w:sz w:val="16"/>
          <w:szCs w:val="16"/>
          <w:lang w:val="cs-CZ"/>
        </w:rPr>
        <w:t>.</w:t>
      </w:r>
    </w:p>
  </w:footnote>
  <w:footnote w:id="20">
    <w:p w14:paraId="7C42DB46" w14:textId="04B14A6F" w:rsidR="00F16D33" w:rsidRPr="00FC5AA8" w:rsidRDefault="00F16D33">
      <w:pPr>
        <w:pStyle w:val="Textpoznpodarou"/>
        <w:rPr>
          <w:lang w:val="cs-CZ"/>
        </w:rPr>
      </w:pPr>
      <w:r>
        <w:rPr>
          <w:rStyle w:val="Znakapoznpodarou"/>
        </w:rPr>
        <w:footnoteRef/>
      </w:r>
      <w:r>
        <w:t xml:space="preserve"> </w:t>
      </w:r>
      <w:r w:rsidRPr="00962296">
        <w:rPr>
          <w:sz w:val="16"/>
          <w:lang w:val="cs-CZ"/>
        </w:rPr>
        <w:t>Dle článku III. této smlouvy</w:t>
      </w:r>
      <w:r>
        <w:rPr>
          <w:sz w:val="16"/>
          <w:lang w:val="cs-CZ"/>
        </w:rPr>
        <w:t>.</w:t>
      </w:r>
    </w:p>
  </w:footnote>
  <w:footnote w:id="21">
    <w:p w14:paraId="5A6F5EBB"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Dle článku III. této smlouvy</w:t>
      </w:r>
      <w:r>
        <w:rPr>
          <w:sz w:val="16"/>
          <w:szCs w:val="16"/>
          <w:lang w:val="cs-CZ"/>
        </w:rPr>
        <w:t>.</w:t>
      </w:r>
    </w:p>
  </w:footnote>
  <w:footnote w:id="22">
    <w:p w14:paraId="7D920ED6"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Dle článku III. této smlouvy</w:t>
      </w:r>
      <w:r>
        <w:rPr>
          <w:sz w:val="16"/>
          <w:szCs w:val="16"/>
          <w:lang w:val="cs-CZ"/>
        </w:rPr>
        <w:t>.</w:t>
      </w:r>
    </w:p>
  </w:footnote>
  <w:footnote w:id="23">
    <w:p w14:paraId="67501EF3" w14:textId="77777777" w:rsidR="00F16D33" w:rsidRPr="003C330B" w:rsidRDefault="00F16D33" w:rsidP="00962296">
      <w:pPr>
        <w:pStyle w:val="Textpoznpodarou"/>
        <w:rPr>
          <w:sz w:val="16"/>
          <w:szCs w:val="16"/>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čl. 107 a násl. Smlouvy o fungování Evropské unie</w:t>
      </w:r>
      <w:r>
        <w:rPr>
          <w:sz w:val="16"/>
          <w:szCs w:val="16"/>
          <w:lang w:val="cs-CZ"/>
        </w:rPr>
        <w:t>.</w:t>
      </w:r>
    </w:p>
  </w:footnote>
  <w:footnote w:id="24">
    <w:p w14:paraId="07C0502F" w14:textId="77777777" w:rsidR="00F16D33" w:rsidRPr="00C354D3" w:rsidRDefault="00F16D33" w:rsidP="00962296">
      <w:pPr>
        <w:pStyle w:val="Textpoznpodarou"/>
        <w:rPr>
          <w:lang w:val="cs-CZ"/>
        </w:rPr>
      </w:pPr>
      <w:r w:rsidRPr="003C330B">
        <w:rPr>
          <w:rStyle w:val="Znakapoznpodarou"/>
          <w:sz w:val="16"/>
          <w:szCs w:val="16"/>
        </w:rPr>
        <w:footnoteRef/>
      </w:r>
      <w:r>
        <w:rPr>
          <w:sz w:val="16"/>
          <w:szCs w:val="16"/>
          <w:lang w:val="cs-CZ"/>
        </w:rPr>
        <w:t xml:space="preserve"> </w:t>
      </w:r>
      <w:r w:rsidRPr="003C330B">
        <w:rPr>
          <w:sz w:val="16"/>
          <w:szCs w:val="16"/>
          <w:lang w:val="cs-CZ"/>
        </w:rPr>
        <w:t>Zejména zákon č. 215/2004 Sb., o úpravě některých vztahů v oblasti veřejné podpory a o změně zákona o podpoře výzkumu a vývoje, ve znění pozdějších předpisů</w:t>
      </w:r>
      <w:r>
        <w:rPr>
          <w:sz w:val="16"/>
          <w:szCs w:val="16"/>
          <w:lang w:val="cs-CZ"/>
        </w:rPr>
        <w:t>.</w:t>
      </w:r>
    </w:p>
  </w:footnote>
  <w:footnote w:id="25">
    <w:p w14:paraId="0F6EBDA4" w14:textId="77777777" w:rsidR="00F16D33" w:rsidRPr="00BC2712" w:rsidRDefault="00F16D33" w:rsidP="00962296">
      <w:pPr>
        <w:pStyle w:val="Textpoznpodarou"/>
        <w:rPr>
          <w:lang w:val="cs-CZ"/>
        </w:rPr>
      </w:pPr>
      <w:r w:rsidRPr="00E13BB1">
        <w:rPr>
          <w:rStyle w:val="Znakapoznpodarou"/>
          <w:sz w:val="16"/>
          <w:szCs w:val="16"/>
        </w:rPr>
        <w:footnoteRef/>
      </w:r>
      <w:r w:rsidRPr="008545E8">
        <w:rPr>
          <w:sz w:val="16"/>
          <w:szCs w:val="16"/>
          <w:lang w:val="cs-CZ"/>
        </w:rPr>
        <w:t xml:space="preserve"> Dle článku III. této smlouvy.</w:t>
      </w:r>
    </w:p>
  </w:footnote>
  <w:footnote w:id="26">
    <w:p w14:paraId="782911F9" w14:textId="0F29547F" w:rsidR="00F16D33" w:rsidRPr="00566D58" w:rsidRDefault="00F16D33">
      <w:pPr>
        <w:pStyle w:val="Textpoznpodarou"/>
      </w:pPr>
      <w:r>
        <w:rPr>
          <w:rStyle w:val="Znakapoznpodarou"/>
        </w:rPr>
        <w:footnoteRef/>
      </w:r>
      <w:r>
        <w:t xml:space="preserve"> </w:t>
      </w:r>
      <w:r w:rsidRPr="008545E8">
        <w:rPr>
          <w:sz w:val="16"/>
          <w:szCs w:val="16"/>
          <w:lang w:val="cs-CZ"/>
        </w:rPr>
        <w:t>Dle článku III. této smlouvy.</w:t>
      </w:r>
    </w:p>
  </w:footnote>
  <w:footnote w:id="27">
    <w:p w14:paraId="2CA0E995" w14:textId="77777777" w:rsidR="00F16D33" w:rsidRPr="00C11778" w:rsidRDefault="00F16D33" w:rsidP="008C6960">
      <w:pPr>
        <w:pStyle w:val="Textpoznpodarou"/>
        <w:rPr>
          <w:lang w:val="cs-CZ"/>
        </w:rPr>
      </w:pPr>
      <w:r>
        <w:rPr>
          <w:rStyle w:val="Znakapoznpodarou"/>
        </w:rPr>
        <w:footnoteRef/>
      </w:r>
      <w:r>
        <w:t xml:space="preserve"> </w:t>
      </w:r>
      <w:r w:rsidRPr="00B13A04">
        <w:rPr>
          <w:sz w:val="16"/>
          <w:szCs w:val="16"/>
          <w:lang w:val="cs-CZ"/>
        </w:rPr>
        <w:t>Dle článku III. této smlouvy.</w:t>
      </w:r>
    </w:p>
  </w:footnote>
  <w:footnote w:id="28">
    <w:p w14:paraId="032F7FB6" w14:textId="77777777" w:rsidR="00F16D33" w:rsidRPr="00C11778" w:rsidRDefault="00F16D33" w:rsidP="008C6960">
      <w:pPr>
        <w:pStyle w:val="Textpoznpodarou"/>
        <w:rPr>
          <w:lang w:val="cs-CZ"/>
        </w:rPr>
      </w:pPr>
      <w:r w:rsidRPr="00670798">
        <w:rPr>
          <w:rStyle w:val="Znakapoznpodarou"/>
          <w:sz w:val="16"/>
        </w:rPr>
        <w:footnoteRef/>
      </w:r>
      <w:r>
        <w:t xml:space="preserve"> </w:t>
      </w:r>
      <w:r w:rsidRPr="00B13A04">
        <w:rPr>
          <w:sz w:val="16"/>
          <w:szCs w:val="16"/>
          <w:lang w:val="cs-CZ"/>
        </w:rPr>
        <w:t>Dle článku III. této smlouvy.</w:t>
      </w:r>
    </w:p>
  </w:footnote>
  <w:footnote w:id="29">
    <w:p w14:paraId="266DEEA2" w14:textId="77777777" w:rsidR="00F16D33" w:rsidRPr="00E13BB1" w:rsidRDefault="00F16D33" w:rsidP="00962296">
      <w:pPr>
        <w:pStyle w:val="Textpoznpodarou"/>
        <w:rPr>
          <w:sz w:val="16"/>
          <w:szCs w:val="16"/>
          <w:lang w:val="cs-CZ"/>
        </w:rPr>
      </w:pPr>
      <w:r w:rsidRPr="00E13BB1">
        <w:rPr>
          <w:rStyle w:val="Znakapoznpodarou"/>
          <w:sz w:val="16"/>
          <w:szCs w:val="16"/>
        </w:rPr>
        <w:footnoteRef/>
      </w:r>
      <w:r>
        <w:rPr>
          <w:sz w:val="16"/>
          <w:szCs w:val="16"/>
          <w:lang w:val="cs-CZ"/>
        </w:rPr>
        <w:t xml:space="preserve"> </w:t>
      </w:r>
      <w:r w:rsidRPr="00E13BB1">
        <w:rPr>
          <w:sz w:val="16"/>
          <w:lang w:val="cs-CZ"/>
        </w:rPr>
        <w:t>Dle článku III. této smlouvy.</w:t>
      </w:r>
    </w:p>
  </w:footnote>
  <w:footnote w:id="30">
    <w:p w14:paraId="14D3A614" w14:textId="06DF2A63" w:rsidR="00F16D33" w:rsidRPr="00FC5AA8" w:rsidRDefault="00F16D33">
      <w:pPr>
        <w:pStyle w:val="Textpoznpodarou"/>
        <w:rPr>
          <w:lang w:val="cs-CZ"/>
        </w:rPr>
      </w:pPr>
      <w:r w:rsidRPr="00670798">
        <w:rPr>
          <w:rStyle w:val="Znakapoznpodarou"/>
          <w:sz w:val="16"/>
        </w:rPr>
        <w:footnoteRef/>
      </w:r>
      <w:r w:rsidRPr="00670798">
        <w:rPr>
          <w:sz w:val="16"/>
        </w:rPr>
        <w:t xml:space="preserve"> </w:t>
      </w:r>
      <w:r w:rsidRPr="00962296">
        <w:rPr>
          <w:sz w:val="16"/>
          <w:lang w:val="cs-CZ"/>
        </w:rPr>
        <w:t>Dle článku III. této smlouvy</w:t>
      </w:r>
      <w:r>
        <w:rPr>
          <w:sz w:val="16"/>
          <w:lang w:val="cs-CZ"/>
        </w:rPr>
        <w:t>.</w:t>
      </w:r>
    </w:p>
  </w:footnote>
  <w:footnote w:id="31">
    <w:p w14:paraId="3A9B9B29" w14:textId="2547999A" w:rsidR="00F16D33" w:rsidRPr="00670798" w:rsidRDefault="00F16D33">
      <w:pPr>
        <w:pStyle w:val="Textpoznpodarou"/>
        <w:rPr>
          <w:lang w:val="cs-CZ"/>
        </w:rPr>
      </w:pPr>
      <w:r w:rsidRPr="00670798">
        <w:rPr>
          <w:rStyle w:val="Znakapoznpodarou"/>
          <w:sz w:val="16"/>
        </w:rPr>
        <w:footnoteRef/>
      </w:r>
      <w:r>
        <w:t xml:space="preserve"> </w:t>
      </w:r>
      <w:r w:rsidRPr="00670798">
        <w:rPr>
          <w:sz w:val="16"/>
          <w:lang w:val="cs-CZ"/>
        </w:rPr>
        <w:t>Dle článku III. této smlouvy.</w:t>
      </w:r>
    </w:p>
  </w:footnote>
  <w:footnote w:id="32">
    <w:p w14:paraId="1D75CBF4" w14:textId="77777777" w:rsidR="00F16D33" w:rsidRPr="00C268D3" w:rsidRDefault="00F16D33" w:rsidP="00C47939">
      <w:pPr>
        <w:pStyle w:val="Textpoznpodarou"/>
        <w:rPr>
          <w:lang w:val="cs-CZ"/>
        </w:rPr>
      </w:pPr>
      <w:r w:rsidRPr="00670798">
        <w:rPr>
          <w:rStyle w:val="Znakapoznpodarou"/>
          <w:sz w:val="16"/>
        </w:rPr>
        <w:footnoteRef/>
      </w:r>
      <w:r>
        <w:t xml:space="preserve"> </w:t>
      </w:r>
      <w:r w:rsidRPr="00B13A04">
        <w:rPr>
          <w:sz w:val="16"/>
          <w:szCs w:val="16"/>
          <w:lang w:val="cs-CZ"/>
        </w:rPr>
        <w:t>Dle článku III. této smlouvy.</w:t>
      </w:r>
    </w:p>
  </w:footnote>
  <w:footnote w:id="33">
    <w:p w14:paraId="55E5148A" w14:textId="77777777" w:rsidR="00F16D33" w:rsidRPr="00B13A04" w:rsidRDefault="00F16D33" w:rsidP="00C47939">
      <w:pPr>
        <w:pStyle w:val="Textpoznpodarou"/>
        <w:rPr>
          <w:sz w:val="16"/>
          <w:szCs w:val="16"/>
          <w:lang w:val="cs-CZ"/>
        </w:rPr>
      </w:pPr>
      <w:r w:rsidRPr="00B13A04">
        <w:rPr>
          <w:rStyle w:val="Znakapoznpodarou"/>
          <w:sz w:val="16"/>
          <w:szCs w:val="16"/>
        </w:rPr>
        <w:footnoteRef/>
      </w:r>
      <w:r w:rsidRPr="00B13A04">
        <w:rPr>
          <w:sz w:val="16"/>
          <w:szCs w:val="16"/>
        </w:rPr>
        <w:t xml:space="preserve"> </w:t>
      </w:r>
      <w:r w:rsidRPr="00B13A04">
        <w:rPr>
          <w:sz w:val="16"/>
          <w:szCs w:val="16"/>
          <w:lang w:val="cs-CZ"/>
        </w:rPr>
        <w:t>Dle článku III. této smlouvy.</w:t>
      </w:r>
    </w:p>
  </w:footnote>
  <w:footnote w:id="34">
    <w:p w14:paraId="5051E3B9" w14:textId="77777777" w:rsidR="00F16D33" w:rsidRPr="005473D2" w:rsidRDefault="00F16D33" w:rsidP="00C47939">
      <w:pPr>
        <w:pStyle w:val="Textpoznpodarou"/>
        <w:rPr>
          <w:lang w:val="cs-CZ"/>
        </w:rPr>
      </w:pPr>
      <w:r>
        <w:rPr>
          <w:rStyle w:val="Znakapoznpodarou"/>
        </w:rPr>
        <w:footnoteRef/>
      </w:r>
      <w:r>
        <w:t xml:space="preserve"> </w:t>
      </w:r>
      <w:r w:rsidRPr="00B13A04">
        <w:rPr>
          <w:sz w:val="16"/>
          <w:szCs w:val="16"/>
          <w:lang w:val="cs-CZ"/>
        </w:rPr>
        <w:t>Dle článku III. této smlouvy.</w:t>
      </w:r>
    </w:p>
  </w:footnote>
  <w:footnote w:id="35">
    <w:p w14:paraId="709A1821" w14:textId="77777777" w:rsidR="00F16D33" w:rsidRPr="00B13A04" w:rsidRDefault="00F16D33" w:rsidP="00C47939">
      <w:pPr>
        <w:pStyle w:val="Textpoznpodarou"/>
        <w:rPr>
          <w:sz w:val="16"/>
          <w:szCs w:val="16"/>
          <w:lang w:val="cs-CZ"/>
        </w:rPr>
      </w:pPr>
      <w:r w:rsidRPr="00B13A04">
        <w:rPr>
          <w:rStyle w:val="Znakapoznpodarou"/>
          <w:sz w:val="16"/>
          <w:szCs w:val="16"/>
        </w:rPr>
        <w:footnoteRef/>
      </w:r>
      <w:r w:rsidRPr="00B13A04">
        <w:rPr>
          <w:sz w:val="16"/>
          <w:szCs w:val="16"/>
          <w:lang w:val="cs-CZ"/>
        </w:rPr>
        <w:t xml:space="preserve"> Zejména čl. 107 a násl. Smlouvy o fungování Evropské unie.</w:t>
      </w:r>
    </w:p>
  </w:footnote>
  <w:footnote w:id="36">
    <w:p w14:paraId="629CA7B7" w14:textId="77777777" w:rsidR="00F16D33" w:rsidRPr="00B13A04" w:rsidRDefault="00F16D33" w:rsidP="00C47939">
      <w:pPr>
        <w:pStyle w:val="Textpoznpodarou"/>
        <w:rPr>
          <w:sz w:val="16"/>
          <w:szCs w:val="16"/>
          <w:lang w:val="cs-CZ"/>
        </w:rPr>
      </w:pPr>
      <w:r w:rsidRPr="00B13A04">
        <w:rPr>
          <w:rStyle w:val="Znakapoznpodarou"/>
          <w:sz w:val="16"/>
          <w:szCs w:val="16"/>
        </w:rPr>
        <w:footnoteRef/>
      </w:r>
      <w:r w:rsidRPr="00B13A04">
        <w:rPr>
          <w:sz w:val="16"/>
          <w:szCs w:val="16"/>
          <w:lang w:val="cs-CZ"/>
        </w:rPr>
        <w:t xml:space="preserve"> 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F16D33" w14:paraId="38CBA24B" w14:textId="77777777">
      <w:trPr>
        <w:trHeight w:val="555"/>
      </w:trPr>
      <w:tc>
        <w:tcPr>
          <w:tcW w:w="5220" w:type="dxa"/>
          <w:vAlign w:val="center"/>
        </w:tcPr>
        <w:p w14:paraId="0E368CEB" w14:textId="77777777" w:rsidR="00F16D33" w:rsidRDefault="00F16D33">
          <w:pPr>
            <w:pStyle w:val="normln0"/>
            <w:spacing w:before="40" w:after="40"/>
          </w:pPr>
        </w:p>
      </w:tc>
      <w:tc>
        <w:tcPr>
          <w:tcW w:w="3420" w:type="dxa"/>
          <w:vAlign w:val="center"/>
        </w:tcPr>
        <w:p w14:paraId="5DC8BA7B" w14:textId="77777777" w:rsidR="00F16D33" w:rsidRDefault="00F16D33">
          <w:pPr>
            <w:pStyle w:val="normln0"/>
            <w:spacing w:before="40" w:after="40"/>
            <w:jc w:val="right"/>
          </w:pPr>
        </w:p>
      </w:tc>
      <w:tc>
        <w:tcPr>
          <w:tcW w:w="1440" w:type="dxa"/>
          <w:vAlign w:val="center"/>
        </w:tcPr>
        <w:p w14:paraId="78A6F9D7" w14:textId="77777777" w:rsidR="00F16D33" w:rsidRDefault="00F16D33">
          <w:pPr>
            <w:pStyle w:val="normln0"/>
            <w:spacing w:before="40" w:after="40"/>
            <w:rPr>
              <w:sz w:val="16"/>
            </w:rPr>
          </w:pPr>
        </w:p>
      </w:tc>
    </w:tr>
  </w:tbl>
  <w:p w14:paraId="771DF461" w14:textId="77777777" w:rsidR="00F16D33" w:rsidRDefault="00F16D33">
    <w:pPr>
      <w:rPr>
        <w:vanish/>
      </w:rPr>
    </w:pPr>
  </w:p>
  <w:tbl>
    <w:tblPr>
      <w:tblW w:w="9288" w:type="dxa"/>
      <w:tblLook w:val="04A0" w:firstRow="1" w:lastRow="0" w:firstColumn="1" w:lastColumn="0" w:noHBand="0" w:noVBand="1"/>
    </w:tblPr>
    <w:tblGrid>
      <w:gridCol w:w="5376"/>
      <w:gridCol w:w="3912"/>
    </w:tblGrid>
    <w:tr w:rsidR="00F16D33" w14:paraId="5C61A9B1" w14:textId="77777777">
      <w:tc>
        <w:tcPr>
          <w:tcW w:w="5376" w:type="dxa"/>
          <w:shd w:val="clear" w:color="auto" w:fill="auto"/>
        </w:tcPr>
        <w:p w14:paraId="533524F9" w14:textId="77777777" w:rsidR="00F16D33" w:rsidRDefault="00F16D33">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F16D33" w:rsidRDefault="00F16D33">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F16D33" w:rsidRDefault="00F16D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3E444A3A"/>
    <w:lvl w:ilvl="0" w:tplc="AE4E6190">
      <w:start w:val="1"/>
      <w:numFmt w:val="decimal"/>
      <w:lvlText w:val="%1."/>
      <w:lvlJc w:val="left"/>
      <w:pPr>
        <w:tabs>
          <w:tab w:val="num" w:pos="1080"/>
        </w:tabs>
        <w:ind w:left="1080" w:hanging="360"/>
      </w:pPr>
      <w:rPr>
        <w:rFonts w:hint="default"/>
      </w:rPr>
    </w:lvl>
    <w:lvl w:ilvl="1" w:tplc="26DAD9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1F4A83"/>
    <w:multiLevelType w:val="hybridMultilevel"/>
    <w:tmpl w:val="D5664018"/>
    <w:lvl w:ilvl="0" w:tplc="0405000F">
      <w:start w:val="1"/>
      <w:numFmt w:val="decimal"/>
      <w:lvlText w:val="%1."/>
      <w:lvlJc w:val="left"/>
      <w:pPr>
        <w:ind w:left="720" w:hanging="360"/>
      </w:pPr>
    </w:lvl>
    <w:lvl w:ilvl="1" w:tplc="3F5E4AF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12568"/>
    <w:multiLevelType w:val="hybridMultilevel"/>
    <w:tmpl w:val="9E50DEB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A11767"/>
    <w:multiLevelType w:val="hybridMultilevel"/>
    <w:tmpl w:val="3814CF78"/>
    <w:lvl w:ilvl="0" w:tplc="74D6C5C2">
      <w:start w:val="1"/>
      <w:numFmt w:val="decimal"/>
      <w:lvlText w:val="%1."/>
      <w:lvlJc w:val="left"/>
      <w:pPr>
        <w:ind w:left="720" w:hanging="360"/>
      </w:pPr>
      <w:rPr>
        <w:rFonts w:ascii="Arial" w:hAnsi="Arial" w:cs="Arial" w:hint="default"/>
        <w:b w:val="0"/>
      </w:rPr>
    </w:lvl>
    <w:lvl w:ilvl="1" w:tplc="C180FE8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C51517"/>
    <w:multiLevelType w:val="multilevel"/>
    <w:tmpl w:val="B3A45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C52836"/>
    <w:multiLevelType w:val="hybridMultilevel"/>
    <w:tmpl w:val="9E243E98"/>
    <w:lvl w:ilvl="0" w:tplc="2F30D130">
      <w:start w:val="1"/>
      <w:numFmt w:val="bullet"/>
      <w:lvlText w:val="-"/>
      <w:lvlJc w:val="left"/>
      <w:pPr>
        <w:ind w:left="1429" w:hanging="360"/>
      </w:pPr>
      <w:rPr>
        <w:rFonts w:ascii="Calibri" w:eastAsiaTheme="minorHAnsi" w:hAnsi="Calibri" w:cstheme="minorBidi" w:hint="default"/>
      </w:rPr>
    </w:lvl>
    <w:lvl w:ilvl="1" w:tplc="04050019">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154DEA"/>
    <w:multiLevelType w:val="hybridMultilevel"/>
    <w:tmpl w:val="2D4ABB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F14EDD"/>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9C2F25"/>
    <w:multiLevelType w:val="hybridMultilevel"/>
    <w:tmpl w:val="9C34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4638D7"/>
    <w:multiLevelType w:val="hybridMultilevel"/>
    <w:tmpl w:val="930CB634"/>
    <w:lvl w:ilvl="0" w:tplc="2F30D130">
      <w:start w:val="1"/>
      <w:numFmt w:val="bullet"/>
      <w:lvlText w:val="-"/>
      <w:lvlJc w:val="left"/>
      <w:pPr>
        <w:ind w:left="1429" w:hanging="360"/>
      </w:pPr>
      <w:rPr>
        <w:rFonts w:ascii="Calibri" w:eastAsiaTheme="minorHAnsi" w:hAnsi="Calibri" w:cstheme="minorBidi" w:hint="default"/>
      </w:rPr>
    </w:lvl>
    <w:lvl w:ilvl="1" w:tplc="2F30D130">
      <w:start w:val="1"/>
      <w:numFmt w:val="bullet"/>
      <w:lvlText w:val="-"/>
      <w:lvlJc w:val="left"/>
      <w:pPr>
        <w:ind w:left="2149" w:hanging="360"/>
      </w:pPr>
      <w:rPr>
        <w:rFonts w:ascii="Calibri" w:eastAsiaTheme="minorHAnsi" w:hAnsi="Calibri" w:cstheme="minorBid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4156BF9"/>
    <w:multiLevelType w:val="hybridMultilevel"/>
    <w:tmpl w:val="FC2002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15:restartNumberingAfterBreak="0">
    <w:nsid w:val="60CE7FFE"/>
    <w:multiLevelType w:val="hybridMultilevel"/>
    <w:tmpl w:val="F1F6EBFA"/>
    <w:lvl w:ilvl="0" w:tplc="04050019">
      <w:start w:val="1"/>
      <w:numFmt w:val="lowerLetter"/>
      <w:lvlText w:val="%1."/>
      <w:lvlJc w:val="left"/>
      <w:pPr>
        <w:ind w:left="720" w:hanging="360"/>
      </w:pPr>
    </w:lvl>
    <w:lvl w:ilvl="1" w:tplc="3F5E4AF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A50ADB"/>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901F81"/>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27"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1"/>
  </w:num>
  <w:num w:numId="5">
    <w:abstractNumId w:val="28"/>
  </w:num>
  <w:num w:numId="6">
    <w:abstractNumId w:val="26"/>
  </w:num>
  <w:num w:numId="7">
    <w:abstractNumId w:val="21"/>
  </w:num>
  <w:num w:numId="8">
    <w:abstractNumId w:val="7"/>
  </w:num>
  <w:num w:numId="9">
    <w:abstractNumId w:val="15"/>
  </w:num>
  <w:num w:numId="10">
    <w:abstractNumId w:val="27"/>
  </w:num>
  <w:num w:numId="11">
    <w:abstractNumId w:val="4"/>
  </w:num>
  <w:num w:numId="12">
    <w:abstractNumId w:val="6"/>
  </w:num>
  <w:num w:numId="13">
    <w:abstractNumId w:val="19"/>
  </w:num>
  <w:num w:numId="14">
    <w:abstractNumId w:val="17"/>
  </w:num>
  <w:num w:numId="15">
    <w:abstractNumId w:val="25"/>
  </w:num>
  <w:num w:numId="16">
    <w:abstractNumId w:val="20"/>
  </w:num>
  <w:num w:numId="17">
    <w:abstractNumId w:val="23"/>
  </w:num>
  <w:num w:numId="18">
    <w:abstractNumId w:val="24"/>
  </w:num>
  <w:num w:numId="19">
    <w:abstractNumId w:val="13"/>
  </w:num>
  <w:num w:numId="20">
    <w:abstractNumId w:val="5"/>
  </w:num>
  <w:num w:numId="21">
    <w:abstractNumId w:val="11"/>
  </w:num>
  <w:num w:numId="22">
    <w:abstractNumId w:val="2"/>
  </w:num>
  <w:num w:numId="23">
    <w:abstractNumId w:val="16"/>
  </w:num>
  <w:num w:numId="24">
    <w:abstractNumId w:val="18"/>
  </w:num>
  <w:num w:numId="25">
    <w:abstractNumId w:val="22"/>
  </w:num>
  <w:num w:numId="26">
    <w:abstractNumId w:val="9"/>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066F1"/>
    <w:rsid w:val="000201B2"/>
    <w:rsid w:val="00030843"/>
    <w:rsid w:val="000308ED"/>
    <w:rsid w:val="0004617B"/>
    <w:rsid w:val="00074DC5"/>
    <w:rsid w:val="0007583B"/>
    <w:rsid w:val="0007669C"/>
    <w:rsid w:val="000A0E9E"/>
    <w:rsid w:val="000A160C"/>
    <w:rsid w:val="000A4F96"/>
    <w:rsid w:val="000A53EE"/>
    <w:rsid w:val="000B4A66"/>
    <w:rsid w:val="000B6BB6"/>
    <w:rsid w:val="000D520E"/>
    <w:rsid w:val="000E20ED"/>
    <w:rsid w:val="000E7937"/>
    <w:rsid w:val="000F61F1"/>
    <w:rsid w:val="0011358D"/>
    <w:rsid w:val="001206EA"/>
    <w:rsid w:val="0015035A"/>
    <w:rsid w:val="001538F3"/>
    <w:rsid w:val="00154B7A"/>
    <w:rsid w:val="0015664A"/>
    <w:rsid w:val="001706FE"/>
    <w:rsid w:val="00171BC5"/>
    <w:rsid w:val="00191526"/>
    <w:rsid w:val="001A0C61"/>
    <w:rsid w:val="001A66EB"/>
    <w:rsid w:val="001A7960"/>
    <w:rsid w:val="001C7672"/>
    <w:rsid w:val="001D62AC"/>
    <w:rsid w:val="001E49E4"/>
    <w:rsid w:val="001F60AC"/>
    <w:rsid w:val="002038DB"/>
    <w:rsid w:val="002077B6"/>
    <w:rsid w:val="0021129F"/>
    <w:rsid w:val="00221882"/>
    <w:rsid w:val="002317E6"/>
    <w:rsid w:val="00232369"/>
    <w:rsid w:val="002371CB"/>
    <w:rsid w:val="002430D1"/>
    <w:rsid w:val="00247DA3"/>
    <w:rsid w:val="00250400"/>
    <w:rsid w:val="00265538"/>
    <w:rsid w:val="002752FA"/>
    <w:rsid w:val="002767C1"/>
    <w:rsid w:val="00281886"/>
    <w:rsid w:val="00284C19"/>
    <w:rsid w:val="00292417"/>
    <w:rsid w:val="002C02C3"/>
    <w:rsid w:val="002C30AA"/>
    <w:rsid w:val="002D1381"/>
    <w:rsid w:val="002E2DFD"/>
    <w:rsid w:val="00335FFB"/>
    <w:rsid w:val="00344DA3"/>
    <w:rsid w:val="00351C8B"/>
    <w:rsid w:val="003523AD"/>
    <w:rsid w:val="00352785"/>
    <w:rsid w:val="00357DAD"/>
    <w:rsid w:val="003749C1"/>
    <w:rsid w:val="00380173"/>
    <w:rsid w:val="003815D1"/>
    <w:rsid w:val="003923F3"/>
    <w:rsid w:val="0039605E"/>
    <w:rsid w:val="003B2AD7"/>
    <w:rsid w:val="003C3307"/>
    <w:rsid w:val="003C471B"/>
    <w:rsid w:val="003D3C35"/>
    <w:rsid w:val="003E099B"/>
    <w:rsid w:val="003E5E58"/>
    <w:rsid w:val="0040267C"/>
    <w:rsid w:val="00404E5F"/>
    <w:rsid w:val="00407B0E"/>
    <w:rsid w:val="004124BF"/>
    <w:rsid w:val="00421B4C"/>
    <w:rsid w:val="004229D5"/>
    <w:rsid w:val="00422DB9"/>
    <w:rsid w:val="004333A4"/>
    <w:rsid w:val="00436478"/>
    <w:rsid w:val="004552E9"/>
    <w:rsid w:val="0045549C"/>
    <w:rsid w:val="004653B1"/>
    <w:rsid w:val="004671C4"/>
    <w:rsid w:val="0047519C"/>
    <w:rsid w:val="004778E9"/>
    <w:rsid w:val="00483067"/>
    <w:rsid w:val="0049017E"/>
    <w:rsid w:val="00492B42"/>
    <w:rsid w:val="004934EC"/>
    <w:rsid w:val="004A18F5"/>
    <w:rsid w:val="004A4222"/>
    <w:rsid w:val="004A5E5F"/>
    <w:rsid w:val="004B28D6"/>
    <w:rsid w:val="004C460C"/>
    <w:rsid w:val="004D1F2B"/>
    <w:rsid w:val="004D3512"/>
    <w:rsid w:val="004D789D"/>
    <w:rsid w:val="004F05FC"/>
    <w:rsid w:val="0050318A"/>
    <w:rsid w:val="00503E1C"/>
    <w:rsid w:val="00523ACE"/>
    <w:rsid w:val="00534A30"/>
    <w:rsid w:val="00536336"/>
    <w:rsid w:val="005375D0"/>
    <w:rsid w:val="00553D87"/>
    <w:rsid w:val="00554950"/>
    <w:rsid w:val="00556FDD"/>
    <w:rsid w:val="00566D58"/>
    <w:rsid w:val="00586F5B"/>
    <w:rsid w:val="005B1207"/>
    <w:rsid w:val="005B1B22"/>
    <w:rsid w:val="005B7ACC"/>
    <w:rsid w:val="005C3966"/>
    <w:rsid w:val="005C7EE1"/>
    <w:rsid w:val="005D0BC2"/>
    <w:rsid w:val="005D7C72"/>
    <w:rsid w:val="005E49A3"/>
    <w:rsid w:val="006067F8"/>
    <w:rsid w:val="00613E51"/>
    <w:rsid w:val="00624BAA"/>
    <w:rsid w:val="00627080"/>
    <w:rsid w:val="006329C1"/>
    <w:rsid w:val="00647D2F"/>
    <w:rsid w:val="006519B2"/>
    <w:rsid w:val="00652784"/>
    <w:rsid w:val="006574C2"/>
    <w:rsid w:val="00661779"/>
    <w:rsid w:val="00666DD2"/>
    <w:rsid w:val="00667C9C"/>
    <w:rsid w:val="00670798"/>
    <w:rsid w:val="0069517F"/>
    <w:rsid w:val="006A5CE0"/>
    <w:rsid w:val="006C058B"/>
    <w:rsid w:val="006D40D7"/>
    <w:rsid w:val="006E2038"/>
    <w:rsid w:val="006F1589"/>
    <w:rsid w:val="006F60A7"/>
    <w:rsid w:val="006F6639"/>
    <w:rsid w:val="00702C64"/>
    <w:rsid w:val="007137D5"/>
    <w:rsid w:val="00715D60"/>
    <w:rsid w:val="007164F0"/>
    <w:rsid w:val="00725535"/>
    <w:rsid w:val="0073296D"/>
    <w:rsid w:val="00734E4E"/>
    <w:rsid w:val="00740E01"/>
    <w:rsid w:val="00742E65"/>
    <w:rsid w:val="00746797"/>
    <w:rsid w:val="007826A6"/>
    <w:rsid w:val="00784A4B"/>
    <w:rsid w:val="00787A8A"/>
    <w:rsid w:val="007961D6"/>
    <w:rsid w:val="0079739D"/>
    <w:rsid w:val="007A7DC6"/>
    <w:rsid w:val="007B0B32"/>
    <w:rsid w:val="007C0D12"/>
    <w:rsid w:val="007E4FB8"/>
    <w:rsid w:val="007E6DBA"/>
    <w:rsid w:val="007F4EC9"/>
    <w:rsid w:val="007F69BD"/>
    <w:rsid w:val="00805DF0"/>
    <w:rsid w:val="00810485"/>
    <w:rsid w:val="00822B23"/>
    <w:rsid w:val="00827C7A"/>
    <w:rsid w:val="008306B8"/>
    <w:rsid w:val="00837B73"/>
    <w:rsid w:val="00841E4E"/>
    <w:rsid w:val="00846933"/>
    <w:rsid w:val="00847852"/>
    <w:rsid w:val="00854DEC"/>
    <w:rsid w:val="00862322"/>
    <w:rsid w:val="00863366"/>
    <w:rsid w:val="008713DB"/>
    <w:rsid w:val="00872B9D"/>
    <w:rsid w:val="008838C6"/>
    <w:rsid w:val="008A6A48"/>
    <w:rsid w:val="008C6960"/>
    <w:rsid w:val="008D0D2E"/>
    <w:rsid w:val="008D3A6C"/>
    <w:rsid w:val="008D3DE6"/>
    <w:rsid w:val="008D6E53"/>
    <w:rsid w:val="008F42BB"/>
    <w:rsid w:val="00900490"/>
    <w:rsid w:val="009045A0"/>
    <w:rsid w:val="00920D5F"/>
    <w:rsid w:val="009243A2"/>
    <w:rsid w:val="00924E9A"/>
    <w:rsid w:val="00930B9B"/>
    <w:rsid w:val="0094335A"/>
    <w:rsid w:val="00962296"/>
    <w:rsid w:val="00970E62"/>
    <w:rsid w:val="0098481A"/>
    <w:rsid w:val="00993067"/>
    <w:rsid w:val="009A247B"/>
    <w:rsid w:val="009A429C"/>
    <w:rsid w:val="009B72CE"/>
    <w:rsid w:val="009C0E86"/>
    <w:rsid w:val="009C123A"/>
    <w:rsid w:val="009C1B04"/>
    <w:rsid w:val="009C1ED7"/>
    <w:rsid w:val="009E4378"/>
    <w:rsid w:val="009E56DE"/>
    <w:rsid w:val="009F6F9F"/>
    <w:rsid w:val="00A171CD"/>
    <w:rsid w:val="00A27D34"/>
    <w:rsid w:val="00A50D51"/>
    <w:rsid w:val="00A66527"/>
    <w:rsid w:val="00A74602"/>
    <w:rsid w:val="00A9208E"/>
    <w:rsid w:val="00A93F6A"/>
    <w:rsid w:val="00AA2443"/>
    <w:rsid w:val="00AA4D76"/>
    <w:rsid w:val="00AA6F17"/>
    <w:rsid w:val="00AB17EB"/>
    <w:rsid w:val="00AC4C11"/>
    <w:rsid w:val="00AE0AAB"/>
    <w:rsid w:val="00AE189E"/>
    <w:rsid w:val="00AF24DA"/>
    <w:rsid w:val="00B10C52"/>
    <w:rsid w:val="00B160BD"/>
    <w:rsid w:val="00B1713C"/>
    <w:rsid w:val="00B30957"/>
    <w:rsid w:val="00B443DD"/>
    <w:rsid w:val="00B625C7"/>
    <w:rsid w:val="00B955B8"/>
    <w:rsid w:val="00BA17AF"/>
    <w:rsid w:val="00BA6C06"/>
    <w:rsid w:val="00BC17A7"/>
    <w:rsid w:val="00BC1CCB"/>
    <w:rsid w:val="00BC4388"/>
    <w:rsid w:val="00BF57B1"/>
    <w:rsid w:val="00BF7B28"/>
    <w:rsid w:val="00C00D88"/>
    <w:rsid w:val="00C071A6"/>
    <w:rsid w:val="00C107ED"/>
    <w:rsid w:val="00C17879"/>
    <w:rsid w:val="00C25444"/>
    <w:rsid w:val="00C3156E"/>
    <w:rsid w:val="00C31E7F"/>
    <w:rsid w:val="00C46F05"/>
    <w:rsid w:val="00C47939"/>
    <w:rsid w:val="00C47993"/>
    <w:rsid w:val="00C51E5B"/>
    <w:rsid w:val="00C54F52"/>
    <w:rsid w:val="00C64187"/>
    <w:rsid w:val="00C65463"/>
    <w:rsid w:val="00C701D0"/>
    <w:rsid w:val="00C70DB5"/>
    <w:rsid w:val="00C71832"/>
    <w:rsid w:val="00C72B34"/>
    <w:rsid w:val="00C91FE6"/>
    <w:rsid w:val="00C94651"/>
    <w:rsid w:val="00C9684E"/>
    <w:rsid w:val="00CA1A22"/>
    <w:rsid w:val="00CB4309"/>
    <w:rsid w:val="00CB53AC"/>
    <w:rsid w:val="00CE3CB5"/>
    <w:rsid w:val="00D32516"/>
    <w:rsid w:val="00D34495"/>
    <w:rsid w:val="00D4234C"/>
    <w:rsid w:val="00D50660"/>
    <w:rsid w:val="00D629DF"/>
    <w:rsid w:val="00D723B7"/>
    <w:rsid w:val="00D74FC5"/>
    <w:rsid w:val="00D7622F"/>
    <w:rsid w:val="00D80811"/>
    <w:rsid w:val="00D85F8C"/>
    <w:rsid w:val="00D907BB"/>
    <w:rsid w:val="00DB757A"/>
    <w:rsid w:val="00DC0F73"/>
    <w:rsid w:val="00DD22CB"/>
    <w:rsid w:val="00DD4662"/>
    <w:rsid w:val="00DD591F"/>
    <w:rsid w:val="00DF7B90"/>
    <w:rsid w:val="00E00B5C"/>
    <w:rsid w:val="00E03247"/>
    <w:rsid w:val="00E10202"/>
    <w:rsid w:val="00E15F8F"/>
    <w:rsid w:val="00E1676B"/>
    <w:rsid w:val="00E17154"/>
    <w:rsid w:val="00E274E1"/>
    <w:rsid w:val="00E35679"/>
    <w:rsid w:val="00E36BD6"/>
    <w:rsid w:val="00E413EE"/>
    <w:rsid w:val="00E46361"/>
    <w:rsid w:val="00E50204"/>
    <w:rsid w:val="00E53EAA"/>
    <w:rsid w:val="00E55746"/>
    <w:rsid w:val="00E6386B"/>
    <w:rsid w:val="00E71237"/>
    <w:rsid w:val="00E8328D"/>
    <w:rsid w:val="00E8370E"/>
    <w:rsid w:val="00E851CA"/>
    <w:rsid w:val="00E90AE4"/>
    <w:rsid w:val="00EA2788"/>
    <w:rsid w:val="00ED69BE"/>
    <w:rsid w:val="00ED7322"/>
    <w:rsid w:val="00EF46A3"/>
    <w:rsid w:val="00EF56B2"/>
    <w:rsid w:val="00F04854"/>
    <w:rsid w:val="00F04863"/>
    <w:rsid w:val="00F1023B"/>
    <w:rsid w:val="00F16D33"/>
    <w:rsid w:val="00F25CAC"/>
    <w:rsid w:val="00F36D60"/>
    <w:rsid w:val="00F36FBB"/>
    <w:rsid w:val="00F40FB3"/>
    <w:rsid w:val="00F43CEA"/>
    <w:rsid w:val="00F45FCA"/>
    <w:rsid w:val="00F60BD5"/>
    <w:rsid w:val="00F94584"/>
    <w:rsid w:val="00FA4C41"/>
    <w:rsid w:val="00FB101A"/>
    <w:rsid w:val="00FC049C"/>
    <w:rsid w:val="00FC5AA8"/>
    <w:rsid w:val="00FC5CEF"/>
    <w:rsid w:val="00FD24F0"/>
    <w:rsid w:val="00FF0BD3"/>
    <w:rsid w:val="00FF5C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rsid w:val="0035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15CB-CF95-47F2-8465-C00993E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9320</Words>
  <Characters>54073</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2018-03-27T14:44:00Z</dcterms:created>
  <dcterms:modified xsi:type="dcterms:W3CDTF">2018-03-27T14:44:00Z</dcterms:modified>
</cp:coreProperties>
</file>