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6D" w:rsidRPr="006145F2" w:rsidRDefault="00B0793D" w:rsidP="00BB0C8E">
      <w:pPr>
        <w:pStyle w:val="Termin"/>
        <w:keepNext/>
        <w:tabs>
          <w:tab w:val="left" w:pos="6521"/>
          <w:tab w:val="left" w:pos="7371"/>
        </w:tabs>
        <w:ind w:left="0" w:firstLine="0"/>
        <w:rPr>
          <w:b/>
          <w:sz w:val="20"/>
        </w:rPr>
      </w:pPr>
      <w:r>
        <w:rPr>
          <w:b/>
          <w:sz w:val="20"/>
        </w:rPr>
        <w:t>Kombinovaná kritéria – pokud projekt získá v kombinovaném kritériu 0 bodů, je projekt ze schvalovacího procesu vyloučen.</w:t>
      </w:r>
    </w:p>
    <w:p w:rsidR="00D94530" w:rsidRPr="006145F2" w:rsidRDefault="00D94530" w:rsidP="00D94530">
      <w:pPr>
        <w:pStyle w:val="Termin"/>
        <w:keepNext/>
        <w:tabs>
          <w:tab w:val="left" w:pos="6521"/>
          <w:tab w:val="left" w:pos="7371"/>
        </w:tabs>
        <w:rPr>
          <w:b/>
          <w:sz w:val="20"/>
        </w:rPr>
      </w:pPr>
      <w:r w:rsidRPr="006145F2">
        <w:rPr>
          <w:b/>
          <w:sz w:val="20"/>
        </w:rPr>
        <w:t>Hodnotitel uvede ke každému kritériu jasné a srozumitelné odůvodnění výsledku hodnocení.</w:t>
      </w:r>
    </w:p>
    <w:tbl>
      <w:tblPr>
        <w:tblStyle w:val="Mkatabulky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5"/>
        <w:gridCol w:w="4816"/>
        <w:gridCol w:w="1143"/>
        <w:gridCol w:w="1086"/>
        <w:gridCol w:w="50"/>
        <w:gridCol w:w="3117"/>
        <w:gridCol w:w="1277"/>
        <w:gridCol w:w="142"/>
        <w:gridCol w:w="1275"/>
      </w:tblGrid>
      <w:tr w:rsidR="00B0793D" w:rsidRPr="003256AC" w:rsidTr="00944CDC">
        <w:trPr>
          <w:cantSplit/>
          <w:trHeight w:val="716"/>
        </w:trPr>
        <w:tc>
          <w:tcPr>
            <w:tcW w:w="2545" w:type="dxa"/>
            <w:shd w:val="clear" w:color="auto" w:fill="BFBFBF" w:themeFill="background1" w:themeFillShade="BF"/>
            <w:noWrap/>
            <w:vAlign w:val="center"/>
          </w:tcPr>
          <w:p w:rsidR="00B0793D" w:rsidRPr="003256AC" w:rsidRDefault="00B0793D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AC"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4816" w:type="dxa"/>
            <w:shd w:val="clear" w:color="auto" w:fill="BFBFBF" w:themeFill="background1" w:themeFillShade="BF"/>
            <w:vAlign w:val="center"/>
            <w:hideMark/>
          </w:tcPr>
          <w:p w:rsidR="00B0793D" w:rsidRPr="003256AC" w:rsidRDefault="00B0793D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AC"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  <w:hideMark/>
          </w:tcPr>
          <w:p w:rsidR="00B0793D" w:rsidRPr="003256AC" w:rsidRDefault="00B0793D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AC">
              <w:rPr>
                <w:b/>
                <w:bCs/>
                <w:sz w:val="20"/>
                <w:szCs w:val="20"/>
              </w:rPr>
              <w:t>Body za jednotlivá kritéria</w:t>
            </w:r>
          </w:p>
        </w:tc>
        <w:tc>
          <w:tcPr>
            <w:tcW w:w="1136" w:type="dxa"/>
            <w:gridSpan w:val="2"/>
            <w:shd w:val="clear" w:color="auto" w:fill="BFBFBF" w:themeFill="background1" w:themeFillShade="BF"/>
            <w:vAlign w:val="center"/>
            <w:hideMark/>
          </w:tcPr>
          <w:p w:rsidR="00B0793D" w:rsidRPr="003256AC" w:rsidRDefault="00B0793D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AC">
              <w:rPr>
                <w:b/>
                <w:bCs/>
                <w:sz w:val="20"/>
                <w:szCs w:val="20"/>
              </w:rPr>
              <w:t>Způsob</w:t>
            </w:r>
            <w:r w:rsidRPr="003256AC">
              <w:rPr>
                <w:b/>
                <w:bCs/>
                <w:sz w:val="20"/>
                <w:szCs w:val="20"/>
              </w:rPr>
              <w:br/>
              <w:t>hodnocení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  <w:hideMark/>
          </w:tcPr>
          <w:p w:rsidR="00B0793D" w:rsidRPr="003256AC" w:rsidRDefault="00B0793D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AC"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57960" w:rsidRDefault="003B40DA" w:rsidP="00357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Funkce</w:t>
            </w:r>
            <w:r w:rsidR="00357960">
              <w:rPr>
                <w:b/>
                <w:bCs/>
                <w:sz w:val="20"/>
                <w:szCs w:val="20"/>
              </w:rPr>
              <w:t xml:space="preserve"> kritéria</w:t>
            </w:r>
          </w:p>
          <w:p w:rsidR="00B0793D" w:rsidRPr="003256AC" w:rsidRDefault="00B0793D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357960" w:rsidRDefault="00357960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B0793D" w:rsidRPr="00945E01" w:rsidTr="00B0793D">
        <w:trPr>
          <w:trHeight w:val="402"/>
        </w:trPr>
        <w:tc>
          <w:tcPr>
            <w:tcW w:w="1545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793D" w:rsidRDefault="003B40DA" w:rsidP="003B40DA">
            <w:pPr>
              <w:rPr>
                <w:b/>
                <w:bCs/>
                <w:i/>
                <w:sz w:val="18"/>
                <w:szCs w:val="20"/>
              </w:rPr>
            </w:pPr>
            <w:r w:rsidRPr="003B40DA">
              <w:rPr>
                <w:b/>
                <w:bCs/>
                <w:sz w:val="18"/>
                <w:szCs w:val="20"/>
              </w:rPr>
              <w:t>POTŘEBNOST</w:t>
            </w:r>
          </w:p>
        </w:tc>
      </w:tr>
      <w:tr w:rsidR="009B14AB" w:rsidRPr="00945E01" w:rsidTr="00266EEF">
        <w:trPr>
          <w:trHeight w:val="31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 Zdůvodnění potřebnosti projektu</w:t>
            </w:r>
          </w:p>
          <w:p w:rsidR="009B14AB" w:rsidRPr="00945E01" w:rsidRDefault="009B14AB" w:rsidP="00FA7F34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945E01" w:rsidRDefault="009B14AB" w:rsidP="003F4D09">
            <w:pPr>
              <w:rPr>
                <w:sz w:val="20"/>
                <w:szCs w:val="20"/>
              </w:rPr>
            </w:pPr>
            <w:r w:rsidRPr="00945E01">
              <w:rPr>
                <w:sz w:val="20"/>
                <w:szCs w:val="20"/>
              </w:rPr>
              <w:t>Potřeba realizace pro</w:t>
            </w:r>
            <w:r>
              <w:rPr>
                <w:sz w:val="20"/>
                <w:szCs w:val="20"/>
              </w:rPr>
              <w:t>jektu je prokazatelně doložena zpracovanou analýzou na základě empirických dat. Žadatel specifikuje přínosy projetu</w:t>
            </w:r>
            <w:r w:rsidR="003F4D09">
              <w:rPr>
                <w:sz w:val="20"/>
                <w:szCs w:val="20"/>
              </w:rPr>
              <w:t xml:space="preserve">, např. pokrytí poptávky po nových kapacitách VTP/PI a/nebo po sdílené infrastruktuře či specifickém vybavení. </w:t>
            </w:r>
            <w:r>
              <w:rPr>
                <w:sz w:val="20"/>
                <w:szCs w:val="20"/>
              </w:rPr>
              <w:t xml:space="preserve"> </w:t>
            </w:r>
            <w:r w:rsidR="003F4D09">
              <w:rPr>
                <w:sz w:val="20"/>
                <w:szCs w:val="20"/>
              </w:rPr>
              <w:t>Identifikované přínosy jsou relevantní.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righ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15 </w:t>
            </w:r>
            <w:r w:rsidRPr="006F4308">
              <w:rPr>
                <w:rFonts w:cs="Arial"/>
                <w:sz w:val="20"/>
              </w:rPr>
              <w:t>bodů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Max. 15 </w:t>
            </w:r>
            <w:r w:rsidRPr="00DB600B">
              <w:rPr>
                <w:b/>
                <w:bCs/>
                <w:sz w:val="20"/>
              </w:rPr>
              <w:t>bodů</w:t>
            </w:r>
          </w:p>
          <w:p w:rsidR="009B14AB" w:rsidRPr="006F4308" w:rsidRDefault="009B14AB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Pr="00A65C9C" w:rsidRDefault="008175CA" w:rsidP="00FA7F3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cs-CZ"/>
              </w:rPr>
              <w:t>Žádost o podporu, Studie proveditelnosti</w:t>
            </w:r>
            <w:r w:rsidR="009B14AB" w:rsidRPr="00D60363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br/>
            </w:r>
            <w:r w:rsidR="009B14AB" w:rsidRPr="00D60363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Žadatel prokáže potřebnost projektu pro danou oblast</w:t>
            </w:r>
            <w:r w:rsidR="003F4D09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, tj. potřebnost nových nebo rozšíření stávajících kapacit VTP/PI</w:t>
            </w:r>
            <w:r w:rsidR="003F4D09" w:rsidRPr="00D60363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 xml:space="preserve">. </w:t>
            </w:r>
            <w:r w:rsidR="009B14AB" w:rsidRPr="00D60363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 xml:space="preserve"> </w:t>
            </w:r>
            <w:r w:rsidR="009B14AB" w:rsidRPr="00D60363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br/>
              <w:t>Potřebnost projektu by měla být zároveň dostatečně ob</w:t>
            </w:r>
            <w:r w:rsidR="009B14A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 xml:space="preserve">jektivně doložena např. analýzou, poptávkou, statistickými daty. </w:t>
            </w:r>
            <w:r w:rsidR="009B14AB" w:rsidRPr="00A65C9C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 xml:space="preserve">Bodové ohodnocení je přiděleno s ohledem na kvalitu analýzy </w:t>
            </w:r>
          </w:p>
          <w:p w:rsidR="009B14AB" w:rsidRPr="00733A2E" w:rsidRDefault="009B14AB" w:rsidP="00B0793D">
            <w:pPr>
              <w:rPr>
                <w:bCs/>
                <w:i/>
                <w:iCs/>
                <w:sz w:val="20"/>
                <w:szCs w:val="20"/>
              </w:rPr>
            </w:pPr>
            <w:r w:rsidRPr="00A65C9C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 xml:space="preserve">a relevanci dat, z nichž vychází.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AB" w:rsidRDefault="009B14AB" w:rsidP="00FA7F34">
            <w:pPr>
              <w:rPr>
                <w:bCs/>
                <w:i/>
                <w:iCs/>
                <w:sz w:val="20"/>
                <w:szCs w:val="20"/>
              </w:rPr>
            </w:pPr>
          </w:p>
          <w:p w:rsidR="009B14AB" w:rsidRDefault="009B14AB" w:rsidP="0091396D">
            <w:pPr>
              <w:rPr>
                <w:bCs/>
                <w:i/>
                <w:iCs/>
                <w:sz w:val="20"/>
                <w:szCs w:val="20"/>
              </w:rPr>
            </w:pPr>
          </w:p>
          <w:p w:rsidR="009B14AB" w:rsidRDefault="009B14AB" w:rsidP="0091396D">
            <w:pPr>
              <w:rPr>
                <w:bCs/>
                <w:i/>
                <w:iCs/>
                <w:sz w:val="20"/>
                <w:szCs w:val="20"/>
              </w:rPr>
            </w:pPr>
          </w:p>
          <w:p w:rsidR="009B14AB" w:rsidRDefault="009B14AB" w:rsidP="0091396D">
            <w:pPr>
              <w:rPr>
                <w:bCs/>
                <w:i/>
                <w:iCs/>
                <w:sz w:val="20"/>
                <w:szCs w:val="20"/>
              </w:rPr>
            </w:pPr>
          </w:p>
          <w:p w:rsidR="009B14AB" w:rsidRPr="006776A6" w:rsidRDefault="009B14AB" w:rsidP="0091396D">
            <w:pPr>
              <w:rPr>
                <w:bCs/>
                <w:i/>
                <w:iCs/>
                <w:sz w:val="20"/>
                <w:szCs w:val="20"/>
              </w:rPr>
            </w:pPr>
            <w:r w:rsidRPr="00B0793D"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Default="009B14AB" w:rsidP="009B14AB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Pr="00B0793D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4AB" w:rsidRPr="00945E01" w:rsidTr="00266EEF">
        <w:trPr>
          <w:trHeight w:val="729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945E01" w:rsidRDefault="009B14AB" w:rsidP="00FA7F34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945E01" w:rsidRDefault="009B14AB" w:rsidP="000C4B5C">
            <w:pPr>
              <w:rPr>
                <w:sz w:val="20"/>
                <w:szCs w:val="20"/>
              </w:rPr>
            </w:pPr>
            <w:r w:rsidRPr="00945E01">
              <w:rPr>
                <w:sz w:val="20"/>
                <w:szCs w:val="20"/>
              </w:rPr>
              <w:t xml:space="preserve">Potřeba realizace projektu je popsána, ale není </w:t>
            </w:r>
            <w:r>
              <w:rPr>
                <w:sz w:val="20"/>
                <w:szCs w:val="20"/>
              </w:rPr>
              <w:t>prokazatelně doložena empirickými daty/výzkumem</w:t>
            </w:r>
            <w:r w:rsidRPr="00945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Přínosy projektu jsou žadatelem identifikovány.</w:t>
            </w:r>
            <w:r w:rsidRPr="00945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B0793D">
            <w:pPr>
              <w:jc w:val="right"/>
              <w:rPr>
                <w:sz w:val="20"/>
              </w:rPr>
            </w:pPr>
            <w:r>
              <w:rPr>
                <w:rFonts w:cs="Arial"/>
                <w:sz w:val="20"/>
              </w:rPr>
              <w:t>10 bodů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4AB" w:rsidRPr="00945E01" w:rsidTr="00266EEF">
        <w:trPr>
          <w:trHeight w:val="63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945E01" w:rsidRDefault="009B14AB" w:rsidP="00FA7F34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Potřeba realizace projektu je částečně popsána, event. doložena nepodloženým průzkumem. Přínosy projektu jsou částečně specifikovány.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B0793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bodů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4AB" w:rsidRPr="00945E01" w:rsidTr="00266EEF">
        <w:trPr>
          <w:trHeight w:val="632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945E01" w:rsidRDefault="009B14AB" w:rsidP="00FA7F34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Potřeba realizace projektu není doložena zpracovanou analýzou na základě empirických dat. Identifikované přínosy projektu nejsou pro projekt relevantní.</w:t>
            </w:r>
          </w:p>
          <w:p w:rsidR="009B14AB" w:rsidRPr="00A44FDA" w:rsidRDefault="009B14AB" w:rsidP="00FA7F34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right"/>
              <w:rPr>
                <w:sz w:val="20"/>
              </w:rPr>
            </w:pPr>
            <w:r w:rsidRPr="006F4308">
              <w:rPr>
                <w:rFonts w:cs="Arial"/>
                <w:sz w:val="20"/>
              </w:rPr>
              <w:t>0 bodů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4AB" w:rsidRPr="00945E01" w:rsidTr="00266EEF">
        <w:trPr>
          <w:trHeight w:val="256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Default="009B14AB" w:rsidP="0091396D">
            <w:pPr>
              <w:rPr>
                <w:sz w:val="20"/>
                <w:szCs w:val="20"/>
              </w:rPr>
            </w:pPr>
          </w:p>
          <w:p w:rsidR="009B14AB" w:rsidRDefault="009B14AB" w:rsidP="0091396D">
            <w:pPr>
              <w:rPr>
                <w:sz w:val="20"/>
                <w:szCs w:val="20"/>
              </w:rPr>
            </w:pPr>
          </w:p>
          <w:p w:rsidR="009B14AB" w:rsidRDefault="009B14AB" w:rsidP="0091396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40DA">
              <w:rPr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45E01">
              <w:rPr>
                <w:sz w:val="20"/>
                <w:szCs w:val="20"/>
              </w:rPr>
              <w:t>Vazba projektu na jiné aktivity</w:t>
            </w:r>
            <w:r>
              <w:rPr>
                <w:sz w:val="20"/>
                <w:szCs w:val="20"/>
              </w:rPr>
              <w:t xml:space="preserve"> </w:t>
            </w:r>
          </w:p>
          <w:p w:rsidR="009B14AB" w:rsidRDefault="009B14AB" w:rsidP="00FA7F34">
            <w:pPr>
              <w:rPr>
                <w:rFonts w:cs="Arial"/>
                <w:sz w:val="20"/>
                <w:szCs w:val="20"/>
              </w:rPr>
            </w:pPr>
          </w:p>
          <w:p w:rsidR="009B14AB" w:rsidRPr="00733A2E" w:rsidRDefault="009B14AB" w:rsidP="00FA7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navazuje na jiné rozvojové projekty zrealizované žadatelem v předchozím období (projekty VTP zrealizované v rámci OP PPR, </w:t>
            </w:r>
            <w:r w:rsidRPr="00890F7B">
              <w:rPr>
                <w:sz w:val="20"/>
                <w:szCs w:val="20"/>
              </w:rPr>
              <w:t>jiného OP, jiného dotačního programu</w:t>
            </w:r>
            <w:r>
              <w:rPr>
                <w:sz w:val="20"/>
                <w:szCs w:val="20"/>
              </w:rPr>
              <w:t xml:space="preserve">, vlastních investičních aktivit). </w:t>
            </w:r>
            <w:r w:rsidRPr="00890F7B">
              <w:rPr>
                <w:sz w:val="20"/>
                <w:szCs w:val="20"/>
              </w:rPr>
              <w:t xml:space="preserve">Projekty musí mít přímou návaznost, která je detailně popsána nebo jde o projekty vzájemně se </w:t>
            </w:r>
            <w:r>
              <w:rPr>
                <w:sz w:val="20"/>
                <w:szCs w:val="20"/>
              </w:rPr>
              <w:t>doplňující.</w:t>
            </w:r>
          </w:p>
          <w:p w:rsidR="009B14AB" w:rsidRDefault="009B14AB" w:rsidP="005C37AC">
            <w:pPr>
              <w:rPr>
                <w:sz w:val="20"/>
                <w:szCs w:val="20"/>
              </w:rPr>
            </w:pPr>
          </w:p>
          <w:p w:rsidR="009B14AB" w:rsidRPr="00945E01" w:rsidRDefault="009B14AB" w:rsidP="005C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každý projekt 0,5 bodu.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6E17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6E178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– 2 body</w:t>
            </w:r>
          </w:p>
          <w:p w:rsidR="009B14AB" w:rsidRPr="006F4308" w:rsidRDefault="009B14AB" w:rsidP="00B2432D">
            <w:pPr>
              <w:jc w:val="right"/>
              <w:rPr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Pr="006F4308" w:rsidRDefault="009B14AB" w:rsidP="00FA7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Max. 2 body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Pr="00733A2E" w:rsidRDefault="008175CA" w:rsidP="00944CD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Žádost o podporu, Studie proveditelnosti </w:t>
            </w:r>
            <w:r w:rsidR="009B14AB" w:rsidRPr="00945E01">
              <w:rPr>
                <w:sz w:val="20"/>
                <w:szCs w:val="20"/>
              </w:rPr>
              <w:t>Projekt</w:t>
            </w:r>
            <w:r w:rsidR="009B14AB">
              <w:rPr>
                <w:sz w:val="20"/>
                <w:szCs w:val="20"/>
              </w:rPr>
              <w:t xml:space="preserve"> dále</w:t>
            </w:r>
            <w:r w:rsidR="009B14AB" w:rsidRPr="00945E01">
              <w:rPr>
                <w:sz w:val="20"/>
                <w:szCs w:val="20"/>
              </w:rPr>
              <w:t xml:space="preserve"> navazuje na jiné</w:t>
            </w:r>
            <w:r w:rsidR="009B14AB">
              <w:rPr>
                <w:sz w:val="20"/>
                <w:szCs w:val="20"/>
              </w:rPr>
              <w:t xml:space="preserve"> tematicky</w:t>
            </w:r>
            <w:r w:rsidR="009B14AB" w:rsidRPr="00945E01">
              <w:rPr>
                <w:sz w:val="20"/>
                <w:szCs w:val="20"/>
              </w:rPr>
              <w:t xml:space="preserve"> </w:t>
            </w:r>
            <w:r w:rsidR="009B14AB">
              <w:rPr>
                <w:sz w:val="20"/>
                <w:szCs w:val="20"/>
              </w:rPr>
              <w:t xml:space="preserve">relevantní </w:t>
            </w:r>
            <w:r w:rsidR="009B14AB" w:rsidRPr="00945E01">
              <w:rPr>
                <w:sz w:val="20"/>
                <w:szCs w:val="20"/>
              </w:rPr>
              <w:t>rozvojové projekty zrealizované</w:t>
            </w:r>
            <w:r w:rsidR="009B14AB">
              <w:rPr>
                <w:sz w:val="20"/>
                <w:szCs w:val="20"/>
              </w:rPr>
              <w:t xml:space="preserve"> žadatelem v předchozím období (referenční období max. 8 let). </w:t>
            </w:r>
            <w:r w:rsidR="009B14AB" w:rsidRPr="00945E01">
              <w:rPr>
                <w:sz w:val="20"/>
                <w:szCs w:val="20"/>
              </w:rPr>
              <w:t xml:space="preserve"> Projekty musí mít přímou návaznost, která je detailně popsána nebo jde o p</w:t>
            </w:r>
            <w:r w:rsidR="009B14AB">
              <w:rPr>
                <w:sz w:val="20"/>
                <w:szCs w:val="20"/>
              </w:rPr>
              <w:t xml:space="preserve">rojekty vzájemně se doplňující.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4AB" w:rsidRPr="00945E01" w:rsidTr="00266EEF">
        <w:trPr>
          <w:trHeight w:val="1590"/>
        </w:trPr>
        <w:tc>
          <w:tcPr>
            <w:tcW w:w="2545" w:type="dxa"/>
            <w:vMerge w:val="restart"/>
            <w:tcBorders>
              <w:top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  <w:r w:rsidRPr="00D10C0D">
              <w:rPr>
                <w:rFonts w:cs="Arial"/>
                <w:color w:val="000000"/>
                <w:sz w:val="20"/>
                <w:szCs w:val="20"/>
              </w:rPr>
              <w:t xml:space="preserve"> Partnerství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9B14AB" w:rsidRPr="00D10C0D" w:rsidRDefault="009B14AB" w:rsidP="00FA7F34">
            <w:pPr>
              <w:rPr>
                <w:sz w:val="20"/>
                <w:szCs w:val="20"/>
              </w:rPr>
            </w:pPr>
            <w:r w:rsidRPr="00D10C0D">
              <w:rPr>
                <w:sz w:val="20"/>
                <w:szCs w:val="20"/>
              </w:rPr>
              <w:t>Žadatel popíše konkrétní způsob spolupráce s partnery v rámci předkládaného projektu ve všech jeho fázích</w:t>
            </w:r>
            <w:r>
              <w:rPr>
                <w:sz w:val="20"/>
                <w:szCs w:val="20"/>
              </w:rPr>
              <w:t xml:space="preserve"> a toto doloží dokladem o partnerství</w:t>
            </w:r>
            <w:r w:rsidRPr="00176985">
              <w:rPr>
                <w:sz w:val="20"/>
                <w:szCs w:val="20"/>
              </w:rPr>
              <w:t>.</w:t>
            </w:r>
            <w:r w:rsidRPr="00D10C0D">
              <w:rPr>
                <w:sz w:val="20"/>
                <w:szCs w:val="20"/>
              </w:rPr>
              <w:t xml:space="preserve"> Zásadně odliší partnery od subdodavatelů, kteří se budou na projektu podílet na komerční bázi (ti nejsou považováni za partnery!), partnerství je pro projekt přínosné</w:t>
            </w:r>
          </w:p>
          <w:p w:rsidR="009B14AB" w:rsidRPr="001D6705" w:rsidRDefault="009B14AB" w:rsidP="00FA7F34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9B14AB" w:rsidRDefault="009B14AB" w:rsidP="00D553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2 body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  <w:vAlign w:val="center"/>
          </w:tcPr>
          <w:p w:rsidR="009B14AB" w:rsidRDefault="009B14AB" w:rsidP="00D553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Max. 2 body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4AB" w:rsidRPr="00176985" w:rsidRDefault="009B14AB" w:rsidP="00727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partnerství v příslušné pasáži žádosti</w:t>
            </w:r>
            <w:r w:rsidR="008175CA">
              <w:rPr>
                <w:b/>
                <w:sz w:val="20"/>
                <w:szCs w:val="20"/>
              </w:rPr>
              <w:t xml:space="preserve"> o podporu</w:t>
            </w:r>
            <w:r>
              <w:rPr>
                <w:b/>
                <w:sz w:val="20"/>
                <w:szCs w:val="20"/>
              </w:rPr>
              <w:t xml:space="preserve"> a studie proveditelnosti, doklad o partnerství</w:t>
            </w:r>
          </w:p>
          <w:p w:rsidR="009B14AB" w:rsidRPr="00176985" w:rsidRDefault="009B14AB" w:rsidP="007279BD">
            <w:pPr>
              <w:rPr>
                <w:b/>
                <w:sz w:val="20"/>
                <w:szCs w:val="20"/>
              </w:rPr>
            </w:pPr>
          </w:p>
          <w:p w:rsidR="009B14AB" w:rsidRDefault="009B14AB" w:rsidP="007279BD">
            <w:pPr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Žadatel vymezuje zapojení partnera/-ů do projektu (u něhož/nichž bylo partnerství doloženo smlouvou/dohodou) do projektu </w:t>
            </w:r>
            <w:r w:rsidRPr="00377293">
              <w:rPr>
                <w:i/>
                <w:iCs/>
                <w:sz w:val="20"/>
                <w:szCs w:val="20"/>
              </w:rPr>
              <w:t>(</w:t>
            </w:r>
            <w:r w:rsidRPr="00864628">
              <w:rPr>
                <w:i/>
                <w:iCs/>
                <w:sz w:val="20"/>
                <w:szCs w:val="20"/>
              </w:rPr>
              <w:t>materiálně,</w:t>
            </w:r>
            <w:r w:rsidRPr="00F61ACA">
              <w:rPr>
                <w:i/>
                <w:iCs/>
                <w:sz w:val="20"/>
                <w:szCs w:val="20"/>
              </w:rPr>
              <w:t xml:space="preserve"> odbornými službami či finančn</w:t>
            </w:r>
            <w:r>
              <w:rPr>
                <w:i/>
                <w:iCs/>
                <w:sz w:val="20"/>
                <w:szCs w:val="20"/>
              </w:rPr>
              <w:t>ě</w:t>
            </w:r>
            <w:r w:rsidRPr="00B423BE">
              <w:rPr>
                <w:i/>
                <w:iCs/>
                <w:sz w:val="20"/>
                <w:szCs w:val="20"/>
              </w:rPr>
              <w:t>)</w:t>
            </w:r>
            <w:r w:rsidRPr="00377293">
              <w:rPr>
                <w:i/>
                <w:iCs/>
                <w:sz w:val="20"/>
                <w:szCs w:val="20"/>
              </w:rPr>
              <w:t xml:space="preserve"> v</w:t>
            </w:r>
            <w:r>
              <w:rPr>
                <w:i/>
                <w:iCs/>
                <w:sz w:val="20"/>
                <w:szCs w:val="20"/>
              </w:rPr>
              <w:t xml:space="preserve"> předinvestiční (např. realizaci analýzy/definování cílů a aktivit projektového záměru, zpracování žádosti</w:t>
            </w:r>
            <w:r w:rsidR="008175CA">
              <w:rPr>
                <w:i/>
                <w:iCs/>
                <w:sz w:val="20"/>
                <w:szCs w:val="20"/>
              </w:rPr>
              <w:t xml:space="preserve"> o podporu</w:t>
            </w:r>
            <w:r>
              <w:rPr>
                <w:i/>
                <w:iCs/>
                <w:sz w:val="20"/>
                <w:szCs w:val="20"/>
              </w:rPr>
              <w:t>), v investiční a provozní fázi. Partnerství je doloženo smlouvou nebo dohodou o partnerství.</w:t>
            </w:r>
          </w:p>
          <w:p w:rsidR="009B14AB" w:rsidRPr="00862D3B" w:rsidRDefault="009B14AB" w:rsidP="00FA7F34">
            <w:pPr>
              <w:rPr>
                <w:b/>
                <w:sz w:val="20"/>
                <w:szCs w:val="20"/>
              </w:rPr>
            </w:pPr>
          </w:p>
          <w:p w:rsidR="009B14AB" w:rsidRPr="00D10C0D" w:rsidRDefault="009B14AB" w:rsidP="00B0793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4AB" w:rsidRPr="00945E01" w:rsidTr="00266EEF">
        <w:trPr>
          <w:trHeight w:val="1590"/>
        </w:trPr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9B14AB" w:rsidRDefault="009B14AB" w:rsidP="00FA7F34">
            <w:pPr>
              <w:pStyle w:val="Standard"/>
            </w:pPr>
            <w:r>
              <w:rPr>
                <w:sz w:val="20"/>
                <w:szCs w:val="20"/>
              </w:rPr>
              <w:t>Žadatel neprokáže spolupráci v rámci partnerství (není doloženo dokladem o partnerství nebo doložený doklad není v souladu s pravidly OP PPR) nebo projekt nemá partnera.</w:t>
            </w:r>
          </w:p>
          <w:p w:rsidR="009B14AB" w:rsidRPr="00D10C0D" w:rsidRDefault="009B14AB" w:rsidP="00FA7F3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9B14AB" w:rsidRDefault="009B14AB" w:rsidP="00FA7F3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 bodů</w:t>
            </w: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9B14AB" w:rsidRDefault="009B14AB" w:rsidP="00D55353">
            <w:pPr>
              <w:rPr>
                <w:b/>
                <w:bCs/>
                <w:sz w:val="20"/>
              </w:rPr>
            </w:pPr>
          </w:p>
        </w:tc>
        <w:tc>
          <w:tcPr>
            <w:tcW w:w="31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4AB" w:rsidRDefault="009B14AB" w:rsidP="00FA7F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Pr="00733A2E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B" w:rsidRDefault="009B14AB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79BD" w:rsidRPr="00945E01" w:rsidTr="009B14AB">
        <w:trPr>
          <w:trHeight w:val="402"/>
        </w:trPr>
        <w:tc>
          <w:tcPr>
            <w:tcW w:w="14176" w:type="dxa"/>
            <w:gridSpan w:val="8"/>
            <w:shd w:val="clear" w:color="auto" w:fill="F2F2F2" w:themeFill="background1" w:themeFillShade="F2"/>
            <w:noWrap/>
            <w:vAlign w:val="center"/>
          </w:tcPr>
          <w:p w:rsidR="007279BD" w:rsidRPr="0042057D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5CA">
              <w:rPr>
                <w:b/>
                <w:bCs/>
                <w:sz w:val="18"/>
                <w:szCs w:val="20"/>
              </w:rPr>
              <w:t>ÚČELNOST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279BD" w:rsidRDefault="007279BD" w:rsidP="00FA7F34">
            <w:pPr>
              <w:rPr>
                <w:b/>
                <w:bCs/>
                <w:i/>
                <w:sz w:val="18"/>
                <w:szCs w:val="20"/>
              </w:rPr>
            </w:pPr>
          </w:p>
        </w:tc>
      </w:tr>
      <w:tr w:rsidR="002B2084" w:rsidRPr="00945E01" w:rsidTr="00266EEF">
        <w:trPr>
          <w:cantSplit/>
          <w:trHeight w:val="913"/>
        </w:trPr>
        <w:tc>
          <w:tcPr>
            <w:tcW w:w="2545" w:type="dxa"/>
            <w:vMerge w:val="restart"/>
            <w:vAlign w:val="center"/>
          </w:tcPr>
          <w:p w:rsidR="002B2084" w:rsidRDefault="002B2084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2B2084" w:rsidRPr="003256AC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  <w:r w:rsidR="002B2084" w:rsidRPr="00B61E8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B2084">
              <w:rPr>
                <w:rFonts w:cs="Arial"/>
                <w:color w:val="000000"/>
                <w:sz w:val="20"/>
                <w:szCs w:val="20"/>
              </w:rPr>
              <w:t>Funkce VTP / inkubátoru</w:t>
            </w:r>
          </w:p>
        </w:tc>
        <w:tc>
          <w:tcPr>
            <w:tcW w:w="4816" w:type="dxa"/>
            <w:vAlign w:val="center"/>
          </w:tcPr>
          <w:p w:rsidR="002B2084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Projekt plní všechny následující funkce: </w:t>
            </w:r>
          </w:p>
          <w:p w:rsidR="002B2084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- inkubační (tj. žadatel nabízí inkubační programy pro začínající podnikatelské subjekty)</w:t>
            </w:r>
          </w:p>
          <w:p w:rsidR="002B2084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- inovační (tj. </w:t>
            </w:r>
            <w:r w:rsidRPr="00D101B4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žadatel má nastavená kritéria pro výběr firem k zasídlení podle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</w:t>
            </w:r>
            <w:r w:rsidRPr="00D101B4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inovačního potenciálu předmětu podnikání anebo již realizované produkce a jsou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</w:t>
            </w:r>
            <w:r w:rsidRPr="00D101B4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vyspecifikována v záměru projektu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)</w:t>
            </w:r>
          </w:p>
          <w:p w:rsidR="002B2084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- transfer technologií (tj. žadatel poskytuje služby a poradenství napomáhající transferu technologií)</w:t>
            </w:r>
          </w:p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- školicí a vzdělávací (tj. </w:t>
            </w:r>
            <w:r w:rsidRPr="00D101B4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žadatel (i prostřednictvím partnera) realizuje vlastní vzdělávací projekty,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</w:t>
            </w:r>
            <w:r w:rsidRPr="00D101B4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disponuje nebo plánuje vytvoření vzdělávacího zázemí a pořizuje školící pomůcky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</w:t>
            </w:r>
            <w:r w:rsidRPr="00D101B4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(má akreditované či certifikované kurzy a potřebnou praxi)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).</w:t>
            </w:r>
          </w:p>
        </w:tc>
        <w:tc>
          <w:tcPr>
            <w:tcW w:w="1143" w:type="dxa"/>
            <w:vAlign w:val="center"/>
          </w:tcPr>
          <w:p w:rsidR="002B2084" w:rsidRPr="00113A47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13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bodů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2B2084" w:rsidRPr="00874F78" w:rsidRDefault="002B2084" w:rsidP="00A530B0">
            <w:pPr>
              <w:jc w:val="center"/>
              <w:rPr>
                <w:b/>
                <w:bCs/>
                <w:sz w:val="20"/>
              </w:rPr>
            </w:pPr>
            <w:r w:rsidRPr="00874F78">
              <w:rPr>
                <w:b/>
                <w:bCs/>
                <w:sz w:val="20"/>
              </w:rPr>
              <w:t xml:space="preserve">Max. </w:t>
            </w:r>
            <w:r>
              <w:rPr>
                <w:b/>
                <w:bCs/>
                <w:sz w:val="20"/>
              </w:rPr>
              <w:t>1</w:t>
            </w:r>
            <w:r w:rsidRPr="00874F7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  <w:r w:rsidRPr="00874F78">
              <w:rPr>
                <w:b/>
                <w:bCs/>
                <w:sz w:val="20"/>
              </w:rPr>
              <w:t>bodů</w:t>
            </w:r>
          </w:p>
        </w:tc>
        <w:tc>
          <w:tcPr>
            <w:tcW w:w="3117" w:type="dxa"/>
            <w:vMerge w:val="restart"/>
            <w:tcBorders>
              <w:right w:val="single" w:sz="4" w:space="0" w:color="auto"/>
            </w:tcBorders>
          </w:tcPr>
          <w:p w:rsidR="002B2084" w:rsidRDefault="002B2084" w:rsidP="00FA7F34">
            <w:pPr>
              <w:rPr>
                <w:i/>
                <w:iCs/>
                <w:sz w:val="20"/>
                <w:szCs w:val="20"/>
              </w:rPr>
            </w:pPr>
          </w:p>
          <w:p w:rsidR="002B2084" w:rsidRDefault="008175CA" w:rsidP="008878E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eastAsia="cs-CZ"/>
              </w:rPr>
              <w:t>Žádost o podporu</w:t>
            </w:r>
            <w:r w:rsidR="002B20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, Studie proveditelnosti </w:t>
            </w:r>
            <w:r w:rsidR="002B2084" w:rsidRPr="007F583F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br/>
            </w:r>
            <w:r w:rsidR="002B2084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Žadatel v projektu podrobně popíše funkce VTP / inkubátoru, jejichž poskytování zamýšlí projektem zajistit.</w:t>
            </w:r>
            <w:r w:rsidR="002B2084" w:rsidRPr="007F583F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 xml:space="preserve"> </w:t>
            </w:r>
          </w:p>
          <w:p w:rsidR="002B2084" w:rsidRPr="00DA3D76" w:rsidRDefault="002B2084" w:rsidP="008878E1">
            <w:pP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Podporu by měly obdržet zejména projekty poskytující širokou nabídku služeb inkubovaným firmám i dalším klientům z řad firem i jiných typů subjektů.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84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B2084" w:rsidRDefault="00097D81" w:rsidP="009B14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  <w:p w:rsidR="002B2084" w:rsidRPr="00733A2E" w:rsidRDefault="002B2084" w:rsidP="009B14A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B2084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B2084" w:rsidRPr="006776A6" w:rsidRDefault="002B2084" w:rsidP="009B14AB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2B2084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913"/>
        </w:trPr>
        <w:tc>
          <w:tcPr>
            <w:tcW w:w="2545" w:type="dxa"/>
            <w:vMerge/>
            <w:vAlign w:val="center"/>
          </w:tcPr>
          <w:p w:rsidR="002B2084" w:rsidRDefault="002B2084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vAlign w:val="bottom"/>
          </w:tcPr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Projekt plní pouze 2-3 z výše uvedených funkcí (musí mezi nimi být funkce inkubační).</w:t>
            </w:r>
          </w:p>
        </w:tc>
        <w:tc>
          <w:tcPr>
            <w:tcW w:w="1143" w:type="dxa"/>
            <w:vAlign w:val="center"/>
          </w:tcPr>
          <w:p w:rsidR="002B2084" w:rsidRPr="002916AB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1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2B2084" w:rsidRPr="00874F78" w:rsidRDefault="002B2084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</w:tcPr>
          <w:p w:rsidR="002B2084" w:rsidRDefault="002B2084" w:rsidP="00FA7F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84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917"/>
        </w:trPr>
        <w:tc>
          <w:tcPr>
            <w:tcW w:w="2545" w:type="dxa"/>
            <w:vMerge/>
            <w:vAlign w:val="center"/>
          </w:tcPr>
          <w:p w:rsidR="002B2084" w:rsidRPr="003256AC" w:rsidRDefault="002B2084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vAlign w:val="bottom"/>
          </w:tcPr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Projekt plní pouze inkubační funkci.</w:t>
            </w:r>
          </w:p>
        </w:tc>
        <w:tc>
          <w:tcPr>
            <w:tcW w:w="1143" w:type="dxa"/>
            <w:vAlign w:val="center"/>
          </w:tcPr>
          <w:p w:rsidR="002B2084" w:rsidRPr="002916AB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1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2B2084" w:rsidRPr="006F4308" w:rsidRDefault="002B2084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</w:tcPr>
          <w:p w:rsidR="002B2084" w:rsidRPr="00733A2E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84" w:rsidRPr="00733A2E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Pr="00733A2E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547"/>
        </w:trPr>
        <w:tc>
          <w:tcPr>
            <w:tcW w:w="2545" w:type="dxa"/>
            <w:vMerge/>
            <w:vAlign w:val="center"/>
          </w:tcPr>
          <w:p w:rsidR="002B2084" w:rsidRPr="003256AC" w:rsidRDefault="002B2084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vAlign w:val="bottom"/>
          </w:tcPr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Projekt neplní žádnou z uvedených funkcí nebo neplní funkci inkubační.</w:t>
            </w:r>
          </w:p>
        </w:tc>
        <w:tc>
          <w:tcPr>
            <w:tcW w:w="1143" w:type="dxa"/>
            <w:vAlign w:val="center"/>
          </w:tcPr>
          <w:p w:rsidR="002B2084" w:rsidRPr="002916AB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2B2084" w:rsidRPr="002916AB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1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2B2084" w:rsidRPr="006F4308" w:rsidRDefault="002B2084" w:rsidP="00FA7F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</w:tcPr>
          <w:p w:rsidR="002B2084" w:rsidRPr="00733A2E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4" w:rsidRPr="00733A2E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Pr="00733A2E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9B14AB">
        <w:trPr>
          <w:cantSplit/>
          <w:trHeight w:val="414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2B2084" w:rsidRPr="00A530B0" w:rsidRDefault="003B40DA" w:rsidP="00577EC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  <w:r w:rsidR="002B2084">
              <w:rPr>
                <w:rFonts w:cs="Arial"/>
                <w:color w:val="000000"/>
                <w:sz w:val="20"/>
                <w:szCs w:val="20"/>
              </w:rPr>
              <w:t xml:space="preserve"> Inkubační funkce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rámci inkubační funkce projekt zajišťuje všechny následující prvky: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1) nabídka prostor pro firmy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2) dotované poradenství základní (základním poradenstvím se rozumí poradenství v oblasti: založení společnosti, ekonomika, účetnictví, marketing a propagace apod.)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3) dotované technické služby 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4) poradenství v oblasti financování začínajících firem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5) služby v oblasti transferu technologií a/nebo mezinárodní spolupráce 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6) zajištění prostor po ukončení inkubace (ve vlastních prostorech žadatele či v prostorech jiné organizace).</w:t>
            </w:r>
          </w:p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Tyto prvky, resp. inkubační program, který je osahuje, je podrobně popsán v projektové žádosti.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bodů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10 bodů</w:t>
            </w:r>
          </w:p>
        </w:tc>
        <w:tc>
          <w:tcPr>
            <w:tcW w:w="3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Default="008175CA" w:rsidP="008878E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eastAsia="cs-CZ"/>
              </w:rPr>
              <w:t>Žádost o podporu</w:t>
            </w:r>
            <w:r w:rsidR="002B20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eastAsia="cs-CZ"/>
              </w:rPr>
              <w:t>, Studie proveditelnosti</w:t>
            </w:r>
            <w:r w:rsidR="002B2084" w:rsidRPr="007F583F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br/>
            </w:r>
            <w:r w:rsidR="002B2084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Žadatel v projektu podrobně popíše inkubační funkci, resp. inkubační program(y),které v zařízení zamýšlí poskytovat.</w:t>
            </w:r>
          </w:p>
          <w:p w:rsidR="002B2084" w:rsidRPr="00FB79A9" w:rsidRDefault="002B2084" w:rsidP="008878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Podporu by měly obdržet zejména projekty zajišťující komplexní podporu inkubovaným firmám.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84" w:rsidRDefault="00097D81" w:rsidP="009B14AB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414"/>
        </w:trPr>
        <w:tc>
          <w:tcPr>
            <w:tcW w:w="2545" w:type="dxa"/>
            <w:vMerge/>
            <w:shd w:val="clear" w:color="auto" w:fill="auto"/>
            <w:vAlign w:val="center"/>
          </w:tcPr>
          <w:p w:rsidR="002B2084" w:rsidRDefault="002B2084" w:rsidP="00FA7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rámci inkubační funkce projekt zajišťuje následující z prvků popsaných výše: 1), 2) a 2-3 další.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bodů</w:t>
            </w: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Pr="00FB79A9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368"/>
        </w:trPr>
        <w:tc>
          <w:tcPr>
            <w:tcW w:w="2545" w:type="dxa"/>
            <w:vMerge/>
            <w:shd w:val="clear" w:color="auto" w:fill="auto"/>
            <w:vAlign w:val="center"/>
          </w:tcPr>
          <w:p w:rsidR="002B2084" w:rsidRDefault="002B2084" w:rsidP="00FA7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rámci inkubační funkce projekt zajišťuje následující z prvků popsaných výše: 1), 2) a jeden další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Pr="00FB79A9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367"/>
        </w:trPr>
        <w:tc>
          <w:tcPr>
            <w:tcW w:w="2545" w:type="dxa"/>
            <w:vMerge/>
            <w:shd w:val="clear" w:color="auto" w:fill="auto"/>
            <w:vAlign w:val="center"/>
          </w:tcPr>
          <w:p w:rsidR="002B2084" w:rsidRDefault="002B2084" w:rsidP="00FA7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2B2084" w:rsidRPr="008878E1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rámci inkubační funkce projekt zajišťuje pouze prvky 1) a 2).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Pr="00FB79A9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9B14AB">
        <w:trPr>
          <w:cantSplit/>
          <w:trHeight w:val="805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:rsidR="002B2084" w:rsidRDefault="003B40DA" w:rsidP="003E2543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</w:t>
            </w:r>
            <w:r w:rsidR="002B2084">
              <w:rPr>
                <w:rFonts w:cs="Arial"/>
                <w:color w:val="000000"/>
                <w:sz w:val="20"/>
                <w:szCs w:val="20"/>
              </w:rPr>
              <w:t xml:space="preserve"> Zkušenost s provozem VTP / inkubátoru a zajištěním jeho funkcí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Žadatel má delší než 3letou zkušenost s provozováním zařízení typu VTP / inkubátor a se zajišťováním všech funkcí uvedených v kritériu </w:t>
            </w:r>
            <w:r w:rsidR="003D32A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bodů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2B2084" w:rsidRDefault="002B2084" w:rsidP="008878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10 bodů</w:t>
            </w:r>
          </w:p>
        </w:tc>
        <w:tc>
          <w:tcPr>
            <w:tcW w:w="3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Default="008175CA" w:rsidP="008878E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eastAsia="cs-CZ"/>
              </w:rPr>
              <w:t>Žádost o podporu</w:t>
            </w:r>
            <w:r w:rsidR="002B20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eastAsia="cs-CZ"/>
              </w:rPr>
              <w:t>, Studie proveditelnosti</w:t>
            </w:r>
            <w:r w:rsidR="002B2084" w:rsidRPr="007F583F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br/>
            </w:r>
            <w:r w:rsidR="002B2084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Žadatel v projektu popíše své zkušenosti s provozováním zařízení, které je předmětem projektu a zajišťováním funkcí, které zamýšlí v zařízení poskytovat.</w:t>
            </w:r>
          </w:p>
          <w:p w:rsidR="002B2084" w:rsidRPr="00FB79A9" w:rsidRDefault="002B2084" w:rsidP="008878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cs-CZ"/>
              </w:rPr>
              <w:t>Předpokládá se, že žadatelé budou u tohoto typu projektů disponovat předchozí zkušeností.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84" w:rsidRDefault="002B2084" w:rsidP="009B14AB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805"/>
        </w:trPr>
        <w:tc>
          <w:tcPr>
            <w:tcW w:w="2545" w:type="dxa"/>
            <w:vMerge/>
            <w:shd w:val="clear" w:color="auto" w:fill="auto"/>
            <w:vAlign w:val="center"/>
          </w:tcPr>
          <w:p w:rsidR="002B2084" w:rsidRDefault="002B2084" w:rsidP="003E254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2B2084" w:rsidRPr="007F583F" w:rsidRDefault="002B2084" w:rsidP="00AF4B9B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Žadatel má kratší než 3letou zkušenost s provozováním zařízení typu VTP / inkubátoru, anebo má delší než 5letou zkušenost s poskytováním služeb v oblasti podpory inovací a podnikání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bodů</w:t>
            </w: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Default="002B2084" w:rsidP="00FA7F34">
            <w:pP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lang w:eastAsia="cs-CZ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805"/>
        </w:trPr>
        <w:tc>
          <w:tcPr>
            <w:tcW w:w="2545" w:type="dxa"/>
            <w:vMerge/>
            <w:shd w:val="clear" w:color="auto" w:fill="auto"/>
            <w:vAlign w:val="center"/>
          </w:tcPr>
          <w:p w:rsidR="002B2084" w:rsidRDefault="002B2084" w:rsidP="003E254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Žadatel má pouze dílčí zkušenost s provozováním VTP a/nebo inkubátoru a se zajištěním některých z</w:t>
            </w:r>
            <w:r w:rsidR="003D32A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 funkcí uvedených v kritériu 4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.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Default="002B2084" w:rsidP="00FA7F34">
            <w:pP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lang w:eastAsia="cs-CZ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84" w:rsidRDefault="002B2084" w:rsidP="005857B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857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084" w:rsidRPr="00945E01" w:rsidTr="00266EEF">
        <w:trPr>
          <w:cantSplit/>
          <w:trHeight w:val="1035"/>
        </w:trPr>
        <w:tc>
          <w:tcPr>
            <w:tcW w:w="2545" w:type="dxa"/>
            <w:vMerge/>
            <w:shd w:val="clear" w:color="auto" w:fill="auto"/>
            <w:vAlign w:val="center"/>
          </w:tcPr>
          <w:p w:rsidR="002B2084" w:rsidRDefault="002B2084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2B2084" w:rsidRPr="007F583F" w:rsidRDefault="002B2084" w:rsidP="00FA7F34">
            <w:pP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Žadatel nemá zkušenost s provozováním VTP a/nebo inkubátoru, ani se zajišťováním</w:t>
            </w:r>
            <w:r w:rsidR="003D32AF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 služeb uvedených v kritériu 4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2084" w:rsidRPr="008878E1" w:rsidRDefault="002B2084" w:rsidP="00FA7F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78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2B2084" w:rsidRDefault="002B2084" w:rsidP="00FA7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084" w:rsidRPr="00FB79A9" w:rsidRDefault="002B2084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84" w:rsidRDefault="002B2084" w:rsidP="00577EC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B2084" w:rsidRDefault="002B2084" w:rsidP="00577ECB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279BD" w:rsidRPr="00945E01" w:rsidTr="009B14AB">
        <w:trPr>
          <w:cantSplit/>
          <w:trHeight w:val="344"/>
        </w:trPr>
        <w:tc>
          <w:tcPr>
            <w:tcW w:w="14176" w:type="dxa"/>
            <w:gridSpan w:val="8"/>
            <w:shd w:val="clear" w:color="auto" w:fill="F2F2F2" w:themeFill="background1" w:themeFillShade="F2"/>
            <w:noWrap/>
            <w:vAlign w:val="center"/>
          </w:tcPr>
          <w:p w:rsidR="007279BD" w:rsidRDefault="008175CA" w:rsidP="008175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175CA">
              <w:rPr>
                <w:b/>
                <w:bCs/>
                <w:sz w:val="20"/>
                <w:szCs w:val="20"/>
              </w:rPr>
              <w:t>EFEKTIVNOST A HOSPODÁRNOST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279BD" w:rsidRDefault="007279BD" w:rsidP="004026F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983"/>
        </w:trPr>
        <w:tc>
          <w:tcPr>
            <w:tcW w:w="2545" w:type="dxa"/>
            <w:vMerge w:val="restart"/>
            <w:vAlign w:val="center"/>
          </w:tcPr>
          <w:p w:rsidR="003B40DA" w:rsidRPr="003256AC" w:rsidRDefault="003B40DA" w:rsidP="00FA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45E01">
              <w:rPr>
                <w:sz w:val="20"/>
                <w:szCs w:val="20"/>
              </w:rPr>
              <w:t>Rozpočet projektu</w:t>
            </w:r>
          </w:p>
        </w:tc>
        <w:tc>
          <w:tcPr>
            <w:tcW w:w="4816" w:type="dxa"/>
          </w:tcPr>
          <w:p w:rsidR="003B40DA" w:rsidRPr="00945E01" w:rsidRDefault="003B40DA" w:rsidP="007279BD">
            <w:pPr>
              <w:rPr>
                <w:sz w:val="20"/>
                <w:szCs w:val="20"/>
              </w:rPr>
            </w:pP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Jasnost a relevantnost položek rozpočtu je dobře odůvodněná v podrobném komentáři k rozpočtu;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výdaje projektu jsou nezbytné pro jeho realizaci a odpovídají jednotlivým aktivitám projektu.</w:t>
            </w:r>
            <w:r w:rsidRPr="0017698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Ž</w:t>
            </w: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adatel identifikuje jak způsobilé, tak i nezpůsobilé výdaje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3" w:type="dxa"/>
            <w:vAlign w:val="center"/>
          </w:tcPr>
          <w:p w:rsidR="003B40DA" w:rsidRDefault="003B40DA" w:rsidP="00FA7F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 body</w:t>
            </w:r>
          </w:p>
          <w:p w:rsidR="003B40DA" w:rsidRPr="006F4308" w:rsidRDefault="003B40DA" w:rsidP="00FA7F34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426C88" w:rsidRDefault="003B40DA" w:rsidP="00FA7F34">
            <w:pPr>
              <w:jc w:val="center"/>
              <w:rPr>
                <w:b/>
                <w:bCs/>
                <w:sz w:val="20"/>
                <w:szCs w:val="20"/>
              </w:rPr>
            </w:pPr>
            <w:r w:rsidRPr="00426C88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26C88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  <w:p w:rsidR="003B40DA" w:rsidRPr="00733A2E" w:rsidRDefault="003B40DA" w:rsidP="00FA7F34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 w:val="restart"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 rozpočtu v příslušné kapitole SP</w:t>
            </w:r>
            <w:r w:rsidRPr="007B4F9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B4F9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 xml:space="preserve"> Žadatel vyplní rozpočet dle struktury rozpočtu v žádosti/položkového rozpočtu, ke každé položce rozpočtu bude náležet příslušný komentář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 příslušné kapitole studie proveditelnosti. 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7C029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Kombinované</w:t>
            </w:r>
          </w:p>
          <w:p w:rsidR="003B40DA" w:rsidRDefault="003B40DA" w:rsidP="007C029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 w:val="restart"/>
          </w:tcPr>
          <w:p w:rsidR="003B40DA" w:rsidRPr="006776A6" w:rsidRDefault="003B40DA" w:rsidP="007C029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3B40DA" w:rsidRDefault="003B40DA" w:rsidP="00FA7F3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3B40DA" w:rsidRPr="00945E01" w:rsidTr="009B14AB">
        <w:trPr>
          <w:cantSplit/>
          <w:trHeight w:val="462"/>
        </w:trPr>
        <w:tc>
          <w:tcPr>
            <w:tcW w:w="2545" w:type="dxa"/>
            <w:vMerge/>
            <w:vAlign w:val="center"/>
          </w:tcPr>
          <w:p w:rsidR="003B40DA" w:rsidRPr="003256AC" w:rsidRDefault="003B40DA" w:rsidP="00FA7F3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Pr="00945E01" w:rsidRDefault="003B40DA" w:rsidP="00FA7F3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Vymezení položek rozpočtu je jasné. Položky rozpočtu však nejsou odůvodněné v podrobném komentáři nebo výdaje projektu přímo neodpovídají jeho aktivitám nebo žadatel neidentifikoval způsobilé a nezpůsobilé výdaje</w:t>
            </w:r>
          </w:p>
        </w:tc>
        <w:tc>
          <w:tcPr>
            <w:tcW w:w="1143" w:type="dxa"/>
            <w:vAlign w:val="center"/>
          </w:tcPr>
          <w:p w:rsidR="003B40DA" w:rsidRPr="006F4308" w:rsidRDefault="003B40DA" w:rsidP="007279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 bod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33A2E" w:rsidRDefault="003B40DA" w:rsidP="00FA7F34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412"/>
        </w:trPr>
        <w:tc>
          <w:tcPr>
            <w:tcW w:w="2545" w:type="dxa"/>
            <w:vMerge/>
            <w:vAlign w:val="center"/>
          </w:tcPr>
          <w:p w:rsidR="003B40DA" w:rsidRPr="003256AC" w:rsidRDefault="003B40DA" w:rsidP="00FA7F3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Pr="00945E01" w:rsidRDefault="003B40DA" w:rsidP="00FA7F34">
            <w:pPr>
              <w:rPr>
                <w:rFonts w:cs="Arial"/>
                <w:color w:val="000000"/>
                <w:sz w:val="20"/>
                <w:szCs w:val="20"/>
              </w:rPr>
            </w:pP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Rozpočet projektu postrádá jasné vymezení položek rozpočtu.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Účelnost</w:t>
            </w: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nákladů není zřejmá. Rozpočet postrádá podrobný komentář a vysvětlení. Nejsou identifikovány způsobilé a nezpůsobilé výdaje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143" w:type="dxa"/>
            <w:vAlign w:val="center"/>
          </w:tcPr>
          <w:p w:rsidR="003B40DA" w:rsidRPr="006F4308" w:rsidRDefault="003B40DA" w:rsidP="00FA7F3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bodů 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33A2E" w:rsidRDefault="003B40DA" w:rsidP="00FA7F34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1463"/>
        </w:trPr>
        <w:tc>
          <w:tcPr>
            <w:tcW w:w="2545" w:type="dxa"/>
            <w:vMerge w:val="restart"/>
            <w:vAlign w:val="center"/>
          </w:tcPr>
          <w:p w:rsidR="003B40DA" w:rsidRDefault="003B40DA" w:rsidP="008175C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  <w:r w:rsidR="006450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Efektivnost</w:t>
            </w:r>
            <w:r w:rsidR="008175CA">
              <w:rPr>
                <w:rFonts w:cs="Arial"/>
                <w:color w:val="000000"/>
                <w:sz w:val="20"/>
                <w:szCs w:val="20"/>
              </w:rPr>
              <w:t xml:space="preserve"> projektu</w:t>
            </w:r>
          </w:p>
          <w:p w:rsidR="003B40DA" w:rsidRDefault="003B40DA" w:rsidP="00FA7F3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3B40DA" w:rsidRPr="003256AC" w:rsidRDefault="003B40DA" w:rsidP="003F30B4">
            <w:pPr>
              <w:pStyle w:val="Standard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Default="003B40DA" w:rsidP="00FA7F34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investičních prostředků s ohledem na přínosy investice (tj. posouzení efektivity výdajů v poměru k velikosti projektu a projektovým aktivitám. Kalkulace příjmů a výdajů projektu v realizační a provozní fázi projektu jsou metodicky správně zpracovány, u použitých dat je doložena jejich průkaznost. Přínosy investice jsou dostatečně okomentovány/ohodnoceny a odpovídají charakteru a velikosti projektu.</w:t>
            </w:r>
          </w:p>
          <w:p w:rsidR="008175CA" w:rsidRDefault="008175CA" w:rsidP="008175CA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Projekt je z finančního a ekonomického hlediska přijatelný.</w:t>
            </w:r>
          </w:p>
          <w:p w:rsidR="008175CA" w:rsidRDefault="008175CA" w:rsidP="008175CA">
            <w:pPr>
              <w:pStyle w:val="Standard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projektů se zpracovanou ekonomickou analýzou</w:t>
            </w: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41524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všechny použité vstupy jsou dostatečně zdůvodněny a jeví se jako reálné.</w:t>
            </w:r>
          </w:p>
        </w:tc>
        <w:tc>
          <w:tcPr>
            <w:tcW w:w="1143" w:type="dxa"/>
            <w:vAlign w:val="center"/>
          </w:tcPr>
          <w:p w:rsidR="003B40DA" w:rsidRDefault="003B40DA" w:rsidP="00FA7F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F4308">
              <w:rPr>
                <w:sz w:val="20"/>
              </w:rPr>
              <w:t xml:space="preserve"> bod</w:t>
            </w:r>
            <w:r>
              <w:rPr>
                <w:sz w:val="20"/>
              </w:rPr>
              <w:t>ů</w:t>
            </w:r>
          </w:p>
          <w:p w:rsidR="003B40DA" w:rsidRPr="006F4308" w:rsidRDefault="003B40DA" w:rsidP="00FA7F34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40DA" w:rsidRPr="007575F7" w:rsidRDefault="003B40DA" w:rsidP="00266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7 </w:t>
            </w:r>
            <w:r w:rsidRPr="007575F7">
              <w:rPr>
                <w:b/>
                <w:bCs/>
                <w:sz w:val="20"/>
                <w:szCs w:val="20"/>
              </w:rPr>
              <w:t>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75CA" w:rsidRDefault="008175CA" w:rsidP="008175CA">
            <w:pPr>
              <w:pStyle w:val="Standard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Studie proveditelnosti, resp. modul CBA v IS KP2014+</w:t>
            </w:r>
          </w:p>
          <w:p w:rsidR="008175CA" w:rsidRDefault="008175CA" w:rsidP="008175CA">
            <w:pPr>
              <w:pStyle w:val="Standard"/>
              <w:rPr>
                <w:rFonts w:eastAsia="Times New Roman" w:cs="Calibri"/>
                <w:i/>
                <w:iCs/>
                <w:color w:val="000000"/>
                <w:kern w:val="0"/>
                <w:sz w:val="20"/>
                <w:szCs w:val="20"/>
                <w:lang w:eastAsia="cs-CZ"/>
              </w:rPr>
            </w:pPr>
            <w:r w:rsidRPr="003772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Správné použití vstupních údajů pro výpočet ukazatelů a jejich relevance k projektu j</w:t>
            </w:r>
            <w:r w:rsidRPr="0086462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sou základním vstupním předpokladem pro </w:t>
            </w:r>
            <w:r w:rsidRPr="00F61AC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hodnocení efek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tivity projektu</w:t>
            </w:r>
            <w:r w:rsidRPr="00944666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8175CA" w:rsidRDefault="008175CA" w:rsidP="008175CA">
            <w:pPr>
              <w:pStyle w:val="Standard"/>
              <w:tabs>
                <w:tab w:val="left" w:pos="7230"/>
              </w:tabs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96C2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prokáže finanční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a ekonomickou</w:t>
            </w:r>
            <w:r w:rsidRPr="00096C2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bonitu projektu. </w:t>
            </w:r>
            <w:r w:rsidRPr="003E12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K tomu použije hodnotící ukazatele, které napomohou k zobrazení celkové rentability projektu. Cílem je dokázat efektivnost projektu z finančního a ekonomického hlediska.</w:t>
            </w:r>
          </w:p>
          <w:p w:rsidR="003B40DA" w:rsidRPr="00733A2E" w:rsidRDefault="008175CA" w:rsidP="00034A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Žadatel rovněž prokáže efektivnost </w:t>
            </w: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cílových hodnot zvolených indikátorů ve vazbě na finanční náklady projektu.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</w:tc>
        <w:tc>
          <w:tcPr>
            <w:tcW w:w="1275" w:type="dxa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1463"/>
        </w:trPr>
        <w:tc>
          <w:tcPr>
            <w:tcW w:w="2545" w:type="dxa"/>
            <w:vMerge/>
            <w:vAlign w:val="center"/>
          </w:tcPr>
          <w:p w:rsidR="003B40DA" w:rsidRDefault="003B40DA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6" w:type="dxa"/>
          </w:tcPr>
          <w:p w:rsidR="008175CA" w:rsidRDefault="003B40DA" w:rsidP="008175CA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projektu vyplývá efektivní vynaložení investičních prostředků s ohledem na přínosy investice (tj. posouzení efektivity výdajů v poměru k velikosti projektu a projektovým aktivitám). Kalkulace příjmů a výdajů projektu v realizační a provozní fázi projektu jsou metodicky správně zpracovány, u použitých dat je částečně doložena jejich průkaznost. </w:t>
            </w:r>
            <w:r w:rsidR="008175CA" w:rsidRPr="003475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Žadatel </w:t>
            </w:r>
            <w:r w:rsidR="008175C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zohlednil klíčové faktory vstupující do finanční analýzy a případně ekonomické analýzy, </w:t>
            </w:r>
            <w:r w:rsidR="008175CA" w:rsidRPr="003475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dostatečně okomentoval vstupní hodnoty/výsledky finanční a příp</w:t>
            </w:r>
            <w:r w:rsidR="008175C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adně </w:t>
            </w:r>
            <w:r w:rsidR="008175CA" w:rsidRPr="003475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ekonomické analýzy</w:t>
            </w:r>
            <w:r w:rsidR="008175C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zároveň tyto hodnoty nejsou nadhodnocené, a odpovídají charakteru a velikosti projektu.</w:t>
            </w:r>
          </w:p>
          <w:p w:rsidR="003B40DA" w:rsidRDefault="008175CA" w:rsidP="008175CA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projektů se zpracovano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ekonomickou analýzou</w:t>
            </w: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cení návratnosti investic pro ekonomickou analýzu</w:t>
            </w: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41524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ekonomická</w:t>
            </w:r>
            <w:r w:rsidR="00415241" w:rsidRPr="00D21116">
              <w:rPr>
                <w:sz w:val="20"/>
              </w:rPr>
              <w:t xml:space="preserve"> </w:t>
            </w:r>
            <w:r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vyšší než nula), zdůvodnění vstupů ale není úplné a jednoznačně průkazné.</w:t>
            </w:r>
          </w:p>
        </w:tc>
        <w:tc>
          <w:tcPr>
            <w:tcW w:w="1143" w:type="dxa"/>
            <w:vAlign w:val="center"/>
          </w:tcPr>
          <w:p w:rsidR="003B40DA" w:rsidRDefault="008175CA" w:rsidP="00FA7F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3B40DA">
              <w:rPr>
                <w:sz w:val="20"/>
              </w:rPr>
              <w:t xml:space="preserve"> body</w:t>
            </w: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0DA" w:rsidRDefault="003B40DA" w:rsidP="00231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40DA" w:rsidRPr="0006608C" w:rsidRDefault="003B40DA" w:rsidP="00034AC4">
            <w:pPr>
              <w:pStyle w:val="Standard"/>
              <w:rPr>
                <w:rFonts w:eastAsia="Times New Roman" w:cs="Calibri"/>
                <w:b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75CA" w:rsidRPr="00945E01" w:rsidTr="009B14AB">
        <w:trPr>
          <w:cantSplit/>
          <w:trHeight w:val="1462"/>
        </w:trPr>
        <w:tc>
          <w:tcPr>
            <w:tcW w:w="2545" w:type="dxa"/>
            <w:vMerge/>
            <w:vAlign w:val="center"/>
          </w:tcPr>
          <w:p w:rsidR="008175CA" w:rsidRDefault="008175CA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6" w:type="dxa"/>
          </w:tcPr>
          <w:p w:rsidR="008175CA" w:rsidRDefault="008175CA" w:rsidP="008175CA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vyplývá efektivní vynaložení prostředků s ohledem na přínosy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realizace projektu. </w:t>
            </w:r>
            <w:r>
              <w:rPr>
                <w:sz w:val="20"/>
              </w:rPr>
              <w:t>Žadatel ne</w:t>
            </w:r>
            <w:r w:rsidRPr="00B728F4">
              <w:rPr>
                <w:sz w:val="20"/>
              </w:rPr>
              <w:t>dostatečně okomentoval vstupní hodnoty/výsledky finanční a příp</w:t>
            </w:r>
            <w:r>
              <w:rPr>
                <w:sz w:val="20"/>
              </w:rPr>
              <w:t>adně</w:t>
            </w:r>
            <w:r w:rsidRPr="00B728F4">
              <w:rPr>
                <w:sz w:val="20"/>
              </w:rPr>
              <w:t xml:space="preserve"> ekonomické analýzy </w:t>
            </w:r>
            <w:r>
              <w:rPr>
                <w:sz w:val="20"/>
              </w:rPr>
              <w:t xml:space="preserve">(či nezohlednil některé faktory vstupující do finanční nebo socioekonomické analýzy) </w:t>
            </w:r>
            <w:r w:rsidRPr="00B728F4">
              <w:rPr>
                <w:sz w:val="20"/>
              </w:rPr>
              <w:t>nebo vstupní hodnoty pro hodnocení efektivnosti jsou nadhodnocené</w:t>
            </w:r>
            <w:r>
              <w:rPr>
                <w:sz w:val="20"/>
              </w:rPr>
              <w:t xml:space="preserve"> nebo podhodnocené.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 Efekti</w:t>
            </w:r>
            <w:r w:rsidRPr="001133F3">
              <w:rPr>
                <w:rFonts w:eastAsia="Times New Roman" w:cs="Calibri"/>
                <w:sz w:val="20"/>
                <w:szCs w:val="20"/>
                <w:lang w:eastAsia="cs-CZ"/>
              </w:rPr>
              <w:t xml:space="preserve">vnost 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výdajů v poměru k velikosti projektu, socioekonomickým přínosům projektu a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je přesto ještě přijatelná.</w:t>
            </w:r>
          </w:p>
          <w:p w:rsidR="008175CA" w:rsidRPr="00096C2F" w:rsidRDefault="008175CA" w:rsidP="008175CA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>nebo podhodnocené. U projektů se zpracovanou ekonomickou analýzou</w:t>
            </w:r>
            <w:r w:rsidRPr="00D21116">
              <w:rPr>
                <w:sz w:val="20"/>
              </w:rPr>
              <w:t xml:space="preserve"> jsou doloženy kladné výsledky (hodnocení návratnosti investic pro </w:t>
            </w:r>
            <w:r>
              <w:rPr>
                <w:sz w:val="20"/>
              </w:rPr>
              <w:t>ekonomickou analýzu</w:t>
            </w:r>
            <w:r w:rsidRPr="00D21116">
              <w:rPr>
                <w:sz w:val="20"/>
              </w:rPr>
              <w:t>, ukazatel čistá současná hodnota vyšší než nula), použité vstupy jsou nadhodnoceny nebo podhodnoceny, případně nejsou řádně zdůvodněny.</w:t>
            </w:r>
          </w:p>
        </w:tc>
        <w:tc>
          <w:tcPr>
            <w:tcW w:w="1143" w:type="dxa"/>
            <w:vAlign w:val="center"/>
          </w:tcPr>
          <w:p w:rsidR="008175CA" w:rsidRDefault="008175CA" w:rsidP="00FA7F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 body</w:t>
            </w: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5CA" w:rsidRDefault="008175CA" w:rsidP="00231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8175CA" w:rsidRPr="00733A2E" w:rsidRDefault="008175C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5CA" w:rsidRPr="00733A2E" w:rsidRDefault="008175C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75CA" w:rsidRDefault="008175C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1462"/>
        </w:trPr>
        <w:tc>
          <w:tcPr>
            <w:tcW w:w="2545" w:type="dxa"/>
            <w:vMerge/>
            <w:vAlign w:val="center"/>
          </w:tcPr>
          <w:p w:rsidR="003B40DA" w:rsidRDefault="003B40DA" w:rsidP="00FA7F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6" w:type="dxa"/>
          </w:tcPr>
          <w:p w:rsidR="008175CA" w:rsidRDefault="003B40DA" w:rsidP="008175CA">
            <w:pPr>
              <w:pStyle w:val="Standard"/>
              <w:rPr>
                <w:sz w:val="20"/>
              </w:rPr>
            </w:pPr>
            <w:r w:rsidRPr="00096C2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Projekt neprokazuje efektivní vynaložení investičních prostředků. Kvalita vstupních dat pro posouzení efektivnosti projektu není dostatečná a/či přínosy investice nebyly prokázány.</w:t>
            </w:r>
            <w:r w:rsidR="008175C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175CA">
              <w:rPr>
                <w:sz w:val="20"/>
              </w:rPr>
              <w:t>Žadatel ne</w:t>
            </w:r>
            <w:r w:rsidR="008175CA" w:rsidRPr="00B728F4">
              <w:rPr>
                <w:sz w:val="20"/>
              </w:rPr>
              <w:t>okomentoval vstupní hodnoty/výsledky finanční a příp. ekonomické analýzy</w:t>
            </w:r>
            <w:r w:rsidR="008175CA">
              <w:rPr>
                <w:sz w:val="20"/>
              </w:rPr>
              <w:t>.</w:t>
            </w:r>
          </w:p>
          <w:p w:rsidR="003B40DA" w:rsidRPr="0006608C" w:rsidDel="00FA7F34" w:rsidRDefault="008175CA" w:rsidP="008175CA">
            <w:pPr>
              <w:pStyle w:val="Standard"/>
              <w:rPr>
                <w:rFonts w:eastAsia="Times New Roman" w:cs="Calibri"/>
                <w:b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sz w:val="20"/>
              </w:rPr>
              <w:t>U projektů se zpracovanou ekonomickou analýzou</w:t>
            </w:r>
            <w:r w:rsidRPr="00D21116">
              <w:rPr>
                <w:sz w:val="20"/>
              </w:rPr>
              <w:t xml:space="preserve"> jsou doloženy záporné výsledky (hodno</w:t>
            </w:r>
            <w:r>
              <w:rPr>
                <w:sz w:val="20"/>
              </w:rPr>
              <w:t>cení návratnosti investic pro ekonomickou analýzu</w:t>
            </w:r>
            <w:r w:rsidRPr="00D21116">
              <w:rPr>
                <w:sz w:val="20"/>
              </w:rPr>
              <w:t xml:space="preserve">, ukazatel </w:t>
            </w:r>
            <w:r w:rsidR="0041524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ekonomická</w:t>
            </w:r>
            <w:r w:rsidR="00415241" w:rsidRPr="00D21116">
              <w:rPr>
                <w:sz w:val="20"/>
              </w:rPr>
              <w:t xml:space="preserve"> </w:t>
            </w:r>
            <w:r w:rsidRPr="00D21116">
              <w:rPr>
                <w:sz w:val="20"/>
              </w:rPr>
              <w:t>čistá současná hodnota projektu je záporný) nebo vstupy do ekonomického hodnocení žádosti jsou nedostatečně zdůvodněny a jeví se jako nereálné (významně nadhodnocené nebo podhodnocené), případně ekonomické hodnocení je metodicky chybně zpracováno.</w:t>
            </w:r>
          </w:p>
        </w:tc>
        <w:tc>
          <w:tcPr>
            <w:tcW w:w="1143" w:type="dxa"/>
            <w:vAlign w:val="center"/>
          </w:tcPr>
          <w:p w:rsidR="003B40DA" w:rsidRDefault="003B40DA" w:rsidP="00FA7F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40DA" w:rsidRDefault="003B40DA" w:rsidP="00231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FA7F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3B40DA">
        <w:trPr>
          <w:cantSplit/>
          <w:trHeight w:val="285"/>
        </w:trPr>
        <w:tc>
          <w:tcPr>
            <w:tcW w:w="2545" w:type="dxa"/>
            <w:vMerge w:val="restart"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9.</w:t>
            </w:r>
            <w:r w:rsidR="008175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Ověření potřeby </w:t>
            </w:r>
            <w:r w:rsidRPr="008628BA">
              <w:rPr>
                <w:rFonts w:cs="Arial"/>
                <w:color w:val="000000"/>
                <w:sz w:val="20"/>
                <w:szCs w:val="20"/>
              </w:rPr>
              <w:t>financování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 veřejných zdrojů</w:t>
            </w: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Byla ověřena potřeba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předpokládaný zisk z projektu neumožňuje návratnost vložených prostředků. V případě řádně zpracované finanční analýzy lze prokázat zápornou hodnotou ukazatele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14AB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finanční čistá současná hodnota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bod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1 bod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B40DA" w:rsidRPr="008628BA" w:rsidRDefault="003B40DA" w:rsidP="003B40DA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  <w:r w:rsidRPr="008628BA">
              <w:rPr>
                <w:b/>
                <w:bCs/>
                <w:i/>
                <w:iCs/>
                <w:sz w:val="20"/>
                <w:szCs w:val="20"/>
              </w:rPr>
              <w:t xml:space="preserve">CBA, studie proveditelnosti, žádost </w:t>
            </w:r>
            <w:r>
              <w:rPr>
                <w:b/>
                <w:bCs/>
                <w:i/>
                <w:iCs/>
                <w:sz w:val="20"/>
                <w:szCs w:val="20"/>
              </w:rPr>
              <w:t>o podporu</w:t>
            </w:r>
          </w:p>
          <w:p w:rsidR="003B40DA" w:rsidRDefault="003B40DA" w:rsidP="003B40DA">
            <w:pPr>
              <w:pStyle w:val="Standard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V případě zpracované finanční analýzy je ověřována relevance a přiměřenost vstupů vzhledem k charakteru a rozsahu projektu a odpovídající hodnoty výsledků (neziskový charakt</w:t>
            </w:r>
            <w:r w:rsidRPr="00F6410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er projektu). U projektů se způsobilými výdaji do 5 mil. Kč, které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nemají zpracovanou finanční analýzu</w:t>
            </w:r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, je ověřována potřeba spolufinancování na základě posouzení rozpočtu projektu a předpokládaných výdajů a příjmů v provozní fázi projektu (v průběhu referenčního období).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4108"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3B40DA">
        <w:trPr>
          <w:cantSplit/>
          <w:trHeight w:val="285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Prostředky vložené do projektu jsou v průběhu referenč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ního období návratné i bez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zdrojů. Projekt nepotřebuje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pStyle w:val="Standard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570"/>
        </w:trPr>
        <w:tc>
          <w:tcPr>
            <w:tcW w:w="2545" w:type="dxa"/>
            <w:vMerge w:val="restart"/>
            <w:vAlign w:val="center"/>
          </w:tcPr>
          <w:p w:rsidR="003B40DA" w:rsidRPr="003256AC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  Indikátory</w:t>
            </w:r>
          </w:p>
        </w:tc>
        <w:tc>
          <w:tcPr>
            <w:tcW w:w="4816" w:type="dxa"/>
            <w:vAlign w:val="center"/>
          </w:tcPr>
          <w:p w:rsidR="003B40DA" w:rsidRPr="00945E01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Indikátory</w:t>
            </w:r>
            <w:r w:rsidRPr="00945E01">
              <w:rPr>
                <w:sz w:val="20"/>
                <w:szCs w:val="20"/>
              </w:rPr>
              <w:t xml:space="preserve"> vypovídají o efektivnosti projektu, odpovídají velikosti a charakteru projektu, jsou měřitelné a kontrolovatelné</w:t>
            </w:r>
            <w:r>
              <w:rPr>
                <w:sz w:val="20"/>
                <w:szCs w:val="20"/>
              </w:rPr>
              <w:t>.</w:t>
            </w:r>
            <w:r w:rsidRPr="00945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jc w:val="right"/>
              <w:rPr>
                <w:sz w:val="20"/>
              </w:rPr>
            </w:pPr>
          </w:p>
          <w:p w:rsidR="003B40DA" w:rsidRPr="006F4308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  <w:r w:rsidRPr="006F4308">
              <w:rPr>
                <w:sz w:val="20"/>
              </w:rPr>
              <w:t xml:space="preserve">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5F7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B40DA" w:rsidRDefault="008175CA" w:rsidP="003B40DA">
            <w:pPr>
              <w:pStyle w:val="Standard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="003B40DA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ádost o podporu (část monitorovací indikátory) v kontextu rozpočtu projektu a </w:t>
            </w:r>
            <w:r w:rsidR="003B40DA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údajů uvedených ve studii proveditelnosti k posouzení efektivity projektu</w:t>
            </w: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570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Indikátory částečně vypovídají o efektivnosti projektu a/nebo jen částečně odpovídají velikosti a charakteru projektu. Indikátory jsou měřitelné a kontrolovatelné.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bod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A10402" w:rsidRDefault="003B40DA" w:rsidP="003B40DA">
            <w:pPr>
              <w:pStyle w:val="Standard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570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Nastavení indikátorů projektu neodpovídá charakteru, vymezeným cílům projektu a rozsahu rozpočtu projektu.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A10402" w:rsidRDefault="003B40DA" w:rsidP="003B40DA">
            <w:pPr>
              <w:pStyle w:val="Standard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672"/>
        </w:trPr>
        <w:tc>
          <w:tcPr>
            <w:tcW w:w="2545" w:type="dxa"/>
            <w:vMerge w:val="restart"/>
            <w:vAlign w:val="center"/>
          </w:tcPr>
          <w:p w:rsidR="003B40DA" w:rsidRPr="003256AC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 Finanční zdraví žadatele</w:t>
            </w:r>
          </w:p>
        </w:tc>
        <w:tc>
          <w:tcPr>
            <w:tcW w:w="4816" w:type="dxa"/>
          </w:tcPr>
          <w:p w:rsidR="003B40DA" w:rsidRDefault="003B40DA" w:rsidP="003B40DA">
            <w:pPr>
              <w:pStyle w:val="Standard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Nadprůměrné finanční zdraví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pStyle w:val="Standard"/>
              <w:jc w:val="right"/>
            </w:pPr>
            <w:r>
              <w:rPr>
                <w:sz w:val="20"/>
              </w:rPr>
              <w:t xml:space="preserve"> 3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5F7">
              <w:rPr>
                <w:b/>
                <w:bCs/>
                <w:sz w:val="20"/>
                <w:szCs w:val="20"/>
              </w:rPr>
              <w:t xml:space="preserve">Max. 3 body </w:t>
            </w:r>
          </w:p>
        </w:tc>
        <w:tc>
          <w:tcPr>
            <w:tcW w:w="3117" w:type="dxa"/>
            <w:vMerge w:val="restart"/>
          </w:tcPr>
          <w:p w:rsidR="008175CA" w:rsidRDefault="008175CA" w:rsidP="008175CA">
            <w:pPr>
              <w:pStyle w:val="Standard"/>
            </w:pPr>
            <w:r>
              <w:rPr>
                <w:b/>
                <w:bCs/>
                <w:i/>
                <w:iCs/>
                <w:sz w:val="20"/>
                <w:szCs w:val="20"/>
              </w:rPr>
              <w:t>Příloha</w:t>
            </w:r>
            <w:r w:rsidRPr="00176985">
              <w:rPr>
                <w:b/>
                <w:bCs/>
                <w:i/>
                <w:iCs/>
                <w:sz w:val="20"/>
                <w:szCs w:val="20"/>
              </w:rPr>
              <w:t xml:space="preserve"> Podklady pro posouzení fin</w:t>
            </w:r>
            <w:r>
              <w:rPr>
                <w:b/>
                <w:bCs/>
                <w:i/>
                <w:iCs/>
                <w:sz w:val="20"/>
                <w:szCs w:val="20"/>
              </w:rPr>
              <w:t>ančního</w:t>
            </w:r>
            <w:r w:rsidRPr="00176985">
              <w:rPr>
                <w:b/>
                <w:bCs/>
                <w:i/>
                <w:iCs/>
                <w:sz w:val="20"/>
                <w:szCs w:val="20"/>
              </w:rPr>
              <w:t xml:space="preserve"> zdraví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(formulář pro hodnocení finančního zdraví žadatele</w:t>
            </w:r>
            <w:r w:rsidRPr="00176985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B40DA" w:rsidRDefault="003B40DA" w:rsidP="003B40DA">
            <w:pPr>
              <w:pStyle w:val="Standard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Finanční hodnocení (např. likvidita, zadluženost, rentabilita) bude založeno na posouzení finančních údajů žadatele uvedených v rámci relevantní povinné přílohy žádosti. Přitom bude respektován typ organizace předkládající projekt (podnikatelé, NNO, veřejné subjekty).</w:t>
            </w:r>
          </w:p>
          <w:p w:rsidR="003B40DA" w:rsidRPr="00DC0B05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  <w:r w:rsidRPr="00A1040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Hodnocení založeno na speciální metodice pro finanční hodnocení žadatele. Bodové hodnocení je automaticky přiděleno na základě zadaných údajů z fin. výkazů (specifické dle typu organizace předkladatele) v čestném prohlášení vyplněném žadatelem v elektronickém formuláři.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671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Default="003B40DA" w:rsidP="003B40DA">
            <w:pPr>
              <w:pStyle w:val="Standar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Průměrné finanční zdraví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body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671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Default="003B40DA" w:rsidP="003B40DA">
            <w:pPr>
              <w:pStyle w:val="Standar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Dostatečné finanční zdraví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bod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671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Default="003B40DA" w:rsidP="003B40DA">
            <w:pPr>
              <w:pStyle w:val="Standar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Nedostatečné finanční zdraví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405"/>
        </w:trPr>
        <w:tc>
          <w:tcPr>
            <w:tcW w:w="2545" w:type="dxa"/>
            <w:vMerge w:val="restart"/>
            <w:vAlign w:val="center"/>
          </w:tcPr>
          <w:p w:rsidR="003B40DA" w:rsidDel="00F93047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 Hospodárnost výdajů projektu</w:t>
            </w:r>
          </w:p>
        </w:tc>
        <w:tc>
          <w:tcPr>
            <w:tcW w:w="4816" w:type="dxa"/>
          </w:tcPr>
          <w:p w:rsidR="003B40DA" w:rsidRDefault="003B40DA" w:rsidP="003B40DA">
            <w:pPr>
              <w:rPr>
                <w:rFonts w:cs="Arial"/>
                <w:color w:val="000000"/>
                <w:sz w:val="20"/>
                <w:szCs w:val="20"/>
              </w:rPr>
            </w:pPr>
            <w:r w:rsidRPr="00377293">
              <w:rPr>
                <w:sz w:val="20"/>
                <w:szCs w:val="20"/>
              </w:rPr>
              <w:t>Výdaje</w:t>
            </w:r>
            <w:r>
              <w:rPr>
                <w:sz w:val="20"/>
                <w:szCs w:val="20"/>
              </w:rPr>
              <w:t xml:space="preserve"> v rozpočtu projektu odpovídají cenám obvyklým.</w:t>
            </w:r>
          </w:p>
        </w:tc>
        <w:tc>
          <w:tcPr>
            <w:tcW w:w="1143" w:type="dxa"/>
            <w:vAlign w:val="center"/>
          </w:tcPr>
          <w:p w:rsidR="003B40DA" w:rsidRPr="007575F7" w:rsidRDefault="003B40DA" w:rsidP="003B40DA">
            <w:pPr>
              <w:jc w:val="right"/>
            </w:pPr>
            <w:r>
              <w:rPr>
                <w:sz w:val="20"/>
              </w:rPr>
              <w:t>4</w:t>
            </w:r>
            <w:r w:rsidRPr="007575F7">
              <w:rPr>
                <w:sz w:val="20"/>
              </w:rPr>
              <w:t xml:space="preserve">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7575F7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4</w:t>
            </w:r>
            <w:r w:rsidRPr="007575F7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3117" w:type="dxa"/>
            <w:vMerge w:val="restart"/>
          </w:tcPr>
          <w:p w:rsidR="003B40DA" w:rsidRDefault="008175C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proveditelnosti, r</w:t>
            </w:r>
            <w:r w:rsidR="003B40DA">
              <w:rPr>
                <w:b/>
                <w:bCs/>
                <w:i/>
                <w:iCs/>
                <w:sz w:val="20"/>
                <w:szCs w:val="20"/>
              </w:rPr>
              <w:t>ozpočet projektu</w:t>
            </w: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Každá položka rozpočtu je hodnocena z pohledu její </w:t>
            </w:r>
            <w:r>
              <w:rPr>
                <w:bCs/>
                <w:i/>
                <w:iCs/>
                <w:sz w:val="20"/>
                <w:szCs w:val="20"/>
              </w:rPr>
              <w:lastRenderedPageBreak/>
              <w:t>přiměřenosti k cenám na trhu (tj. zda odpovídá cenám obvyklým).</w:t>
            </w:r>
          </w:p>
          <w:p w:rsidR="003B40DA" w:rsidRPr="00204986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F2C9C">
              <w:rPr>
                <w:i/>
                <w:sz w:val="20"/>
                <w:szCs w:val="20"/>
              </w:rPr>
              <w:t>Pozn. ŘO OP</w:t>
            </w:r>
            <w:r>
              <w:rPr>
                <w:i/>
                <w:sz w:val="20"/>
                <w:szCs w:val="20"/>
              </w:rPr>
              <w:t xml:space="preserve"> P</w:t>
            </w:r>
            <w:r w:rsidRPr="00FF2C9C">
              <w:rPr>
                <w:i/>
                <w:sz w:val="20"/>
                <w:szCs w:val="20"/>
              </w:rPr>
              <w:t>PR: V případě pochybností o způsobilosti výdajů</w:t>
            </w:r>
            <w:r>
              <w:rPr>
                <w:i/>
                <w:sz w:val="20"/>
                <w:szCs w:val="20"/>
              </w:rPr>
              <w:t>, potřeby ověření jejich přiměřenosti</w:t>
            </w:r>
            <w:r w:rsidRPr="00FF2C9C">
              <w:rPr>
                <w:i/>
                <w:sz w:val="20"/>
                <w:szCs w:val="20"/>
              </w:rPr>
              <w:t xml:space="preserve"> nebo v případě, kdy jsou doporučení hodnotitelů vzájemně v rozporu, si může finanční manažer vyžádat posudek nezávislého externího odborníka. V případě, kdy je hodnotiteli udělen počet bodů 0, je posudek nezávislého </w:t>
            </w:r>
            <w:r>
              <w:rPr>
                <w:i/>
                <w:sz w:val="20"/>
                <w:szCs w:val="20"/>
              </w:rPr>
              <w:t xml:space="preserve">externího </w:t>
            </w:r>
            <w:r w:rsidRPr="00FF2C9C">
              <w:rPr>
                <w:i/>
                <w:sz w:val="20"/>
                <w:szCs w:val="20"/>
              </w:rPr>
              <w:t>odborníka povinností.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Hodnoticí</w:t>
            </w: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405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Default="003B40DA" w:rsidP="003B40DA">
            <w:pPr>
              <w:rPr>
                <w:sz w:val="20"/>
                <w:szCs w:val="20"/>
              </w:rPr>
            </w:pPr>
            <w:r w:rsidRPr="00377293"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vAlign w:val="center"/>
          </w:tcPr>
          <w:p w:rsidR="003B40DA" w:rsidRPr="007575F7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body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cantSplit/>
          <w:trHeight w:val="405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obvyklým, jejich výše není odůvodněna.</w:t>
            </w:r>
          </w:p>
        </w:tc>
        <w:tc>
          <w:tcPr>
            <w:tcW w:w="1143" w:type="dxa"/>
            <w:vAlign w:val="center"/>
          </w:tcPr>
          <w:p w:rsidR="003B40DA" w:rsidRPr="007575F7" w:rsidRDefault="003B40DA" w:rsidP="003B4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418"/>
        </w:trPr>
        <w:tc>
          <w:tcPr>
            <w:tcW w:w="14176" w:type="dxa"/>
            <w:gridSpan w:val="8"/>
            <w:shd w:val="clear" w:color="auto" w:fill="F2F2F2" w:themeFill="background1" w:themeFillShade="F2"/>
            <w:noWrap/>
            <w:vAlign w:val="center"/>
          </w:tcPr>
          <w:p w:rsidR="003B40DA" w:rsidRPr="00204986" w:rsidRDefault="008175CA" w:rsidP="008175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5CA">
              <w:rPr>
                <w:b/>
                <w:bCs/>
                <w:sz w:val="20"/>
                <w:szCs w:val="20"/>
              </w:rPr>
              <w:t>PROVEDITELNOST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B40DA" w:rsidRDefault="003B40DA" w:rsidP="003B40DA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101"/>
        </w:trPr>
        <w:tc>
          <w:tcPr>
            <w:tcW w:w="2545" w:type="dxa"/>
            <w:vMerge w:val="restart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945E01">
              <w:rPr>
                <w:sz w:val="20"/>
                <w:szCs w:val="20"/>
              </w:rPr>
              <w:t xml:space="preserve">Organizační </w:t>
            </w:r>
            <w:r>
              <w:rPr>
                <w:sz w:val="20"/>
                <w:szCs w:val="20"/>
              </w:rPr>
              <w:t xml:space="preserve">a odborné </w:t>
            </w:r>
            <w:r w:rsidRPr="00945E01">
              <w:rPr>
                <w:sz w:val="20"/>
                <w:szCs w:val="20"/>
              </w:rPr>
              <w:t>zajištění projektu</w:t>
            </w:r>
          </w:p>
        </w:tc>
        <w:tc>
          <w:tcPr>
            <w:tcW w:w="4816" w:type="dxa"/>
            <w:vAlign w:val="center"/>
          </w:tcPr>
          <w:p w:rsidR="003B40DA" w:rsidRPr="004C1D48" w:rsidRDefault="003B40DA" w:rsidP="003B40DA">
            <w:pPr>
              <w:rPr>
                <w:sz w:val="20"/>
                <w:szCs w:val="20"/>
              </w:rPr>
            </w:pPr>
            <w:r w:rsidRPr="004C711C">
              <w:rPr>
                <w:sz w:val="20"/>
                <w:szCs w:val="20"/>
              </w:rPr>
              <w:t xml:space="preserve">Žadatel doložil organizační zajištění realizace projektu pro předinvestiční (přípravnou), investiční a provozní fázi projektu s jasným vymezením kompetencí jednotlivých členů týmu. </w:t>
            </w:r>
          </w:p>
        </w:tc>
        <w:tc>
          <w:tcPr>
            <w:tcW w:w="1143" w:type="dxa"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>4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733A2E" w:rsidRDefault="003B40DA" w:rsidP="003B40DA">
            <w:pPr>
              <w:jc w:val="center"/>
              <w:rPr>
                <w:b/>
                <w:bCs/>
              </w:rPr>
            </w:pPr>
            <w:r w:rsidRPr="007575F7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575F7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3117" w:type="dxa"/>
            <w:vMerge w:val="restart"/>
          </w:tcPr>
          <w:p w:rsidR="003B40DA" w:rsidRPr="00204986" w:rsidRDefault="003B40DA" w:rsidP="008175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4986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="008175CA">
              <w:rPr>
                <w:b/>
                <w:bCs/>
                <w:i/>
                <w:iCs/>
                <w:sz w:val="20"/>
                <w:szCs w:val="20"/>
              </w:rPr>
              <w:t>tudie proveditelnosti</w:t>
            </w:r>
            <w:r w:rsidRPr="00204986">
              <w:rPr>
                <w:b/>
                <w:bCs/>
                <w:i/>
                <w:iCs/>
                <w:sz w:val="20"/>
                <w:szCs w:val="20"/>
              </w:rPr>
              <w:t>, žádost</w:t>
            </w:r>
            <w:r w:rsidR="008175CA">
              <w:rPr>
                <w:b/>
                <w:bCs/>
                <w:i/>
                <w:iCs/>
                <w:sz w:val="20"/>
                <w:szCs w:val="20"/>
              </w:rPr>
              <w:t xml:space="preserve"> o podporu</w:t>
            </w:r>
            <w:r w:rsidRPr="00204986">
              <w:rPr>
                <w:b/>
                <w:bCs/>
                <w:i/>
                <w:iCs/>
                <w:sz w:val="20"/>
                <w:szCs w:val="20"/>
              </w:rPr>
              <w:t>, příp. tabulka „Personální zajištění</w:t>
            </w:r>
            <w:r>
              <w:rPr>
                <w:b/>
                <w:bCs/>
                <w:i/>
                <w:iCs/>
                <w:sz w:val="20"/>
                <w:szCs w:val="20"/>
              </w:rPr>
              <w:t>“</w:t>
            </w:r>
            <w:r w:rsidRPr="00204986">
              <w:rPr>
                <w:i/>
                <w:iCs/>
                <w:sz w:val="20"/>
                <w:szCs w:val="20"/>
              </w:rPr>
              <w:br/>
            </w:r>
            <w:r w:rsidRPr="00A32E63">
              <w:rPr>
                <w:i/>
                <w:iCs/>
                <w:sz w:val="20"/>
                <w:szCs w:val="20"/>
              </w:rPr>
              <w:t>Žadatel má vytvořen projektový tým pro všechny fáze projektu (předinvestiční - přípravná, investiční a provozní fáze) s jasným vymezením pozice a aktivit s tím spojených (např. celková koordinace projektu, finanční a právní záležitosti, technické zabezpečení, kontrolní a dozorová činnost, m</w:t>
            </w:r>
            <w:r>
              <w:rPr>
                <w:i/>
                <w:iCs/>
                <w:sz w:val="20"/>
                <w:szCs w:val="20"/>
              </w:rPr>
              <w:t xml:space="preserve">arketing a publicita…), včetně </w:t>
            </w:r>
            <w:r w:rsidRPr="00A32E63">
              <w:rPr>
                <w:i/>
                <w:iCs/>
                <w:sz w:val="20"/>
                <w:szCs w:val="20"/>
              </w:rPr>
              <w:t>odpovědnosti za splnění těchto aktivit. Hodnotí se i zapojení externích subjektů.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Pr="00204986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3B40DA" w:rsidRPr="00945E01" w:rsidTr="009B14AB">
        <w:trPr>
          <w:trHeight w:val="1385"/>
        </w:trPr>
        <w:tc>
          <w:tcPr>
            <w:tcW w:w="2545" w:type="dxa"/>
            <w:vMerge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4C711C">
              <w:rPr>
                <w:sz w:val="20"/>
                <w:szCs w:val="20"/>
              </w:rPr>
              <w:t>Žadatel uvedl seznam členů projektového týmu ve všech fázích bez</w:t>
            </w:r>
            <w:r>
              <w:rPr>
                <w:sz w:val="20"/>
                <w:szCs w:val="20"/>
              </w:rPr>
              <w:t xml:space="preserve"> bližšího nastavení kompetencí.</w:t>
            </w:r>
          </w:p>
        </w:tc>
        <w:tc>
          <w:tcPr>
            <w:tcW w:w="1143" w:type="dxa"/>
            <w:noWrap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>2 bod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136" w:type="dxa"/>
            <w:gridSpan w:val="2"/>
            <w:vMerge/>
            <w:vAlign w:val="center"/>
            <w:hideMark/>
          </w:tcPr>
          <w:p w:rsidR="003B40DA" w:rsidRPr="00733A2E" w:rsidRDefault="003B40DA" w:rsidP="003B40D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  <w:hideMark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987"/>
        </w:trPr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organizačního zajištění vykazuje rozpory nebo není dostatečný pro všechny fáze ani kompetence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 xml:space="preserve">0 bodů </w:t>
            </w: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DA" w:rsidRPr="00733A2E" w:rsidRDefault="003B40DA" w:rsidP="003B40D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845"/>
        </w:trPr>
        <w:tc>
          <w:tcPr>
            <w:tcW w:w="2545" w:type="dxa"/>
            <w:vMerge w:val="restart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14. </w:t>
            </w:r>
            <w:r w:rsidRPr="00945E01">
              <w:rPr>
                <w:sz w:val="20"/>
                <w:szCs w:val="20"/>
              </w:rPr>
              <w:t>Technická proveditelnost</w:t>
            </w:r>
          </w:p>
        </w:tc>
        <w:tc>
          <w:tcPr>
            <w:tcW w:w="4816" w:type="dxa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 popisu a předložené dokumentace jasně vyplývá, že žadatel zvolil nejvhodnější možné technické řešení. Klíčové aktivity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projektu jsou podrobně popsány</w:t>
            </w: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postup přípravných i investičních akcí je logický, odpovídají cíli inv. akce. Investice vede k naplnění cíle projektu a k zajištění vymezených služeb/kapacit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7B4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Variantní řešení je uvedeno.</w:t>
            </w:r>
          </w:p>
        </w:tc>
        <w:tc>
          <w:tcPr>
            <w:tcW w:w="1143" w:type="dxa"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>4 body</w:t>
            </w:r>
          </w:p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  <w:hideMark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3117" w:type="dxa"/>
            <w:vMerge w:val="restart"/>
            <w:hideMark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4951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>tudie proveditelnosti, projektová dokumentace</w:t>
            </w:r>
          </w:p>
          <w:p w:rsidR="003B40DA" w:rsidRPr="00063924" w:rsidRDefault="003B40DA" w:rsidP="003B40DA">
            <w:pPr>
              <w:rPr>
                <w:i/>
                <w:iCs/>
                <w:sz w:val="20"/>
                <w:szCs w:val="20"/>
              </w:rPr>
            </w:pPr>
            <w:r w:rsidRPr="00184951">
              <w:rPr>
                <w:i/>
                <w:iCs/>
                <w:sz w:val="20"/>
                <w:szCs w:val="20"/>
              </w:rPr>
              <w:t xml:space="preserve"> </w:t>
            </w:r>
            <w:r w:rsidRPr="00063924">
              <w:rPr>
                <w:i/>
                <w:iCs/>
                <w:sz w:val="20"/>
                <w:szCs w:val="20"/>
              </w:rPr>
              <w:t>Žadatel vzhledem k charakteru projektu vysvětlí, proč zvolil navrhovaný postup/variantní řešení a prokáže využití renovované/pořízené/modernizované kapacity.</w:t>
            </w:r>
          </w:p>
          <w:p w:rsidR="003B40DA" w:rsidRPr="00184951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63924">
              <w:rPr>
                <w:i/>
                <w:iCs/>
                <w:sz w:val="20"/>
                <w:szCs w:val="20"/>
              </w:rPr>
              <w:t>Žadatel doložil dokumentaci (Studie, projektová dokumentace, technická dokumentace), ze které je možné posoudit celkový projektový záměr/projektový záměr. Předložená dokumentace splňuje základní požadavky vzhledem k charakteru záměru (stavba - projektová dokumentace, technická specifikace, studie, apod.)</w:t>
            </w:r>
            <w:r w:rsidRPr="002631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3B40DA" w:rsidRPr="00184951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</w:tc>
        <w:tc>
          <w:tcPr>
            <w:tcW w:w="1275" w:type="dxa"/>
            <w:vMerge/>
          </w:tcPr>
          <w:p w:rsidR="003B40DA" w:rsidRPr="00184951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671"/>
        </w:trPr>
        <w:tc>
          <w:tcPr>
            <w:tcW w:w="2545" w:type="dxa"/>
            <w:vMerge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945E01">
              <w:rPr>
                <w:sz w:val="20"/>
                <w:szCs w:val="20"/>
              </w:rPr>
              <w:t xml:space="preserve">Žadatel jasně popsal technologické řešení, </w:t>
            </w:r>
            <w:r>
              <w:rPr>
                <w:sz w:val="20"/>
                <w:szCs w:val="20"/>
              </w:rPr>
              <w:t>z</w:t>
            </w:r>
            <w:r w:rsidRPr="00945E01">
              <w:rPr>
                <w:sz w:val="20"/>
                <w:szCs w:val="20"/>
              </w:rPr>
              <w:t xml:space="preserve">volené technologické řešení je vhodné pro daný typ projektu avšak chybí variantní řešení </w:t>
            </w:r>
            <w:r>
              <w:rPr>
                <w:sz w:val="20"/>
                <w:szCs w:val="20"/>
              </w:rPr>
              <w:t xml:space="preserve">nebo zvolené řešení není žadatelem dostatečně popsáno. </w:t>
            </w:r>
          </w:p>
        </w:tc>
        <w:tc>
          <w:tcPr>
            <w:tcW w:w="1143" w:type="dxa"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>1 bod</w:t>
            </w:r>
          </w:p>
        </w:tc>
        <w:tc>
          <w:tcPr>
            <w:tcW w:w="1136" w:type="dxa"/>
            <w:gridSpan w:val="2"/>
            <w:vMerge/>
            <w:vAlign w:val="center"/>
            <w:hideMark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991"/>
        </w:trPr>
        <w:tc>
          <w:tcPr>
            <w:tcW w:w="2545" w:type="dxa"/>
            <w:vMerge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  <w:hideMark/>
          </w:tcPr>
          <w:p w:rsidR="003B40DA" w:rsidRDefault="003B40DA" w:rsidP="003B40DA">
            <w:pPr>
              <w:rPr>
                <w:sz w:val="20"/>
                <w:szCs w:val="20"/>
              </w:rPr>
            </w:pPr>
            <w:r w:rsidRPr="00945E01">
              <w:rPr>
                <w:sz w:val="20"/>
                <w:szCs w:val="20"/>
              </w:rPr>
              <w:t>Existuje pochybnost o vhodnosti zvoleného technologického řešení, nebo toto žadatel nijak neprokázal</w:t>
            </w:r>
            <w:r>
              <w:rPr>
                <w:sz w:val="20"/>
                <w:szCs w:val="20"/>
              </w:rPr>
              <w:t xml:space="preserve">. </w:t>
            </w:r>
          </w:p>
          <w:p w:rsidR="003B40DA" w:rsidRPr="005175F0" w:rsidRDefault="003B40DA" w:rsidP="003B4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  <w:hideMark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095"/>
        </w:trPr>
        <w:tc>
          <w:tcPr>
            <w:tcW w:w="2545" w:type="dxa"/>
            <w:vMerge w:val="restart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945E01">
              <w:rPr>
                <w:sz w:val="20"/>
                <w:szCs w:val="20"/>
              </w:rPr>
              <w:t>Reálnost harmonogramu</w:t>
            </w:r>
          </w:p>
        </w:tc>
        <w:tc>
          <w:tcPr>
            <w:tcW w:w="4816" w:type="dxa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945E01">
              <w:rPr>
                <w:sz w:val="20"/>
                <w:szCs w:val="20"/>
              </w:rPr>
              <w:t xml:space="preserve">Harmonogram je reálný a odpovídá </w:t>
            </w:r>
            <w:r>
              <w:rPr>
                <w:sz w:val="20"/>
                <w:szCs w:val="20"/>
              </w:rPr>
              <w:t>charakteru jednotlivých aktivit.</w:t>
            </w:r>
          </w:p>
        </w:tc>
        <w:tc>
          <w:tcPr>
            <w:tcW w:w="1143" w:type="dxa"/>
            <w:noWrap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 xml:space="preserve">2 body </w:t>
            </w:r>
          </w:p>
        </w:tc>
        <w:tc>
          <w:tcPr>
            <w:tcW w:w="1136" w:type="dxa"/>
            <w:gridSpan w:val="2"/>
            <w:vMerge w:val="restart"/>
            <w:vAlign w:val="center"/>
            <w:hideMark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3117" w:type="dxa"/>
            <w:vMerge w:val="restart"/>
            <w:hideMark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Žádost o podporu, </w:t>
            </w:r>
            <w:r w:rsidRPr="00733A2E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>tudie proveditelnosti</w:t>
            </w:r>
            <w:r w:rsidRPr="00733A2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  <w:r w:rsidRPr="00733A2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A2E">
              <w:rPr>
                <w:i/>
                <w:iCs/>
                <w:sz w:val="20"/>
                <w:szCs w:val="20"/>
              </w:rPr>
              <w:t>Žadatel dokládá/vysvětluje reálnost harmonogramu vzhledem k sezónnosti prací, dodržení zákonných lhůt (např. výběrové řízení, vydání kolaudačního rozhodnutí) a lhůt na jednotlivé činnosti, časovou provázanost aktivit v rámci realizace projektu.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095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377293">
              <w:rPr>
                <w:sz w:val="20"/>
                <w:szCs w:val="20"/>
              </w:rPr>
              <w:t>Harmonogram projektu neodpovídá charakteru jednotlivých aktivit a/či jeho naplnění není reálné.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2C4304">
        <w:trPr>
          <w:trHeight w:val="1223"/>
        </w:trPr>
        <w:tc>
          <w:tcPr>
            <w:tcW w:w="2545" w:type="dxa"/>
            <w:vMerge w:val="restart"/>
            <w:vAlign w:val="center"/>
          </w:tcPr>
          <w:p w:rsidR="003B40DA" w:rsidRPr="00D569C3" w:rsidRDefault="003B40DA" w:rsidP="003B40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  <w:r w:rsidRPr="00D569C3">
              <w:rPr>
                <w:bCs/>
                <w:sz w:val="20"/>
                <w:szCs w:val="20"/>
              </w:rPr>
              <w:t xml:space="preserve"> Provázanost</w:t>
            </w:r>
          </w:p>
        </w:tc>
        <w:tc>
          <w:tcPr>
            <w:tcW w:w="4816" w:type="dxa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377293">
              <w:rPr>
                <w:sz w:val="20"/>
                <w:szCs w:val="20"/>
              </w:rPr>
              <w:t xml:space="preserve">Projekt je komplexní, všechny podstatné části projektu jsou vzájemně provázány, zejména hlavní cíle, účel projektu a výstupy projektu včetně jeho aktivit. 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3 body</w:t>
            </w:r>
          </w:p>
        </w:tc>
        <w:tc>
          <w:tcPr>
            <w:tcW w:w="3117" w:type="dxa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Žádost o podporu, </w:t>
            </w:r>
            <w:r w:rsidRPr="00733A2E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>tudie proveditelnosti</w:t>
            </w: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33A2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Žadatel jasně a výstižně popíše všechny podstatné části předkládaného projektu (aktivity, </w:t>
            </w:r>
            <w:r>
              <w:rPr>
                <w:i/>
                <w:iCs/>
                <w:sz w:val="20"/>
                <w:szCs w:val="20"/>
              </w:rPr>
              <w:lastRenderedPageBreak/>
              <w:t>investice) v jejich logickém i časovém členění. V popisu se zaměří na jednotlivé části i jejich vzájemnou provázanost a další vazby (finanční, dodavatelé, partneři).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Hodnoticí</w:t>
            </w: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222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Pr="00FB79A9" w:rsidRDefault="003B40DA" w:rsidP="003B40DA">
            <w:pPr>
              <w:rPr>
                <w:sz w:val="20"/>
                <w:szCs w:val="20"/>
              </w:rPr>
            </w:pPr>
            <w:r w:rsidRPr="00096C2F">
              <w:rPr>
                <w:sz w:val="20"/>
                <w:szCs w:val="20"/>
              </w:rPr>
              <w:t>Projekt ne</w:t>
            </w:r>
            <w:r w:rsidRPr="00377293">
              <w:rPr>
                <w:sz w:val="20"/>
                <w:szCs w:val="20"/>
              </w:rPr>
              <w:t>tvoří komplexní celek, provázanost podstatných částí projektu, zejména hlavních cílů, účelu projektu, výstupů projektu včetně jeho aktivit vykazuje vnitřní rozpory.</w:t>
            </w:r>
          </w:p>
        </w:tc>
        <w:tc>
          <w:tcPr>
            <w:tcW w:w="1143" w:type="dxa"/>
            <w:noWrap/>
            <w:vAlign w:val="center"/>
          </w:tcPr>
          <w:p w:rsidR="003B40DA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488"/>
        </w:trPr>
        <w:tc>
          <w:tcPr>
            <w:tcW w:w="2545" w:type="dxa"/>
            <w:vMerge w:val="restart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Udržitelnost</w:t>
            </w:r>
            <w:r w:rsidRPr="00945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výstupů/výsledků</w:t>
            </w:r>
            <w:r w:rsidRPr="00945E01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4816" w:type="dxa"/>
            <w:vAlign w:val="center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945E01">
              <w:rPr>
                <w:sz w:val="20"/>
                <w:szCs w:val="20"/>
              </w:rPr>
              <w:t>Žadatel prokazuje celkovou udržitelnost projektu a jeho výstupů/výsledků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noWrap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bodů</w:t>
            </w:r>
          </w:p>
        </w:tc>
        <w:tc>
          <w:tcPr>
            <w:tcW w:w="1136" w:type="dxa"/>
            <w:gridSpan w:val="2"/>
            <w:vMerge w:val="restart"/>
            <w:noWrap/>
            <w:vAlign w:val="center"/>
            <w:hideMark/>
          </w:tcPr>
          <w:p w:rsidR="003B40DA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B4384">
              <w:rPr>
                <w:b/>
                <w:bCs/>
                <w:sz w:val="20"/>
                <w:szCs w:val="20"/>
              </w:rPr>
              <w:t xml:space="preserve"> bodů</w:t>
            </w:r>
          </w:p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hideMark/>
          </w:tcPr>
          <w:p w:rsidR="003B40DA" w:rsidRPr="0094743A" w:rsidRDefault="003B40DA" w:rsidP="003B40DA">
            <w:pPr>
              <w:pStyle w:val="Standard"/>
              <w:numPr>
                <w:ilvl w:val="0"/>
                <w:numId w:val="46"/>
              </w:numPr>
              <w:ind w:left="277" w:hanging="142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SP a modul CBA </w:t>
            </w:r>
            <w:r w:rsidR="008175CA">
              <w:rPr>
                <w:b/>
                <w:bCs/>
                <w:i/>
                <w:iCs/>
                <w:sz w:val="20"/>
                <w:szCs w:val="20"/>
              </w:rPr>
              <w:t>Žádosti o podpor</w:t>
            </w:r>
            <w:r w:rsidR="00753AA4">
              <w:rPr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4743A">
              <w:rPr>
                <w:b/>
                <w:bCs/>
                <w:i/>
                <w:iCs/>
                <w:sz w:val="20"/>
                <w:szCs w:val="20"/>
                <w:u w:val="single"/>
              </w:rPr>
              <w:t>u projektů s rozpočtem ZV 5 mil. Kč a více</w:t>
            </w:r>
          </w:p>
          <w:p w:rsidR="003B40DA" w:rsidRDefault="003B40DA" w:rsidP="003B40DA">
            <w:pPr>
              <w:pStyle w:val="Standard"/>
              <w:numPr>
                <w:ilvl w:val="0"/>
                <w:numId w:val="46"/>
              </w:numPr>
              <w:ind w:left="277" w:hanging="14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SP </w:t>
            </w:r>
            <w:r w:rsidRPr="0094743A">
              <w:rPr>
                <w:b/>
                <w:bCs/>
                <w:i/>
                <w:iCs/>
                <w:sz w:val="20"/>
                <w:szCs w:val="20"/>
                <w:u w:val="single"/>
              </w:rPr>
              <w:t>u projektů s rozpočtem ZV nižší než 5 mil. Kč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(u fin. udržitelnosti projektu relevantní zejm. kalkulace příjmů a výdajů projektu v inv. a provozní fázi)</w:t>
            </w:r>
          </w:p>
          <w:p w:rsidR="003B40DA" w:rsidRDefault="003B40DA" w:rsidP="003B40DA">
            <w:pPr>
              <w:pStyle w:val="Standard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Žadatel podrobně popíše, jak bude projekt pokračovat (realizovat výstupy a výsledky projektu) po dobu udržitelnosti.  Posuzována bude udržitelnost institucionální, administrativní a finanční. </w:t>
            </w:r>
          </w:p>
          <w:p w:rsidR="003B40DA" w:rsidRPr="00AA4C6B" w:rsidRDefault="003B40DA" w:rsidP="003B40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Žadatel popíše, jakým způsobem bude projekt financován po celé sledované období udržitelnosti (žadatel doloží zdroje financování).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  <w:p w:rsidR="003B40DA" w:rsidRPr="005857B0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487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377293">
              <w:rPr>
                <w:sz w:val="20"/>
                <w:szCs w:val="20"/>
              </w:rPr>
              <w:t>Žadatel neprokázal celkovou udržitelnost projektu a jeho výstupů/výsledků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3" w:type="dxa"/>
            <w:noWrap/>
            <w:vAlign w:val="center"/>
          </w:tcPr>
          <w:p w:rsidR="003B40DA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noWrap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Default="003B40DA" w:rsidP="003B40DA">
            <w:pPr>
              <w:pStyle w:val="Standard"/>
              <w:numPr>
                <w:ilvl w:val="0"/>
                <w:numId w:val="46"/>
              </w:numPr>
              <w:ind w:left="277" w:hanging="142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347"/>
        </w:trPr>
        <w:tc>
          <w:tcPr>
            <w:tcW w:w="2545" w:type="dxa"/>
            <w:vMerge w:val="restart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Finanční udržitelnost projektu v době udržitelnosti</w:t>
            </w: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pStyle w:val="Standard"/>
            </w:pPr>
            <w:r>
              <w:rPr>
                <w:sz w:val="20"/>
                <w:szCs w:val="20"/>
              </w:rPr>
              <w:t>Provozní výdaje projektu jsou reálné a ufinancovatelné, žadatel má prokazatelně zajištěny zdroje financování po celou dobu udržitelnosti projektu.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 xml:space="preserve"> 4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i/>
                <w:iCs/>
                <w:sz w:val="20"/>
                <w:szCs w:val="20"/>
              </w:rPr>
            </w:pPr>
            <w:r w:rsidRPr="00A00796">
              <w:rPr>
                <w:bCs/>
                <w:i/>
                <w:iCs/>
                <w:sz w:val="20"/>
                <w:szCs w:val="20"/>
              </w:rPr>
              <w:t xml:space="preserve">Hodnotitel specifických požadavků </w:t>
            </w:r>
            <w:r>
              <w:rPr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3B40DA" w:rsidRPr="00945E01" w:rsidTr="009B14AB">
        <w:trPr>
          <w:trHeight w:val="1346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výdaje projektu jsou reálné a ufinancovatelné, zajištění zdrojů financování po celou dobu udržitelnosti projektu je žadatelem prohlášeno závaznou formou.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2702"/>
        </w:trPr>
        <w:tc>
          <w:tcPr>
            <w:tcW w:w="2545" w:type="dxa"/>
            <w:vMerge/>
            <w:vAlign w:val="center"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Kalkulace provozních výdajů projektu není podložena reálnými daty a žadatel neprokázal zajištění zdrojů financování po celou dobu udržitelnosti projektu.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953"/>
        </w:trPr>
        <w:tc>
          <w:tcPr>
            <w:tcW w:w="2545" w:type="dxa"/>
            <w:vMerge w:val="restart"/>
            <w:vAlign w:val="center"/>
            <w:hideMark/>
          </w:tcPr>
          <w:p w:rsidR="003B40DA" w:rsidRPr="0043507E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 </w:t>
            </w:r>
            <w:r w:rsidRPr="0043507E">
              <w:rPr>
                <w:sz w:val="20"/>
                <w:szCs w:val="20"/>
              </w:rPr>
              <w:t>Finanční a ekonomická rizika</w:t>
            </w:r>
            <w:r>
              <w:rPr>
                <w:sz w:val="20"/>
                <w:szCs w:val="20"/>
              </w:rPr>
              <w:t xml:space="preserve"> projektu</w:t>
            </w:r>
          </w:p>
          <w:p w:rsidR="003B40DA" w:rsidRPr="00945E01" w:rsidRDefault="003B40DA" w:rsidP="003B4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6" w:type="dxa"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rizik investiční a provozní fáze projektu specifikuje všechna relevantní klíčová finanční rizika projektu. Ke všem identifikovaným rizikům žadatel navrhuje adekvátní způsoby a varianty jejich eliminace vedoucí k odstranění nebo omezení následků. Projekt neobsahuje závažná rizika mající vliv na realizaci a udržitelnost projektu.</w:t>
            </w:r>
          </w:p>
        </w:tc>
        <w:tc>
          <w:tcPr>
            <w:tcW w:w="1143" w:type="dxa"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body</w:t>
            </w:r>
          </w:p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  <w:hideMark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3</w:t>
            </w:r>
            <w:r w:rsidRPr="003B4384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hideMark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  <w:r w:rsidR="008175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Pozornost se soustředí na popis rizik, předpokladů úspěšné realizace projektu a řešení k odstranění nebo minimalizaci rizik. Jedná se zejm. o rizika </w:t>
            </w:r>
            <w:r w:rsidRPr="00A10402">
              <w:rPr>
                <w:i/>
                <w:sz w:val="20"/>
                <w:szCs w:val="20"/>
              </w:rPr>
              <w:t>ekonomická,</w:t>
            </w:r>
            <w:r>
              <w:rPr>
                <w:sz w:val="20"/>
                <w:szCs w:val="20"/>
              </w:rPr>
              <w:t xml:space="preserve"> </w:t>
            </w:r>
            <w:r w:rsidRPr="00A10402">
              <w:rPr>
                <w:i/>
                <w:sz w:val="20"/>
                <w:szCs w:val="20"/>
              </w:rPr>
              <w:t>finanční</w:t>
            </w:r>
            <w:r>
              <w:rPr>
                <w:i/>
                <w:sz w:val="20"/>
                <w:szCs w:val="20"/>
              </w:rPr>
              <w:t>, logistická</w:t>
            </w:r>
            <w:r w:rsidRPr="00A10402">
              <w:rPr>
                <w:i/>
                <w:sz w:val="20"/>
                <w:szCs w:val="20"/>
              </w:rPr>
              <w:t xml:space="preserve"> a provozní</w:t>
            </w:r>
            <w:r>
              <w:rPr>
                <w:i/>
                <w:sz w:val="20"/>
                <w:szCs w:val="20"/>
              </w:rPr>
              <w:t>.</w:t>
            </w:r>
            <w:r w:rsidRPr="00A10402">
              <w:rPr>
                <w:i/>
                <w:sz w:val="20"/>
                <w:szCs w:val="20"/>
              </w:rPr>
              <w:t xml:space="preserve"> </w:t>
            </w:r>
            <w:r w:rsidRPr="00733A2E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0796">
              <w:rPr>
                <w:bCs/>
                <w:i/>
                <w:iCs/>
                <w:sz w:val="20"/>
                <w:szCs w:val="20"/>
              </w:rPr>
              <w:t xml:space="preserve">Hodnotitel specifických požadavků </w:t>
            </w:r>
            <w:r>
              <w:rPr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3B40DA" w:rsidRPr="00945E01" w:rsidTr="009B14AB">
        <w:trPr>
          <w:trHeight w:val="503"/>
        </w:trPr>
        <w:tc>
          <w:tcPr>
            <w:tcW w:w="2545" w:type="dxa"/>
            <w:vMerge/>
            <w:hideMark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hideMark/>
          </w:tcPr>
          <w:p w:rsidR="003B40DA" w:rsidRPr="00945E01" w:rsidRDefault="003B40DA" w:rsidP="003B40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rizik investiční a provozní fáze projektu specifikuje pouze část relevantních klíčových finančních rizik projektu. Ke všem identifikovaným rizikům žadatel navrhuje adekvátní způsoby a varianty jejich eliminace vedoucí k odstranění nebo omezení následků. Projekt neobsahuje závažná rizika mající vliv na realizaci a udržitelnost projektu.</w:t>
            </w:r>
            <w:r w:rsidDel="00BD6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vAlign w:val="center"/>
            <w:hideMark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bod</w:t>
            </w:r>
          </w:p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  <w:hideMark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502"/>
        </w:trPr>
        <w:tc>
          <w:tcPr>
            <w:tcW w:w="2545" w:type="dxa"/>
            <w:vMerge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rizik není zpracována na dostatečné úrovni, opomíjí významná finanční rizika mající vliv na investiční a provozní fázi projektu. Projekt obsahuje závažná/-é riziko/-a, které/-á žadatel opomněl identifikovat a/nebo nenavrhl adekvátní opatření k jeho/jejich eliminaci.</w:t>
            </w:r>
          </w:p>
        </w:tc>
        <w:tc>
          <w:tcPr>
            <w:tcW w:w="1143" w:type="dxa"/>
            <w:vAlign w:val="center"/>
          </w:tcPr>
          <w:p w:rsidR="003B40DA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035"/>
        </w:trPr>
        <w:tc>
          <w:tcPr>
            <w:tcW w:w="2545" w:type="dxa"/>
            <w:vMerge w:val="restart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Ostatní rizika projektu (krom finančních a ekonomických rizik)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3B40DA" w:rsidRDefault="003B40DA" w:rsidP="003B40DA">
            <w:pPr>
              <w:pStyle w:val="Standard"/>
            </w:pPr>
            <w:r>
              <w:rPr>
                <w:sz w:val="20"/>
                <w:szCs w:val="20"/>
              </w:rPr>
              <w:t>Analýza rizik investiční a provozní fáze projektu specifikuje všechna relevantní klíčová rizika projektu. Ke všem identifikovaným rizikům žadatel navrhuje adekvátní způsoby a varianty jejich eliminace vedoucí k odstranění nebo omezení následků. Projekt neobsahuje závažná rizika mající vliv na realizaci a udržitelnost projektu.</w:t>
            </w:r>
          </w:p>
        </w:tc>
        <w:tc>
          <w:tcPr>
            <w:tcW w:w="1143" w:type="dxa"/>
            <w:noWrap/>
            <w:vAlign w:val="center"/>
          </w:tcPr>
          <w:p w:rsidR="003B40DA" w:rsidRDefault="003B40DA" w:rsidP="003B40DA">
            <w:pPr>
              <w:pStyle w:val="Standard"/>
              <w:jc w:val="right"/>
            </w:pPr>
            <w:r>
              <w:rPr>
                <w:sz w:val="20"/>
                <w:szCs w:val="20"/>
              </w:rPr>
              <w:t>3 body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>Max.</w:t>
            </w:r>
            <w:r>
              <w:rPr>
                <w:b/>
                <w:bCs/>
                <w:sz w:val="20"/>
                <w:szCs w:val="20"/>
              </w:rPr>
              <w:t xml:space="preserve"> 3 body</w:t>
            </w:r>
          </w:p>
        </w:tc>
        <w:tc>
          <w:tcPr>
            <w:tcW w:w="3117" w:type="dxa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Studie proveditelnosti </w:t>
            </w: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Pozornost se soustředí na popis ostatních realizačních rizik (krom finančních a ekonomických), předpokladů úspěšné realizace projektu a řešení k odstranění nebo minimalizaci rizik. Jedná se zejm. o rizika </w:t>
            </w:r>
            <w:r w:rsidRPr="00A10402">
              <w:rPr>
                <w:i/>
                <w:sz w:val="20"/>
                <w:szCs w:val="20"/>
              </w:rPr>
              <w:t>technická a technologická, projektová, informační, časová, organizační, legislativní, sociální, ekologická, bezpečnostní, živelná a přírodní apod. dle relevance k projektovému záměru.</w:t>
            </w:r>
          </w:p>
        </w:tc>
        <w:tc>
          <w:tcPr>
            <w:tcW w:w="1419" w:type="dxa"/>
            <w:gridSpan w:val="2"/>
            <w:vMerge w:val="restart"/>
          </w:tcPr>
          <w:p w:rsidR="003B40DA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5353">
              <w:rPr>
                <w:b/>
                <w:bCs/>
                <w:i/>
                <w:iCs/>
                <w:sz w:val="20"/>
                <w:szCs w:val="20"/>
              </w:rPr>
              <w:t>Kombinované</w:t>
            </w: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B40DA" w:rsidRPr="00A00796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  <w:r w:rsidRPr="00A00796">
              <w:rPr>
                <w:bCs/>
                <w:i/>
                <w:iCs/>
                <w:sz w:val="20"/>
                <w:szCs w:val="20"/>
              </w:rPr>
              <w:t>Hodnot</w:t>
            </w:r>
            <w:r>
              <w:rPr>
                <w:bCs/>
                <w:i/>
                <w:iCs/>
                <w:sz w:val="20"/>
                <w:szCs w:val="20"/>
              </w:rPr>
              <w:t>itel specifických požadavků A</w:t>
            </w:r>
          </w:p>
          <w:p w:rsidR="003B40DA" w:rsidRPr="00D55353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035"/>
        </w:trPr>
        <w:tc>
          <w:tcPr>
            <w:tcW w:w="2545" w:type="dxa"/>
            <w:vMerge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Default="003B40DA" w:rsidP="003B40DA">
            <w:pPr>
              <w:pStyle w:val="Standard"/>
            </w:pPr>
            <w:r>
              <w:rPr>
                <w:sz w:val="20"/>
                <w:szCs w:val="20"/>
              </w:rPr>
              <w:t>Analýza rizik investiční a provozní fáze projektu specifikuje pouze část relevantních klíčových rizik projektu. Ke všem identifikovaným rizikům žadatel navrhuje adekvátní způsoby a varianty jejich eliminace vedoucí k odstranění nebo omezení následků. Projekt neobsahuje závažná rizika mající vliv na realizaci a udržitelnost projektu.</w:t>
            </w:r>
          </w:p>
        </w:tc>
        <w:tc>
          <w:tcPr>
            <w:tcW w:w="1143" w:type="dxa"/>
            <w:noWrap/>
          </w:tcPr>
          <w:p w:rsidR="003B40DA" w:rsidRDefault="003B40DA" w:rsidP="003B40DA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3B40DA" w:rsidRDefault="003B40DA" w:rsidP="003B40DA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3B40DA" w:rsidRDefault="003B40DA" w:rsidP="003B40DA">
            <w:pPr>
              <w:pStyle w:val="Standard"/>
              <w:jc w:val="right"/>
            </w:pPr>
            <w:r>
              <w:rPr>
                <w:sz w:val="20"/>
                <w:szCs w:val="20"/>
              </w:rPr>
              <w:t xml:space="preserve">1 </w:t>
            </w:r>
            <w:r w:rsidDel="00242332">
              <w:rPr>
                <w:sz w:val="20"/>
                <w:szCs w:val="20"/>
              </w:rPr>
              <w:t>bod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B14AB">
        <w:trPr>
          <w:trHeight w:val="1522"/>
        </w:trPr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3B40DA" w:rsidRDefault="003B40DA" w:rsidP="003B40DA">
            <w:pPr>
              <w:pStyle w:val="Standard"/>
            </w:pPr>
            <w:r>
              <w:rPr>
                <w:sz w:val="20"/>
                <w:szCs w:val="20"/>
              </w:rPr>
              <w:t>Analýza rizik není zpracována na dostatečné úrovni, opomíjí významná ostatní realizační rizika mající vliv na investiční a provozní fázi projektu. Projekt obsahuje závažná/-é riziko/-a, které/-á žadatel opomněl identifikovat a/nebo nenavrhl adekvátní opatření k jeho/jejich eliminaci.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noWrap/>
            <w:vAlign w:val="center"/>
          </w:tcPr>
          <w:p w:rsidR="003B40DA" w:rsidRDefault="003B40DA" w:rsidP="003B40DA">
            <w:pPr>
              <w:pStyle w:val="Standard"/>
              <w:jc w:val="right"/>
            </w:pPr>
            <w:r>
              <w:rPr>
                <w:sz w:val="20"/>
                <w:szCs w:val="20"/>
              </w:rPr>
              <w:t>0 bodů</w:t>
            </w:r>
          </w:p>
          <w:p w:rsidR="003B40DA" w:rsidRDefault="003B40DA" w:rsidP="003B40DA">
            <w:pPr>
              <w:pStyle w:val="Standard"/>
              <w:jc w:val="right"/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BB0C8E">
        <w:trPr>
          <w:trHeight w:val="414"/>
        </w:trPr>
        <w:tc>
          <w:tcPr>
            <w:tcW w:w="15451" w:type="dxa"/>
            <w:gridSpan w:val="9"/>
            <w:shd w:val="pct10" w:color="auto" w:fill="auto"/>
            <w:vAlign w:val="center"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40DA">
              <w:rPr>
                <w:b/>
                <w:bCs/>
                <w:iCs/>
                <w:sz w:val="20"/>
                <w:szCs w:val="20"/>
              </w:rPr>
              <w:t>SOULAD S HORIZONTÁLNÍMI TÉMATY</w:t>
            </w:r>
          </w:p>
        </w:tc>
      </w:tr>
      <w:tr w:rsidR="003B40DA" w:rsidRPr="00945E01" w:rsidTr="00944CDC">
        <w:trPr>
          <w:trHeight w:val="990"/>
        </w:trPr>
        <w:tc>
          <w:tcPr>
            <w:tcW w:w="2545" w:type="dxa"/>
            <w:vMerge w:val="restart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945E01">
              <w:rPr>
                <w:sz w:val="20"/>
                <w:szCs w:val="20"/>
              </w:rPr>
              <w:t>Vliv projektu na udržitelný rozvoj</w:t>
            </w:r>
          </w:p>
        </w:tc>
        <w:tc>
          <w:tcPr>
            <w:tcW w:w="4816" w:type="dxa"/>
            <w:vAlign w:val="center"/>
          </w:tcPr>
          <w:p w:rsidR="003B40DA" w:rsidRPr="00F61ACA" w:rsidRDefault="003B40DA" w:rsidP="003B40DA">
            <w:pPr>
              <w:pStyle w:val="Standard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77293">
              <w:rPr>
                <w:sz w:val="20"/>
              </w:rPr>
              <w:t xml:space="preserve">Projekt má kladný vliv na udržitelný rozvoj. </w:t>
            </w:r>
            <w:r w:rsidRPr="0037729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obsahuje konkrétní opatření/aktivity na podporu udržitelného rozvoje, </w:t>
            </w:r>
            <w:r w:rsidRPr="00377293">
              <w:rPr>
                <w:sz w:val="20"/>
                <w:szCs w:val="20"/>
              </w:rPr>
              <w:t>projekt přispívá ke zvyšování povědomí o udržite</w:t>
            </w:r>
            <w:r w:rsidRPr="00864628">
              <w:rPr>
                <w:sz w:val="20"/>
                <w:szCs w:val="20"/>
              </w:rPr>
              <w:t xml:space="preserve">lném rozvoji (zejména o environmentální problematice), k uvážlivému využívání přírodních zdrojů  </w:t>
            </w:r>
          </w:p>
          <w:p w:rsidR="003B40DA" w:rsidRPr="00945E01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F1136C">
              <w:rPr>
                <w:sz w:val="20"/>
                <w:szCs w:val="20"/>
              </w:rPr>
              <w:t>1 bod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>Max. 1 bod</w:t>
            </w:r>
          </w:p>
        </w:tc>
        <w:tc>
          <w:tcPr>
            <w:tcW w:w="3117" w:type="dxa"/>
            <w:vMerge w:val="restart"/>
          </w:tcPr>
          <w:p w:rsidR="003B40DA" w:rsidRPr="00201166" w:rsidRDefault="003B40DA" w:rsidP="003B40D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  <w:r w:rsidRPr="00733A2E" w:rsidDel="003B40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05F8E">
              <w:rPr>
                <w:i/>
                <w:sz w:val="20"/>
                <w:szCs w:val="20"/>
              </w:rPr>
              <w:t>Posuzuje se vztah projektu k udržitelnému rozvoji</w:t>
            </w:r>
            <w:r w:rsidRPr="00E05F8E">
              <w:rPr>
                <w:i/>
                <w:iCs/>
                <w:sz w:val="20"/>
                <w:szCs w:val="20"/>
              </w:rPr>
              <w:t xml:space="preserve">. Žadatel popíše vliv projektu na jednotlivé složky </w:t>
            </w:r>
            <w:r>
              <w:rPr>
                <w:i/>
                <w:iCs/>
                <w:sz w:val="20"/>
                <w:szCs w:val="20"/>
              </w:rPr>
              <w:t>ŽP</w:t>
            </w:r>
            <w:r w:rsidRPr="00E05F8E">
              <w:rPr>
                <w:i/>
                <w:iCs/>
                <w:sz w:val="20"/>
                <w:szCs w:val="20"/>
              </w:rPr>
              <w:t xml:space="preserve"> </w:t>
            </w:r>
            <w:r w:rsidRPr="00E05F8E">
              <w:rPr>
                <w:i/>
                <w:sz w:val="20"/>
                <w:szCs w:val="20"/>
              </w:rPr>
              <w:t xml:space="preserve">(voda, půda, </w:t>
            </w:r>
            <w:r>
              <w:rPr>
                <w:i/>
                <w:sz w:val="20"/>
                <w:szCs w:val="20"/>
              </w:rPr>
              <w:t xml:space="preserve">ovzduší, povrch Země, biosféra), </w:t>
            </w:r>
            <w:r w:rsidRPr="00E05F8E">
              <w:rPr>
                <w:i/>
                <w:iCs/>
                <w:sz w:val="20"/>
                <w:szCs w:val="20"/>
              </w:rPr>
              <w:t>definuje</w:t>
            </w:r>
            <w:r>
              <w:rPr>
                <w:i/>
                <w:iCs/>
                <w:sz w:val="20"/>
                <w:szCs w:val="20"/>
              </w:rPr>
              <w:t xml:space="preserve"> negativní dopady a způsob jejic</w:t>
            </w:r>
            <w:r w:rsidRPr="00E05F8E">
              <w:rPr>
                <w:i/>
                <w:iCs/>
                <w:sz w:val="20"/>
                <w:szCs w:val="20"/>
              </w:rPr>
              <w:t>h řešení.</w:t>
            </w:r>
            <w:r w:rsidRPr="00733A2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B40DA" w:rsidRPr="00A00796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  <w:r w:rsidRPr="00A00796">
              <w:rPr>
                <w:bCs/>
                <w:i/>
                <w:iCs/>
                <w:sz w:val="20"/>
                <w:szCs w:val="20"/>
              </w:rPr>
              <w:t>Hodnot</w:t>
            </w:r>
            <w:r>
              <w:rPr>
                <w:bCs/>
                <w:i/>
                <w:iCs/>
                <w:sz w:val="20"/>
                <w:szCs w:val="20"/>
              </w:rPr>
              <w:t>itel specifických požadavků A</w:t>
            </w: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44CDC">
        <w:trPr>
          <w:trHeight w:val="990"/>
        </w:trPr>
        <w:tc>
          <w:tcPr>
            <w:tcW w:w="2545" w:type="dxa"/>
            <w:vMerge/>
          </w:tcPr>
          <w:p w:rsidR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Pr="007B4F93" w:rsidRDefault="003B40DA" w:rsidP="003B40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>V</w:t>
            </w:r>
            <w:r w:rsidRPr="004A4C16">
              <w:rPr>
                <w:sz w:val="20"/>
              </w:rPr>
              <w:t>liv projektu na udržitelný rozvoj je neutrální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szCs w:val="20"/>
              </w:rPr>
              <w:t>Příspěvek projektu ke zvyšování povědomí o udržitelném rozvoji (zejména o environmentální problematice), k uvážlivému využívání přírodních zdrojů je neutrální.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B40DA" w:rsidRPr="00A00796" w:rsidRDefault="003B40DA" w:rsidP="003B40DA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3B40DA">
        <w:trPr>
          <w:trHeight w:val="758"/>
        </w:trPr>
        <w:tc>
          <w:tcPr>
            <w:tcW w:w="2545" w:type="dxa"/>
            <w:vMerge w:val="restart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945E01">
              <w:rPr>
                <w:sz w:val="20"/>
                <w:szCs w:val="20"/>
              </w:rPr>
              <w:t>Vliv projektu na rovné příležitosti</w:t>
            </w:r>
          </w:p>
        </w:tc>
        <w:tc>
          <w:tcPr>
            <w:tcW w:w="4816" w:type="dxa"/>
            <w:vAlign w:val="center"/>
          </w:tcPr>
          <w:p w:rsidR="003B40DA" w:rsidRPr="00945E01" w:rsidRDefault="003B40DA" w:rsidP="003B40DA">
            <w:pPr>
              <w:rPr>
                <w:sz w:val="20"/>
                <w:szCs w:val="20"/>
              </w:rPr>
            </w:pPr>
            <w:r w:rsidRPr="0017698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</w:t>
            </w:r>
            <w:r w:rsidRPr="0037729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obsahuje konkrétní aktivity, ve kterých </w:t>
            </w:r>
            <w:r w:rsidRPr="0017698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nadstandardně aktivně přistupuje k podpoře rovnocenného zacházení a potlačování diskriminace osob, tato opatření/aktivity jsou inovativní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Z</w:t>
            </w:r>
            <w:r w:rsidRPr="0017698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ároveň je zřejmé, že projekt přispívá k sociální integraci a zaměstnanosti diskriminací ohrožených osob v regionu. 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 w:rsidRPr="00176985">
              <w:rPr>
                <w:sz w:val="20"/>
                <w:szCs w:val="20"/>
              </w:rPr>
              <w:t>1 bod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84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1 bod</w:t>
            </w:r>
          </w:p>
        </w:tc>
        <w:tc>
          <w:tcPr>
            <w:tcW w:w="3117" w:type="dxa"/>
            <w:vMerge w:val="restart"/>
          </w:tcPr>
          <w:p w:rsidR="003B40DA" w:rsidRPr="00733A2E" w:rsidRDefault="003B40DA" w:rsidP="003B40D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  <w:r w:rsidRPr="00733A2E" w:rsidDel="003B40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A2E">
              <w:rPr>
                <w:i/>
                <w:iCs/>
                <w:sz w:val="20"/>
                <w:szCs w:val="20"/>
              </w:rPr>
              <w:t>Žadatel v žádosti popíše vlivy projektu na rovné příležitosti.</w:t>
            </w:r>
            <w:r w:rsidRPr="00733A2E">
              <w:rPr>
                <w:i/>
                <w:iCs/>
                <w:sz w:val="20"/>
                <w:szCs w:val="20"/>
              </w:rPr>
              <w:br/>
              <w:t>Bodové ohodnocení lze získat jen za popis</w:t>
            </w:r>
            <w:r>
              <w:rPr>
                <w:i/>
                <w:iCs/>
                <w:sz w:val="20"/>
                <w:szCs w:val="20"/>
              </w:rPr>
              <w:t xml:space="preserve"> vlivu projektu na danou oblast</w:t>
            </w:r>
          </w:p>
        </w:tc>
        <w:tc>
          <w:tcPr>
            <w:tcW w:w="1277" w:type="dxa"/>
            <w:vMerge w:val="restart"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Hodnoticí</w:t>
            </w:r>
          </w:p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944CDC">
        <w:trPr>
          <w:trHeight w:val="757"/>
        </w:trPr>
        <w:tc>
          <w:tcPr>
            <w:tcW w:w="2545" w:type="dxa"/>
            <w:vMerge/>
          </w:tcPr>
          <w:p w:rsidR="003B40DA" w:rsidDel="003B40DA" w:rsidRDefault="003B40DA" w:rsidP="003B40D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Align w:val="center"/>
          </w:tcPr>
          <w:p w:rsidR="003B40DA" w:rsidRPr="007B4F93" w:rsidRDefault="003B40DA" w:rsidP="003B40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>V</w:t>
            </w:r>
            <w:r w:rsidRPr="004A4C16">
              <w:rPr>
                <w:sz w:val="20"/>
              </w:rPr>
              <w:t xml:space="preserve">liv projektu na </w:t>
            </w:r>
            <w:r>
              <w:rPr>
                <w:sz w:val="20"/>
              </w:rPr>
              <w:t>rovné příležitosti</w:t>
            </w:r>
            <w:r w:rsidRPr="004A4C16">
              <w:rPr>
                <w:sz w:val="20"/>
              </w:rPr>
              <w:t xml:space="preserve"> je neutrální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143" w:type="dxa"/>
            <w:noWrap/>
            <w:vAlign w:val="center"/>
          </w:tcPr>
          <w:p w:rsidR="003B40DA" w:rsidRPr="00F1136C" w:rsidRDefault="003B40DA" w:rsidP="003B40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B40DA" w:rsidRPr="003B4384" w:rsidRDefault="003B40DA" w:rsidP="003B4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B40DA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40DA" w:rsidRPr="00945E01" w:rsidTr="00753702">
        <w:trPr>
          <w:trHeight w:val="452"/>
        </w:trPr>
        <w:tc>
          <w:tcPr>
            <w:tcW w:w="15451" w:type="dxa"/>
            <w:gridSpan w:val="9"/>
          </w:tcPr>
          <w:p w:rsidR="003B40DA" w:rsidRPr="00733A2E" w:rsidRDefault="003B40DA" w:rsidP="003B40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77293">
              <w:rPr>
                <w:b/>
              </w:rPr>
              <w:t>Součet bodů celkem = 100 bodů</w:t>
            </w:r>
          </w:p>
        </w:tc>
      </w:tr>
    </w:tbl>
    <w:p w:rsidR="003479A7" w:rsidRPr="00047C50" w:rsidRDefault="003479A7" w:rsidP="00D55353">
      <w:pPr>
        <w:pStyle w:val="Termin"/>
        <w:keepNext/>
        <w:tabs>
          <w:tab w:val="left" w:pos="6521"/>
          <w:tab w:val="left" w:pos="7371"/>
        </w:tabs>
      </w:pPr>
    </w:p>
    <w:sectPr w:rsidR="003479A7" w:rsidRPr="00047C50" w:rsidSect="00F95734">
      <w:headerReference w:type="default" r:id="rId8"/>
      <w:footerReference w:type="default" r:id="rId9"/>
      <w:pgSz w:w="16838" w:h="11906" w:orient="landscape"/>
      <w:pgMar w:top="680" w:right="72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DA" w:rsidRDefault="003B40DA" w:rsidP="00C75896">
      <w:pPr>
        <w:spacing w:after="0" w:line="240" w:lineRule="auto"/>
      </w:pPr>
      <w:r>
        <w:separator/>
      </w:r>
    </w:p>
  </w:endnote>
  <w:endnote w:type="continuationSeparator" w:id="0">
    <w:p w:rsidR="003B40DA" w:rsidRDefault="003B40DA" w:rsidP="00C7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92875"/>
      <w:docPartObj>
        <w:docPartGallery w:val="Page Numbers (Bottom of Page)"/>
        <w:docPartUnique/>
      </w:docPartObj>
    </w:sdtPr>
    <w:sdtEndPr/>
    <w:sdtContent>
      <w:p w:rsidR="003B40DA" w:rsidRDefault="003B40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40">
          <w:rPr>
            <w:noProof/>
          </w:rPr>
          <w:t>12</w:t>
        </w:r>
        <w:r>
          <w:fldChar w:fldCharType="end"/>
        </w:r>
      </w:p>
    </w:sdtContent>
  </w:sdt>
  <w:p w:rsidR="003B40DA" w:rsidRDefault="008175CA">
    <w:pPr>
      <w:pStyle w:val="Zpat"/>
    </w:pPr>
    <w:r>
      <w:t>Verze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DA" w:rsidRDefault="003B40DA" w:rsidP="00C75896">
      <w:pPr>
        <w:spacing w:after="0" w:line="240" w:lineRule="auto"/>
      </w:pPr>
      <w:r>
        <w:separator/>
      </w:r>
    </w:p>
  </w:footnote>
  <w:footnote w:type="continuationSeparator" w:id="0">
    <w:p w:rsidR="003B40DA" w:rsidRDefault="003B40DA" w:rsidP="00C7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DA" w:rsidRDefault="003B40DA" w:rsidP="0091396D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lang w:eastAsia="cs-CZ"/>
      </w:rPr>
    </w:pPr>
    <w:r w:rsidRPr="000F7C4C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2F540C5" wp14:editId="35C294C4">
          <wp:simplePos x="0" y="0"/>
          <wp:positionH relativeFrom="margin">
            <wp:posOffset>-99060</wp:posOffset>
          </wp:positionH>
          <wp:positionV relativeFrom="margin">
            <wp:posOffset>-1085850</wp:posOffset>
          </wp:positionV>
          <wp:extent cx="3190875" cy="638175"/>
          <wp:effectExtent l="0" t="0" r="952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C4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9C523E" wp14:editId="4B0BE8F8">
          <wp:simplePos x="0" y="0"/>
          <wp:positionH relativeFrom="column">
            <wp:posOffset>8874125</wp:posOffset>
          </wp:positionH>
          <wp:positionV relativeFrom="paragraph">
            <wp:posOffset>-250190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0DA" w:rsidRDefault="003B40DA" w:rsidP="00A530B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28"/>
        <w:lang w:eastAsia="cs-CZ"/>
      </w:rPr>
    </w:pPr>
    <w:r w:rsidRPr="00A530B0">
      <w:rPr>
        <w:rFonts w:ascii="Calibri" w:eastAsia="Times New Roman" w:hAnsi="Calibri" w:cs="Calibri"/>
        <w:b/>
        <w:bCs/>
        <w:color w:val="000000"/>
        <w:sz w:val="28"/>
        <w:lang w:eastAsia="cs-CZ"/>
      </w:rPr>
      <w:t xml:space="preserve"> </w:t>
    </w:r>
  </w:p>
  <w:p w:rsidR="003B40DA" w:rsidRDefault="003B40DA" w:rsidP="005F6FE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14"/>
        <w:lang w:eastAsia="cs-CZ"/>
      </w:rPr>
    </w:pPr>
    <w:r>
      <w:rPr>
        <w:rFonts w:ascii="Calibri" w:eastAsia="Times New Roman" w:hAnsi="Calibri" w:cs="Calibri"/>
        <w:b/>
        <w:bCs/>
        <w:color w:val="000000"/>
        <w:sz w:val="14"/>
        <w:lang w:eastAsia="cs-CZ"/>
      </w:rPr>
      <w:tab/>
    </w:r>
  </w:p>
  <w:p w:rsidR="003B40DA" w:rsidRPr="005F6FE0" w:rsidRDefault="003B40DA" w:rsidP="005F6FE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lang w:eastAsia="cs-CZ"/>
      </w:rPr>
    </w:pPr>
    <w:r w:rsidRPr="005F6FE0">
      <w:rPr>
        <w:rFonts w:ascii="Calibri" w:eastAsia="Times New Roman" w:hAnsi="Calibri" w:cs="Calibri"/>
        <w:b/>
        <w:bCs/>
        <w:color w:val="000000"/>
        <w:sz w:val="24"/>
        <w:lang w:eastAsia="cs-CZ"/>
      </w:rPr>
      <w:t>Sada hodnoticích kritérií pro PO 1 OP PPR, specifický cíl 1.2.1. Zvyšování kvality a efektivity fungování vědecko-technických parků včetně inkubátorů</w:t>
    </w:r>
  </w:p>
  <w:p w:rsidR="003B40DA" w:rsidRPr="00B61E8B" w:rsidRDefault="003B40DA" w:rsidP="005F6FE0">
    <w:pPr>
      <w:tabs>
        <w:tab w:val="left" w:pos="2355"/>
      </w:tabs>
      <w:spacing w:after="0" w:line="240" w:lineRule="auto"/>
      <w:rPr>
        <w:rFonts w:ascii="Calibri" w:eastAsia="Times New Roman" w:hAnsi="Calibri" w:cs="Calibri"/>
        <w:b/>
        <w:bCs/>
        <w:color w:val="000000"/>
        <w:sz w:val="1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E1F7BF7"/>
    <w:multiLevelType w:val="hybridMultilevel"/>
    <w:tmpl w:val="D17AB1BE"/>
    <w:lvl w:ilvl="0" w:tplc="783E545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10"/>
  </w:num>
  <w:num w:numId="24">
    <w:abstractNumId w:val="8"/>
  </w:num>
  <w:num w:numId="25">
    <w:abstractNumId w:val="9"/>
  </w:num>
  <w:num w:numId="26">
    <w:abstractNumId w:val="1"/>
  </w:num>
  <w:num w:numId="27">
    <w:abstractNumId w:val="5"/>
  </w:num>
  <w:num w:numId="28">
    <w:abstractNumId w:val="0"/>
  </w:num>
  <w:num w:numId="29">
    <w:abstractNumId w:val="3"/>
  </w:num>
  <w:num w:numId="30">
    <w:abstractNumId w:val="15"/>
  </w:num>
  <w:num w:numId="31">
    <w:abstractNumId w:val="1"/>
  </w:num>
  <w:num w:numId="32">
    <w:abstractNumId w:val="5"/>
  </w:num>
  <w:num w:numId="33">
    <w:abstractNumId w:val="0"/>
  </w:num>
  <w:num w:numId="34">
    <w:abstractNumId w:val="3"/>
  </w:num>
  <w:num w:numId="35">
    <w:abstractNumId w:val="15"/>
  </w:num>
  <w:num w:numId="36">
    <w:abstractNumId w:val="1"/>
  </w:num>
  <w:num w:numId="37">
    <w:abstractNumId w:val="5"/>
  </w:num>
  <w:num w:numId="38">
    <w:abstractNumId w:val="0"/>
  </w:num>
  <w:num w:numId="39">
    <w:abstractNumId w:val="3"/>
  </w:num>
  <w:num w:numId="40">
    <w:abstractNumId w:val="15"/>
  </w:num>
  <w:num w:numId="41">
    <w:abstractNumId w:val="1"/>
  </w:num>
  <w:num w:numId="42">
    <w:abstractNumId w:val="5"/>
  </w:num>
  <w:num w:numId="43">
    <w:abstractNumId w:val="0"/>
  </w:num>
  <w:num w:numId="44">
    <w:abstractNumId w:val="3"/>
  </w:num>
  <w:num w:numId="45">
    <w:abstractNumId w:val="15"/>
  </w:num>
  <w:num w:numId="4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C01F5"/>
    <w:rsid w:val="0000071C"/>
    <w:rsid w:val="00021B15"/>
    <w:rsid w:val="00034AC4"/>
    <w:rsid w:val="0004140C"/>
    <w:rsid w:val="00047C50"/>
    <w:rsid w:val="000522FC"/>
    <w:rsid w:val="00055F55"/>
    <w:rsid w:val="00063924"/>
    <w:rsid w:val="0008001C"/>
    <w:rsid w:val="00081113"/>
    <w:rsid w:val="000907BC"/>
    <w:rsid w:val="000934D8"/>
    <w:rsid w:val="000966FE"/>
    <w:rsid w:val="00097D81"/>
    <w:rsid w:val="000B45CB"/>
    <w:rsid w:val="000C1DAB"/>
    <w:rsid w:val="000C2575"/>
    <w:rsid w:val="000C42A7"/>
    <w:rsid w:val="000C4B5C"/>
    <w:rsid w:val="000C52BF"/>
    <w:rsid w:val="000C53ED"/>
    <w:rsid w:val="000C79D1"/>
    <w:rsid w:val="000D04F2"/>
    <w:rsid w:val="000D09BA"/>
    <w:rsid w:val="000D50E3"/>
    <w:rsid w:val="000F0F1E"/>
    <w:rsid w:val="000F358E"/>
    <w:rsid w:val="00113A47"/>
    <w:rsid w:val="00120FFA"/>
    <w:rsid w:val="0012329E"/>
    <w:rsid w:val="0012448E"/>
    <w:rsid w:val="00154424"/>
    <w:rsid w:val="00177C52"/>
    <w:rsid w:val="00184200"/>
    <w:rsid w:val="00184951"/>
    <w:rsid w:val="00186924"/>
    <w:rsid w:val="0019557B"/>
    <w:rsid w:val="001A46B5"/>
    <w:rsid w:val="001A4E35"/>
    <w:rsid w:val="001A4FB7"/>
    <w:rsid w:val="001B0846"/>
    <w:rsid w:val="001C3508"/>
    <w:rsid w:val="001C352B"/>
    <w:rsid w:val="001D011F"/>
    <w:rsid w:val="001D578C"/>
    <w:rsid w:val="001D6705"/>
    <w:rsid w:val="001E48BB"/>
    <w:rsid w:val="001E6A8D"/>
    <w:rsid w:val="001E74C0"/>
    <w:rsid w:val="001E77A6"/>
    <w:rsid w:val="001F5B6B"/>
    <w:rsid w:val="00200458"/>
    <w:rsid w:val="00201166"/>
    <w:rsid w:val="00204986"/>
    <w:rsid w:val="00205751"/>
    <w:rsid w:val="0021255B"/>
    <w:rsid w:val="00212BAB"/>
    <w:rsid w:val="00216A3B"/>
    <w:rsid w:val="00220B9F"/>
    <w:rsid w:val="002219CB"/>
    <w:rsid w:val="002315ED"/>
    <w:rsid w:val="002341C7"/>
    <w:rsid w:val="00235B61"/>
    <w:rsid w:val="00240787"/>
    <w:rsid w:val="0025389B"/>
    <w:rsid w:val="00263122"/>
    <w:rsid w:val="00266EEF"/>
    <w:rsid w:val="002676FE"/>
    <w:rsid w:val="00283A35"/>
    <w:rsid w:val="00291366"/>
    <w:rsid w:val="002916AB"/>
    <w:rsid w:val="00297758"/>
    <w:rsid w:val="002A2F31"/>
    <w:rsid w:val="002A4361"/>
    <w:rsid w:val="002A585F"/>
    <w:rsid w:val="002A63EB"/>
    <w:rsid w:val="002A7168"/>
    <w:rsid w:val="002B0950"/>
    <w:rsid w:val="002B1F0D"/>
    <w:rsid w:val="002B2084"/>
    <w:rsid w:val="002B523B"/>
    <w:rsid w:val="002B5413"/>
    <w:rsid w:val="002C4266"/>
    <w:rsid w:val="002C4304"/>
    <w:rsid w:val="002C6173"/>
    <w:rsid w:val="002C798B"/>
    <w:rsid w:val="002D140C"/>
    <w:rsid w:val="002D1860"/>
    <w:rsid w:val="002D2126"/>
    <w:rsid w:val="002D61E1"/>
    <w:rsid w:val="002D7D75"/>
    <w:rsid w:val="002E505C"/>
    <w:rsid w:val="002F0F9D"/>
    <w:rsid w:val="002F7B4E"/>
    <w:rsid w:val="002F7BE8"/>
    <w:rsid w:val="00315911"/>
    <w:rsid w:val="00316FB2"/>
    <w:rsid w:val="00317BD1"/>
    <w:rsid w:val="00323043"/>
    <w:rsid w:val="0032327F"/>
    <w:rsid w:val="003238AA"/>
    <w:rsid w:val="003256AC"/>
    <w:rsid w:val="00334981"/>
    <w:rsid w:val="003477EF"/>
    <w:rsid w:val="003479A7"/>
    <w:rsid w:val="00352707"/>
    <w:rsid w:val="00357960"/>
    <w:rsid w:val="00371A60"/>
    <w:rsid w:val="003734F6"/>
    <w:rsid w:val="00373E8E"/>
    <w:rsid w:val="00382082"/>
    <w:rsid w:val="00382157"/>
    <w:rsid w:val="00384246"/>
    <w:rsid w:val="003846CE"/>
    <w:rsid w:val="00384C3B"/>
    <w:rsid w:val="003975C1"/>
    <w:rsid w:val="003B2D31"/>
    <w:rsid w:val="003B32BD"/>
    <w:rsid w:val="003B40DA"/>
    <w:rsid w:val="003B4384"/>
    <w:rsid w:val="003C60F3"/>
    <w:rsid w:val="003D0361"/>
    <w:rsid w:val="003D32AF"/>
    <w:rsid w:val="003D7F7A"/>
    <w:rsid w:val="003E2543"/>
    <w:rsid w:val="003E3C61"/>
    <w:rsid w:val="003F04B8"/>
    <w:rsid w:val="003F0D6F"/>
    <w:rsid w:val="003F14C3"/>
    <w:rsid w:val="003F30B4"/>
    <w:rsid w:val="003F4D09"/>
    <w:rsid w:val="003F7841"/>
    <w:rsid w:val="0040176C"/>
    <w:rsid w:val="00401AB4"/>
    <w:rsid w:val="004026F1"/>
    <w:rsid w:val="00406B43"/>
    <w:rsid w:val="00407A7A"/>
    <w:rsid w:val="00412042"/>
    <w:rsid w:val="00415241"/>
    <w:rsid w:val="0042057D"/>
    <w:rsid w:val="00425296"/>
    <w:rsid w:val="00426808"/>
    <w:rsid w:val="00426C88"/>
    <w:rsid w:val="004270DE"/>
    <w:rsid w:val="00434896"/>
    <w:rsid w:val="0043507E"/>
    <w:rsid w:val="00437365"/>
    <w:rsid w:val="00444164"/>
    <w:rsid w:val="00451F05"/>
    <w:rsid w:val="00453085"/>
    <w:rsid w:val="00455A08"/>
    <w:rsid w:val="00477B1A"/>
    <w:rsid w:val="0049258B"/>
    <w:rsid w:val="004926DD"/>
    <w:rsid w:val="00494BBB"/>
    <w:rsid w:val="004A7308"/>
    <w:rsid w:val="004B00F0"/>
    <w:rsid w:val="004C1D48"/>
    <w:rsid w:val="004C1FD1"/>
    <w:rsid w:val="004C2F1A"/>
    <w:rsid w:val="004C711C"/>
    <w:rsid w:val="004C7BAE"/>
    <w:rsid w:val="004D03E5"/>
    <w:rsid w:val="004D1C4A"/>
    <w:rsid w:val="004D5619"/>
    <w:rsid w:val="004D5756"/>
    <w:rsid w:val="004D77B3"/>
    <w:rsid w:val="004E5777"/>
    <w:rsid w:val="004F087C"/>
    <w:rsid w:val="004F41B6"/>
    <w:rsid w:val="004F71D3"/>
    <w:rsid w:val="0050064B"/>
    <w:rsid w:val="00500BE3"/>
    <w:rsid w:val="0051077D"/>
    <w:rsid w:val="0051725C"/>
    <w:rsid w:val="005175F0"/>
    <w:rsid w:val="00526FE7"/>
    <w:rsid w:val="0053090F"/>
    <w:rsid w:val="00534F84"/>
    <w:rsid w:val="00536ADE"/>
    <w:rsid w:val="005431B7"/>
    <w:rsid w:val="00547B73"/>
    <w:rsid w:val="005565F5"/>
    <w:rsid w:val="00556636"/>
    <w:rsid w:val="00570F78"/>
    <w:rsid w:val="00571233"/>
    <w:rsid w:val="0057313D"/>
    <w:rsid w:val="00577ECB"/>
    <w:rsid w:val="005857B0"/>
    <w:rsid w:val="00585837"/>
    <w:rsid w:val="00594652"/>
    <w:rsid w:val="005A41A1"/>
    <w:rsid w:val="005A5557"/>
    <w:rsid w:val="005A730C"/>
    <w:rsid w:val="005A7D48"/>
    <w:rsid w:val="005B575A"/>
    <w:rsid w:val="005B6406"/>
    <w:rsid w:val="005B78EA"/>
    <w:rsid w:val="005C37AC"/>
    <w:rsid w:val="005C69E5"/>
    <w:rsid w:val="005C6EF6"/>
    <w:rsid w:val="005F27B0"/>
    <w:rsid w:val="005F6FE0"/>
    <w:rsid w:val="00601BDD"/>
    <w:rsid w:val="006074FA"/>
    <w:rsid w:val="00611DC1"/>
    <w:rsid w:val="00616A98"/>
    <w:rsid w:val="00631360"/>
    <w:rsid w:val="00641B8A"/>
    <w:rsid w:val="00643AFC"/>
    <w:rsid w:val="00645040"/>
    <w:rsid w:val="0065277A"/>
    <w:rsid w:val="00656503"/>
    <w:rsid w:val="0067383F"/>
    <w:rsid w:val="006776A6"/>
    <w:rsid w:val="0068272B"/>
    <w:rsid w:val="006857E5"/>
    <w:rsid w:val="006C26F9"/>
    <w:rsid w:val="006C2D8E"/>
    <w:rsid w:val="006C5FE9"/>
    <w:rsid w:val="006C77D8"/>
    <w:rsid w:val="006E140E"/>
    <w:rsid w:val="006E1789"/>
    <w:rsid w:val="006F2B1F"/>
    <w:rsid w:val="006F2EED"/>
    <w:rsid w:val="006F4308"/>
    <w:rsid w:val="00710227"/>
    <w:rsid w:val="00711004"/>
    <w:rsid w:val="007126C4"/>
    <w:rsid w:val="00714FFB"/>
    <w:rsid w:val="007277A9"/>
    <w:rsid w:val="007279BD"/>
    <w:rsid w:val="00727B43"/>
    <w:rsid w:val="007303B7"/>
    <w:rsid w:val="007320E3"/>
    <w:rsid w:val="00733A2E"/>
    <w:rsid w:val="00733DAE"/>
    <w:rsid w:val="00734007"/>
    <w:rsid w:val="00737D16"/>
    <w:rsid w:val="00753702"/>
    <w:rsid w:val="007538AB"/>
    <w:rsid w:val="00753AA4"/>
    <w:rsid w:val="00754F38"/>
    <w:rsid w:val="007575F7"/>
    <w:rsid w:val="00760170"/>
    <w:rsid w:val="00761131"/>
    <w:rsid w:val="00763AFD"/>
    <w:rsid w:val="0076668A"/>
    <w:rsid w:val="00766FD7"/>
    <w:rsid w:val="00767B2F"/>
    <w:rsid w:val="00773B5C"/>
    <w:rsid w:val="00775315"/>
    <w:rsid w:val="007779AD"/>
    <w:rsid w:val="0078121D"/>
    <w:rsid w:val="0078287D"/>
    <w:rsid w:val="007945DA"/>
    <w:rsid w:val="007961DB"/>
    <w:rsid w:val="00796844"/>
    <w:rsid w:val="007A7062"/>
    <w:rsid w:val="007C0292"/>
    <w:rsid w:val="007E7552"/>
    <w:rsid w:val="007F1CE0"/>
    <w:rsid w:val="007F3005"/>
    <w:rsid w:val="008175CA"/>
    <w:rsid w:val="00820734"/>
    <w:rsid w:val="00822F13"/>
    <w:rsid w:val="00832566"/>
    <w:rsid w:val="0083431A"/>
    <w:rsid w:val="008353B6"/>
    <w:rsid w:val="0084450A"/>
    <w:rsid w:val="0084605C"/>
    <w:rsid w:val="00860A2F"/>
    <w:rsid w:val="008626A3"/>
    <w:rsid w:val="00862D3B"/>
    <w:rsid w:val="008725B6"/>
    <w:rsid w:val="008740DA"/>
    <w:rsid w:val="00874F78"/>
    <w:rsid w:val="00876056"/>
    <w:rsid w:val="00877392"/>
    <w:rsid w:val="00882E85"/>
    <w:rsid w:val="00883B27"/>
    <w:rsid w:val="008840F8"/>
    <w:rsid w:val="008878E1"/>
    <w:rsid w:val="00893BAA"/>
    <w:rsid w:val="008A6AB5"/>
    <w:rsid w:val="008C33C9"/>
    <w:rsid w:val="008C6DC4"/>
    <w:rsid w:val="008D0ED5"/>
    <w:rsid w:val="008D3EA4"/>
    <w:rsid w:val="008E6E03"/>
    <w:rsid w:val="008F492C"/>
    <w:rsid w:val="008F68EE"/>
    <w:rsid w:val="00902D46"/>
    <w:rsid w:val="0091396D"/>
    <w:rsid w:val="00923430"/>
    <w:rsid w:val="00923E22"/>
    <w:rsid w:val="00925F00"/>
    <w:rsid w:val="00936749"/>
    <w:rsid w:val="00937EEF"/>
    <w:rsid w:val="00944CDC"/>
    <w:rsid w:val="00945E01"/>
    <w:rsid w:val="00946F6E"/>
    <w:rsid w:val="00947B17"/>
    <w:rsid w:val="00950F12"/>
    <w:rsid w:val="0095638E"/>
    <w:rsid w:val="009565B2"/>
    <w:rsid w:val="0096310D"/>
    <w:rsid w:val="00980FAE"/>
    <w:rsid w:val="009865A4"/>
    <w:rsid w:val="0099654C"/>
    <w:rsid w:val="009969AD"/>
    <w:rsid w:val="009A3B83"/>
    <w:rsid w:val="009A6D29"/>
    <w:rsid w:val="009B0CA9"/>
    <w:rsid w:val="009B14AB"/>
    <w:rsid w:val="009B2897"/>
    <w:rsid w:val="009B7131"/>
    <w:rsid w:val="009D0CE2"/>
    <w:rsid w:val="009E0F7D"/>
    <w:rsid w:val="009E4AA0"/>
    <w:rsid w:val="009F6581"/>
    <w:rsid w:val="009F71E1"/>
    <w:rsid w:val="00A018A4"/>
    <w:rsid w:val="00A07AF5"/>
    <w:rsid w:val="00A112FF"/>
    <w:rsid w:val="00A17B61"/>
    <w:rsid w:val="00A21B25"/>
    <w:rsid w:val="00A32E63"/>
    <w:rsid w:val="00A35AFA"/>
    <w:rsid w:val="00A35C6D"/>
    <w:rsid w:val="00A42789"/>
    <w:rsid w:val="00A44645"/>
    <w:rsid w:val="00A44FDA"/>
    <w:rsid w:val="00A46D3E"/>
    <w:rsid w:val="00A46F06"/>
    <w:rsid w:val="00A478A4"/>
    <w:rsid w:val="00A530B0"/>
    <w:rsid w:val="00A65C9C"/>
    <w:rsid w:val="00A70318"/>
    <w:rsid w:val="00A72097"/>
    <w:rsid w:val="00A769DF"/>
    <w:rsid w:val="00A842B1"/>
    <w:rsid w:val="00A849BE"/>
    <w:rsid w:val="00A86D4F"/>
    <w:rsid w:val="00A95A4A"/>
    <w:rsid w:val="00AA2922"/>
    <w:rsid w:val="00AA4C6B"/>
    <w:rsid w:val="00AA5039"/>
    <w:rsid w:val="00AB3DE1"/>
    <w:rsid w:val="00AB52EE"/>
    <w:rsid w:val="00AC07C9"/>
    <w:rsid w:val="00AC48C2"/>
    <w:rsid w:val="00AC4E69"/>
    <w:rsid w:val="00AC4EFE"/>
    <w:rsid w:val="00AD2834"/>
    <w:rsid w:val="00AD66E6"/>
    <w:rsid w:val="00AE386B"/>
    <w:rsid w:val="00AE4810"/>
    <w:rsid w:val="00AE5339"/>
    <w:rsid w:val="00AF4B9B"/>
    <w:rsid w:val="00AF4E87"/>
    <w:rsid w:val="00AF5788"/>
    <w:rsid w:val="00AF6CFA"/>
    <w:rsid w:val="00B02C17"/>
    <w:rsid w:val="00B0546E"/>
    <w:rsid w:val="00B0793D"/>
    <w:rsid w:val="00B1601C"/>
    <w:rsid w:val="00B2432D"/>
    <w:rsid w:val="00B26A5C"/>
    <w:rsid w:val="00B36C66"/>
    <w:rsid w:val="00B37107"/>
    <w:rsid w:val="00B437B6"/>
    <w:rsid w:val="00B510AB"/>
    <w:rsid w:val="00B61BF8"/>
    <w:rsid w:val="00B61E8B"/>
    <w:rsid w:val="00B6559D"/>
    <w:rsid w:val="00B817FD"/>
    <w:rsid w:val="00B83EDF"/>
    <w:rsid w:val="00B84D8E"/>
    <w:rsid w:val="00B968B6"/>
    <w:rsid w:val="00B96DC0"/>
    <w:rsid w:val="00B97E42"/>
    <w:rsid w:val="00BA3CE8"/>
    <w:rsid w:val="00BA53E9"/>
    <w:rsid w:val="00BA6B79"/>
    <w:rsid w:val="00BB0C8E"/>
    <w:rsid w:val="00BB7CA7"/>
    <w:rsid w:val="00BC6E8B"/>
    <w:rsid w:val="00BD10EB"/>
    <w:rsid w:val="00BE3139"/>
    <w:rsid w:val="00BF4D89"/>
    <w:rsid w:val="00C14203"/>
    <w:rsid w:val="00C314BC"/>
    <w:rsid w:val="00C476C2"/>
    <w:rsid w:val="00C52413"/>
    <w:rsid w:val="00C62481"/>
    <w:rsid w:val="00C626AD"/>
    <w:rsid w:val="00C72337"/>
    <w:rsid w:val="00C73F1D"/>
    <w:rsid w:val="00C75896"/>
    <w:rsid w:val="00C80D82"/>
    <w:rsid w:val="00C82F9A"/>
    <w:rsid w:val="00C86B98"/>
    <w:rsid w:val="00CA4D18"/>
    <w:rsid w:val="00CA6729"/>
    <w:rsid w:val="00CA738A"/>
    <w:rsid w:val="00CB283B"/>
    <w:rsid w:val="00CB2BB5"/>
    <w:rsid w:val="00CD6D82"/>
    <w:rsid w:val="00CF0945"/>
    <w:rsid w:val="00CF2AB0"/>
    <w:rsid w:val="00D0231A"/>
    <w:rsid w:val="00D10C0D"/>
    <w:rsid w:val="00D14D41"/>
    <w:rsid w:val="00D17060"/>
    <w:rsid w:val="00D31A70"/>
    <w:rsid w:val="00D3611A"/>
    <w:rsid w:val="00D409C0"/>
    <w:rsid w:val="00D45F3B"/>
    <w:rsid w:val="00D47542"/>
    <w:rsid w:val="00D53A2C"/>
    <w:rsid w:val="00D54FDB"/>
    <w:rsid w:val="00D55353"/>
    <w:rsid w:val="00D569C3"/>
    <w:rsid w:val="00D609C0"/>
    <w:rsid w:val="00D620BA"/>
    <w:rsid w:val="00D708B6"/>
    <w:rsid w:val="00D72C11"/>
    <w:rsid w:val="00D76E73"/>
    <w:rsid w:val="00D82826"/>
    <w:rsid w:val="00D8616D"/>
    <w:rsid w:val="00D87063"/>
    <w:rsid w:val="00D94530"/>
    <w:rsid w:val="00D958B9"/>
    <w:rsid w:val="00DA2232"/>
    <w:rsid w:val="00DA26C8"/>
    <w:rsid w:val="00DA2F46"/>
    <w:rsid w:val="00DA3D76"/>
    <w:rsid w:val="00DA4B2A"/>
    <w:rsid w:val="00DA60F8"/>
    <w:rsid w:val="00DA7F9C"/>
    <w:rsid w:val="00DB600B"/>
    <w:rsid w:val="00DB70C9"/>
    <w:rsid w:val="00DC01F5"/>
    <w:rsid w:val="00DC0B05"/>
    <w:rsid w:val="00DC2C76"/>
    <w:rsid w:val="00DC4662"/>
    <w:rsid w:val="00DC551E"/>
    <w:rsid w:val="00DC5D6E"/>
    <w:rsid w:val="00DC6F47"/>
    <w:rsid w:val="00DC7DA2"/>
    <w:rsid w:val="00DD37CC"/>
    <w:rsid w:val="00DE02A7"/>
    <w:rsid w:val="00DE4AE2"/>
    <w:rsid w:val="00DE4D42"/>
    <w:rsid w:val="00DF4D0A"/>
    <w:rsid w:val="00DF592B"/>
    <w:rsid w:val="00E025F5"/>
    <w:rsid w:val="00E03ED3"/>
    <w:rsid w:val="00E05F8E"/>
    <w:rsid w:val="00E13350"/>
    <w:rsid w:val="00E1539F"/>
    <w:rsid w:val="00E20C4A"/>
    <w:rsid w:val="00E31C0E"/>
    <w:rsid w:val="00E35260"/>
    <w:rsid w:val="00E37905"/>
    <w:rsid w:val="00E40458"/>
    <w:rsid w:val="00E51D91"/>
    <w:rsid w:val="00E54AA5"/>
    <w:rsid w:val="00E55CB0"/>
    <w:rsid w:val="00E62FBD"/>
    <w:rsid w:val="00E7227F"/>
    <w:rsid w:val="00E72E17"/>
    <w:rsid w:val="00E7469D"/>
    <w:rsid w:val="00E84BD3"/>
    <w:rsid w:val="00E85967"/>
    <w:rsid w:val="00E948DD"/>
    <w:rsid w:val="00EA1C52"/>
    <w:rsid w:val="00EB32D2"/>
    <w:rsid w:val="00EC0517"/>
    <w:rsid w:val="00EC23D0"/>
    <w:rsid w:val="00EC7017"/>
    <w:rsid w:val="00EC7875"/>
    <w:rsid w:val="00ED193F"/>
    <w:rsid w:val="00EF19FB"/>
    <w:rsid w:val="00EF268F"/>
    <w:rsid w:val="00EF4B19"/>
    <w:rsid w:val="00EF7CF7"/>
    <w:rsid w:val="00F1136C"/>
    <w:rsid w:val="00F1206B"/>
    <w:rsid w:val="00F16079"/>
    <w:rsid w:val="00F16998"/>
    <w:rsid w:val="00F2037F"/>
    <w:rsid w:val="00F2152D"/>
    <w:rsid w:val="00F23D54"/>
    <w:rsid w:val="00F30E4F"/>
    <w:rsid w:val="00F33B70"/>
    <w:rsid w:val="00F46F92"/>
    <w:rsid w:val="00F65244"/>
    <w:rsid w:val="00F75533"/>
    <w:rsid w:val="00F76562"/>
    <w:rsid w:val="00F81917"/>
    <w:rsid w:val="00F86EF0"/>
    <w:rsid w:val="00F90223"/>
    <w:rsid w:val="00F90B2B"/>
    <w:rsid w:val="00F93047"/>
    <w:rsid w:val="00F93C7F"/>
    <w:rsid w:val="00F93F88"/>
    <w:rsid w:val="00F94D2A"/>
    <w:rsid w:val="00F952D2"/>
    <w:rsid w:val="00F95734"/>
    <w:rsid w:val="00FA7F34"/>
    <w:rsid w:val="00FB0641"/>
    <w:rsid w:val="00FB34DE"/>
    <w:rsid w:val="00FB6A6B"/>
    <w:rsid w:val="00FB79A9"/>
    <w:rsid w:val="00FC0BED"/>
    <w:rsid w:val="00FD03E7"/>
    <w:rsid w:val="00FD1873"/>
    <w:rsid w:val="00FD2CBF"/>
    <w:rsid w:val="00FD5F83"/>
    <w:rsid w:val="00FE348C"/>
    <w:rsid w:val="00FE3986"/>
    <w:rsid w:val="00FE42FF"/>
    <w:rsid w:val="00FE6594"/>
    <w:rsid w:val="00FF285E"/>
    <w:rsid w:val="00FF376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F18BD2DF-BDB8-4543-A2F0-C310691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6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E4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4A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96"/>
  </w:style>
  <w:style w:type="paragraph" w:styleId="Zpat">
    <w:name w:val="footer"/>
    <w:basedOn w:val="Normln"/>
    <w:link w:val="ZpatChar"/>
    <w:unhideWhenUsed/>
    <w:rsid w:val="00C7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96"/>
  </w:style>
  <w:style w:type="paragraph" w:customStyle="1" w:styleId="Contact">
    <w:name w:val="Contact"/>
    <w:basedOn w:val="Normln"/>
    <w:next w:val="Normln"/>
    <w:rsid w:val="00822F13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822F13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822F13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822F13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822F13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822F13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822F13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822F13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822F13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822F13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822F13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822F13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822F13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822F13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822F13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822F13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822F13"/>
    <w:pPr>
      <w:numPr>
        <w:ilvl w:val="1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822F13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822F13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822F13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822F13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822F13"/>
    <w:pPr>
      <w:numPr>
        <w:ilvl w:val="2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822F13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822F13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822F13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822F13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822F13"/>
    <w:pPr>
      <w:numPr>
        <w:ilvl w:val="3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822F13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822F13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822F13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822F13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822F13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1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ormln"/>
    <w:next w:val="Normln"/>
    <w:qFormat/>
    <w:rsid w:val="00822F13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rmin">
    <w:name w:val="Termin"/>
    <w:basedOn w:val="Normln"/>
    <w:rsid w:val="00D94530"/>
    <w:pPr>
      <w:overflowPunct w:val="0"/>
      <w:autoSpaceDE w:val="0"/>
      <w:autoSpaceDN w:val="0"/>
      <w:adjustRightInd w:val="0"/>
      <w:spacing w:before="60" w:after="60" w:line="240" w:lineRule="auto"/>
      <w:ind w:left="709" w:hanging="709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DA2"/>
    <w:rPr>
      <w:color w:val="0000FF" w:themeColor="hyperlink"/>
      <w:u w:val="single"/>
    </w:rPr>
  </w:style>
  <w:style w:type="paragraph" w:customStyle="1" w:styleId="Standard">
    <w:name w:val="Standard"/>
    <w:rsid w:val="002916A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2E8C-3B84-4619-8D35-3B9FE081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37</TotalTime>
  <Pages>13</Pages>
  <Words>3545</Words>
  <Characters>20918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MHMP</Company>
  <LinksUpToDate>false</LinksUpToDate>
  <CharactersWithSpaces>24415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Šlemrová Denisa ()</dc:creator>
  <cp:lastModifiedBy>Čaban Vít (MHMP, FON)</cp:lastModifiedBy>
  <cp:revision>13</cp:revision>
  <cp:lastPrinted>2015-12-22T12:55:00Z</cp:lastPrinted>
  <dcterms:created xsi:type="dcterms:W3CDTF">2015-12-17T14:26:00Z</dcterms:created>
  <dcterms:modified xsi:type="dcterms:W3CDTF">2016-12-12T13:22:00Z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REP.DOT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40001</vt:lpwstr>
  </property>
</Properties>
</file>