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1C3E9" w14:textId="77777777" w:rsidR="00D517FF" w:rsidRDefault="00D517FF" w:rsidP="00632EAB">
      <w:pPr>
        <w:spacing w:after="0"/>
        <w:jc w:val="center"/>
        <w:rPr>
          <w:b/>
          <w:sz w:val="36"/>
          <w:szCs w:val="36"/>
        </w:rPr>
      </w:pPr>
    </w:p>
    <w:p w14:paraId="2F65933E" w14:textId="77777777" w:rsidR="00D517FF" w:rsidRDefault="00D517FF" w:rsidP="00632EAB">
      <w:pPr>
        <w:spacing w:after="0"/>
        <w:jc w:val="center"/>
        <w:rPr>
          <w:b/>
          <w:sz w:val="36"/>
          <w:szCs w:val="36"/>
        </w:rPr>
      </w:pPr>
    </w:p>
    <w:p w14:paraId="66CE83F1" w14:textId="77777777" w:rsidR="00D517FF" w:rsidRDefault="00D517FF" w:rsidP="00632EAB">
      <w:pPr>
        <w:spacing w:after="0"/>
        <w:jc w:val="center"/>
        <w:rPr>
          <w:b/>
          <w:sz w:val="36"/>
          <w:szCs w:val="36"/>
        </w:rPr>
      </w:pPr>
    </w:p>
    <w:p w14:paraId="1BA8AD43" w14:textId="77777777" w:rsidR="00D517FF" w:rsidRDefault="00D517FF" w:rsidP="00632EAB">
      <w:pPr>
        <w:spacing w:after="0"/>
        <w:jc w:val="center"/>
        <w:rPr>
          <w:b/>
          <w:sz w:val="36"/>
          <w:szCs w:val="36"/>
        </w:rPr>
      </w:pPr>
    </w:p>
    <w:p w14:paraId="310BAEB8" w14:textId="77777777" w:rsidR="00D517FF" w:rsidRDefault="00D517FF" w:rsidP="00632EAB">
      <w:pPr>
        <w:spacing w:after="0"/>
        <w:jc w:val="center"/>
        <w:rPr>
          <w:b/>
          <w:sz w:val="36"/>
          <w:szCs w:val="36"/>
        </w:rPr>
      </w:pPr>
    </w:p>
    <w:p w14:paraId="283A9858" w14:textId="77777777" w:rsidR="00D517FF" w:rsidRDefault="00D517FF" w:rsidP="00632EAB">
      <w:pPr>
        <w:spacing w:after="0"/>
        <w:jc w:val="center"/>
        <w:rPr>
          <w:b/>
          <w:sz w:val="36"/>
          <w:szCs w:val="36"/>
        </w:rPr>
      </w:pPr>
    </w:p>
    <w:p w14:paraId="6AF33717" w14:textId="77777777" w:rsidR="00D517FF" w:rsidRDefault="00D517FF" w:rsidP="00632EAB">
      <w:pPr>
        <w:spacing w:after="0"/>
        <w:jc w:val="center"/>
        <w:rPr>
          <w:b/>
          <w:sz w:val="36"/>
          <w:szCs w:val="36"/>
        </w:rPr>
      </w:pPr>
    </w:p>
    <w:p w14:paraId="0F95665E" w14:textId="77777777" w:rsidR="00D517FF" w:rsidRDefault="00D517FF" w:rsidP="00632EAB">
      <w:pPr>
        <w:spacing w:after="0"/>
        <w:jc w:val="center"/>
        <w:rPr>
          <w:b/>
          <w:sz w:val="36"/>
          <w:szCs w:val="36"/>
        </w:rPr>
      </w:pPr>
    </w:p>
    <w:p w14:paraId="7184E51C" w14:textId="77777777" w:rsidR="00D517FF" w:rsidRDefault="00D517FF" w:rsidP="00632EAB">
      <w:pPr>
        <w:spacing w:after="0"/>
        <w:jc w:val="center"/>
        <w:rPr>
          <w:b/>
          <w:sz w:val="36"/>
          <w:szCs w:val="36"/>
        </w:rPr>
      </w:pPr>
    </w:p>
    <w:p w14:paraId="12564F85" w14:textId="77777777" w:rsidR="00D517FF" w:rsidRDefault="00D517FF" w:rsidP="00632EAB">
      <w:pPr>
        <w:spacing w:after="0"/>
        <w:jc w:val="center"/>
        <w:rPr>
          <w:b/>
          <w:sz w:val="36"/>
          <w:szCs w:val="36"/>
        </w:rPr>
      </w:pPr>
    </w:p>
    <w:p w14:paraId="14356DF9" w14:textId="77777777" w:rsidR="00D517FF" w:rsidRDefault="00D517FF" w:rsidP="00632EAB">
      <w:pPr>
        <w:spacing w:after="0"/>
        <w:jc w:val="center"/>
        <w:rPr>
          <w:b/>
          <w:sz w:val="36"/>
          <w:szCs w:val="36"/>
        </w:rPr>
      </w:pPr>
    </w:p>
    <w:p w14:paraId="60C895F6" w14:textId="77777777" w:rsidR="00D517FF" w:rsidRDefault="00C920D5" w:rsidP="00632EAB">
      <w:pPr>
        <w:spacing w:after="0"/>
        <w:jc w:val="center"/>
        <w:rPr>
          <w:b/>
          <w:sz w:val="36"/>
          <w:szCs w:val="36"/>
        </w:rPr>
      </w:pPr>
      <w:r w:rsidRPr="00C920D5">
        <w:rPr>
          <w:b/>
          <w:sz w:val="36"/>
          <w:szCs w:val="36"/>
        </w:rPr>
        <w:t xml:space="preserve">Stanovení snížených odvodů a </w:t>
      </w:r>
      <w:r w:rsidR="00D517FF">
        <w:rPr>
          <w:b/>
          <w:sz w:val="36"/>
          <w:szCs w:val="36"/>
        </w:rPr>
        <w:t>méně závažných porušení smlouvy</w:t>
      </w:r>
    </w:p>
    <w:p w14:paraId="0A2DFA87" w14:textId="77777777" w:rsidR="00D517FF" w:rsidRPr="00632EAB" w:rsidRDefault="00D517FF" w:rsidP="00632EAB">
      <w:pPr>
        <w:spacing w:after="0"/>
        <w:jc w:val="center"/>
        <w:rPr>
          <w:sz w:val="20"/>
          <w:szCs w:val="36"/>
        </w:rPr>
      </w:pPr>
      <w:r w:rsidRPr="00632EAB">
        <w:rPr>
          <w:sz w:val="20"/>
          <w:szCs w:val="36"/>
        </w:rPr>
        <w:t>(dále také „Snížené odvody“)</w:t>
      </w:r>
    </w:p>
    <w:p w14:paraId="20F0BFB2" w14:textId="77777777" w:rsidR="00D517FF" w:rsidRDefault="00D517FF" w:rsidP="006D6037">
      <w:pPr>
        <w:spacing w:after="600"/>
        <w:jc w:val="center"/>
        <w:rPr>
          <w:b/>
          <w:sz w:val="36"/>
          <w:szCs w:val="36"/>
        </w:rPr>
      </w:pPr>
    </w:p>
    <w:p w14:paraId="70325980" w14:textId="77777777" w:rsidR="00C920D5" w:rsidRDefault="006D6037" w:rsidP="006D6037">
      <w:pPr>
        <w:spacing w:after="600"/>
        <w:jc w:val="center"/>
      </w:pPr>
      <w:r w:rsidRPr="00CC5BE2">
        <w:t xml:space="preserve">verze </w:t>
      </w:r>
      <w:r w:rsidR="00C920D5">
        <w:t>1</w:t>
      </w:r>
    </w:p>
    <w:p w14:paraId="56A073F7" w14:textId="77777777" w:rsidR="00C920D5" w:rsidRDefault="00C920D5">
      <w:r>
        <w:br w:type="page"/>
      </w:r>
    </w:p>
    <w:sdt>
      <w:sdtPr>
        <w:rPr>
          <w:rFonts w:asciiTheme="minorHAnsi" w:eastAsiaTheme="minorHAnsi" w:hAnsiTheme="minorHAnsi" w:cstheme="minorBidi"/>
          <w:color w:val="auto"/>
          <w:sz w:val="22"/>
          <w:szCs w:val="22"/>
          <w:lang w:eastAsia="en-US"/>
        </w:rPr>
        <w:id w:val="395253694"/>
        <w:docPartObj>
          <w:docPartGallery w:val="Table of Contents"/>
          <w:docPartUnique/>
        </w:docPartObj>
      </w:sdtPr>
      <w:sdtEndPr>
        <w:rPr>
          <w:b/>
          <w:bCs/>
        </w:rPr>
      </w:sdtEndPr>
      <w:sdtContent>
        <w:p w14:paraId="648DBD4B" w14:textId="77777777" w:rsidR="00AE418A" w:rsidRPr="000E3A77" w:rsidRDefault="00AE418A" w:rsidP="00AE418A">
          <w:pPr>
            <w:pStyle w:val="Nadpisobsahu"/>
            <w:rPr>
              <w:b/>
              <w:color w:val="auto"/>
            </w:rPr>
          </w:pPr>
          <w:r w:rsidRPr="000E3A77">
            <w:rPr>
              <w:b/>
              <w:color w:val="auto"/>
            </w:rPr>
            <w:t>Obsah</w:t>
          </w:r>
        </w:p>
        <w:p w14:paraId="721A2EE4" w14:textId="77777777" w:rsidR="003E330F" w:rsidRDefault="00AE418A">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52644778" w:history="1">
            <w:r w:rsidR="003E330F" w:rsidRPr="00157D22">
              <w:rPr>
                <w:rStyle w:val="Hypertextovodkaz"/>
                <w:noProof/>
              </w:rPr>
              <w:t>1.</w:t>
            </w:r>
            <w:r w:rsidR="003E330F">
              <w:rPr>
                <w:rFonts w:eastAsiaTheme="minorEastAsia"/>
                <w:noProof/>
                <w:lang w:eastAsia="cs-CZ"/>
              </w:rPr>
              <w:tab/>
            </w:r>
            <w:r w:rsidR="003E330F" w:rsidRPr="00157D22">
              <w:rPr>
                <w:rStyle w:val="Hypertextovodkaz"/>
                <w:noProof/>
              </w:rPr>
              <w:t>Úvod</w:t>
            </w:r>
            <w:r w:rsidR="003E330F">
              <w:rPr>
                <w:noProof/>
                <w:webHidden/>
              </w:rPr>
              <w:tab/>
            </w:r>
            <w:r w:rsidR="003E330F">
              <w:rPr>
                <w:noProof/>
                <w:webHidden/>
              </w:rPr>
              <w:fldChar w:fldCharType="begin"/>
            </w:r>
            <w:r w:rsidR="003E330F">
              <w:rPr>
                <w:noProof/>
                <w:webHidden/>
              </w:rPr>
              <w:instrText xml:space="preserve"> PAGEREF _Toc452644778 \h </w:instrText>
            </w:r>
            <w:r w:rsidR="003E330F">
              <w:rPr>
                <w:noProof/>
                <w:webHidden/>
              </w:rPr>
            </w:r>
            <w:r w:rsidR="003E330F">
              <w:rPr>
                <w:noProof/>
                <w:webHidden/>
              </w:rPr>
              <w:fldChar w:fldCharType="separate"/>
            </w:r>
            <w:r w:rsidR="003E330F">
              <w:rPr>
                <w:noProof/>
                <w:webHidden/>
              </w:rPr>
              <w:t>3</w:t>
            </w:r>
            <w:r w:rsidR="003E330F">
              <w:rPr>
                <w:noProof/>
                <w:webHidden/>
              </w:rPr>
              <w:fldChar w:fldCharType="end"/>
            </w:r>
          </w:hyperlink>
        </w:p>
        <w:p w14:paraId="7185DA22" w14:textId="77777777" w:rsidR="003E330F" w:rsidRDefault="00556914">
          <w:pPr>
            <w:pStyle w:val="Obsah1"/>
            <w:tabs>
              <w:tab w:val="left" w:pos="440"/>
              <w:tab w:val="right" w:leader="dot" w:pos="9062"/>
            </w:tabs>
            <w:rPr>
              <w:rFonts w:eastAsiaTheme="minorEastAsia"/>
              <w:noProof/>
              <w:lang w:eastAsia="cs-CZ"/>
            </w:rPr>
          </w:pPr>
          <w:hyperlink w:anchor="_Toc452644779" w:history="1">
            <w:r w:rsidR="003E330F" w:rsidRPr="00157D22">
              <w:rPr>
                <w:rStyle w:val="Hypertextovodkaz"/>
                <w:noProof/>
              </w:rPr>
              <w:t>2.</w:t>
            </w:r>
            <w:r w:rsidR="003E330F">
              <w:rPr>
                <w:rFonts w:eastAsiaTheme="minorEastAsia"/>
                <w:noProof/>
                <w:lang w:eastAsia="cs-CZ"/>
              </w:rPr>
              <w:tab/>
            </w:r>
            <w:r w:rsidR="003E330F" w:rsidRPr="00157D22">
              <w:rPr>
                <w:rStyle w:val="Hypertextovodkaz"/>
                <w:noProof/>
              </w:rPr>
              <w:t>Definice porušení rozpočtové kázně ve smyslu ust. § 22 zákona č. 250/2000 Sb.</w:t>
            </w:r>
            <w:r w:rsidR="003E330F">
              <w:rPr>
                <w:noProof/>
                <w:webHidden/>
              </w:rPr>
              <w:tab/>
            </w:r>
            <w:r w:rsidR="003E330F">
              <w:rPr>
                <w:noProof/>
                <w:webHidden/>
              </w:rPr>
              <w:fldChar w:fldCharType="begin"/>
            </w:r>
            <w:r w:rsidR="003E330F">
              <w:rPr>
                <w:noProof/>
                <w:webHidden/>
              </w:rPr>
              <w:instrText xml:space="preserve"> PAGEREF _Toc452644779 \h </w:instrText>
            </w:r>
            <w:r w:rsidR="003E330F">
              <w:rPr>
                <w:noProof/>
                <w:webHidden/>
              </w:rPr>
            </w:r>
            <w:r w:rsidR="003E330F">
              <w:rPr>
                <w:noProof/>
                <w:webHidden/>
              </w:rPr>
              <w:fldChar w:fldCharType="separate"/>
            </w:r>
            <w:r w:rsidR="003E330F">
              <w:rPr>
                <w:noProof/>
                <w:webHidden/>
              </w:rPr>
              <w:t>3</w:t>
            </w:r>
            <w:r w:rsidR="003E330F">
              <w:rPr>
                <w:noProof/>
                <w:webHidden/>
              </w:rPr>
              <w:fldChar w:fldCharType="end"/>
            </w:r>
          </w:hyperlink>
        </w:p>
        <w:p w14:paraId="370E4D8D" w14:textId="77777777" w:rsidR="003E330F" w:rsidRDefault="00556914">
          <w:pPr>
            <w:pStyle w:val="Obsah2"/>
            <w:tabs>
              <w:tab w:val="left" w:pos="880"/>
              <w:tab w:val="right" w:leader="dot" w:pos="9062"/>
            </w:tabs>
            <w:rPr>
              <w:rFonts w:eastAsiaTheme="minorEastAsia"/>
              <w:noProof/>
              <w:lang w:eastAsia="cs-CZ"/>
            </w:rPr>
          </w:pPr>
          <w:hyperlink w:anchor="_Toc452644780" w:history="1">
            <w:r w:rsidR="003E330F" w:rsidRPr="00157D22">
              <w:rPr>
                <w:rStyle w:val="Hypertextovodkaz"/>
                <w:noProof/>
              </w:rPr>
              <w:t>2.1</w:t>
            </w:r>
            <w:r w:rsidR="003E330F">
              <w:rPr>
                <w:rFonts w:eastAsiaTheme="minorEastAsia"/>
                <w:noProof/>
                <w:lang w:eastAsia="cs-CZ"/>
              </w:rPr>
              <w:tab/>
            </w:r>
            <w:r w:rsidR="003E330F" w:rsidRPr="00157D22">
              <w:rPr>
                <w:rStyle w:val="Hypertextovodkaz"/>
                <w:noProof/>
              </w:rPr>
              <w:t>Závažné a méně závažné porušení</w:t>
            </w:r>
            <w:r w:rsidR="003E330F">
              <w:rPr>
                <w:noProof/>
                <w:webHidden/>
              </w:rPr>
              <w:tab/>
            </w:r>
            <w:r w:rsidR="003E330F">
              <w:rPr>
                <w:noProof/>
                <w:webHidden/>
              </w:rPr>
              <w:fldChar w:fldCharType="begin"/>
            </w:r>
            <w:r w:rsidR="003E330F">
              <w:rPr>
                <w:noProof/>
                <w:webHidden/>
              </w:rPr>
              <w:instrText xml:space="preserve"> PAGEREF _Toc452644780 \h </w:instrText>
            </w:r>
            <w:r w:rsidR="003E330F">
              <w:rPr>
                <w:noProof/>
                <w:webHidden/>
              </w:rPr>
            </w:r>
            <w:r w:rsidR="003E330F">
              <w:rPr>
                <w:noProof/>
                <w:webHidden/>
              </w:rPr>
              <w:fldChar w:fldCharType="separate"/>
            </w:r>
            <w:r w:rsidR="003E330F">
              <w:rPr>
                <w:noProof/>
                <w:webHidden/>
              </w:rPr>
              <w:t>4</w:t>
            </w:r>
            <w:r w:rsidR="003E330F">
              <w:rPr>
                <w:noProof/>
                <w:webHidden/>
              </w:rPr>
              <w:fldChar w:fldCharType="end"/>
            </w:r>
          </w:hyperlink>
        </w:p>
        <w:p w14:paraId="3AC1F629" w14:textId="77777777" w:rsidR="003E330F" w:rsidRDefault="00556914">
          <w:pPr>
            <w:pStyle w:val="Obsah2"/>
            <w:tabs>
              <w:tab w:val="left" w:pos="880"/>
              <w:tab w:val="right" w:leader="dot" w:pos="9062"/>
            </w:tabs>
            <w:rPr>
              <w:rFonts w:eastAsiaTheme="minorEastAsia"/>
              <w:noProof/>
              <w:lang w:eastAsia="cs-CZ"/>
            </w:rPr>
          </w:pPr>
          <w:hyperlink w:anchor="_Toc452644781" w:history="1">
            <w:r w:rsidR="003E330F" w:rsidRPr="00157D22">
              <w:rPr>
                <w:rStyle w:val="Hypertextovodkaz"/>
                <w:noProof/>
              </w:rPr>
              <w:t>2.2</w:t>
            </w:r>
            <w:r w:rsidR="003E330F">
              <w:rPr>
                <w:rFonts w:eastAsiaTheme="minorEastAsia"/>
                <w:noProof/>
                <w:lang w:eastAsia="cs-CZ"/>
              </w:rPr>
              <w:tab/>
            </w:r>
            <w:r w:rsidR="003E330F" w:rsidRPr="00157D22">
              <w:rPr>
                <w:rStyle w:val="Hypertextovodkaz"/>
                <w:noProof/>
              </w:rPr>
              <w:t>Nápravná opatření</w:t>
            </w:r>
            <w:r w:rsidR="003E330F">
              <w:rPr>
                <w:noProof/>
                <w:webHidden/>
              </w:rPr>
              <w:tab/>
            </w:r>
            <w:r w:rsidR="003E330F">
              <w:rPr>
                <w:noProof/>
                <w:webHidden/>
              </w:rPr>
              <w:fldChar w:fldCharType="begin"/>
            </w:r>
            <w:r w:rsidR="003E330F">
              <w:rPr>
                <w:noProof/>
                <w:webHidden/>
              </w:rPr>
              <w:instrText xml:space="preserve"> PAGEREF _Toc452644781 \h </w:instrText>
            </w:r>
            <w:r w:rsidR="003E330F">
              <w:rPr>
                <w:noProof/>
                <w:webHidden/>
              </w:rPr>
            </w:r>
            <w:r w:rsidR="003E330F">
              <w:rPr>
                <w:noProof/>
                <w:webHidden/>
              </w:rPr>
              <w:fldChar w:fldCharType="separate"/>
            </w:r>
            <w:r w:rsidR="003E330F">
              <w:rPr>
                <w:noProof/>
                <w:webHidden/>
              </w:rPr>
              <w:t>4</w:t>
            </w:r>
            <w:r w:rsidR="003E330F">
              <w:rPr>
                <w:noProof/>
                <w:webHidden/>
              </w:rPr>
              <w:fldChar w:fldCharType="end"/>
            </w:r>
          </w:hyperlink>
        </w:p>
        <w:p w14:paraId="3E0D57DD" w14:textId="77777777" w:rsidR="003E330F" w:rsidRDefault="00556914">
          <w:pPr>
            <w:pStyle w:val="Obsah1"/>
            <w:tabs>
              <w:tab w:val="left" w:pos="440"/>
              <w:tab w:val="right" w:leader="dot" w:pos="9062"/>
            </w:tabs>
            <w:rPr>
              <w:rFonts w:eastAsiaTheme="minorEastAsia"/>
              <w:noProof/>
              <w:lang w:eastAsia="cs-CZ"/>
            </w:rPr>
          </w:pPr>
          <w:hyperlink w:anchor="_Toc452644782" w:history="1">
            <w:r w:rsidR="003E330F" w:rsidRPr="00157D22">
              <w:rPr>
                <w:rStyle w:val="Hypertextovodkaz"/>
                <w:noProof/>
              </w:rPr>
              <w:t>3.</w:t>
            </w:r>
            <w:r w:rsidR="003E330F">
              <w:rPr>
                <w:rFonts w:eastAsiaTheme="minorEastAsia"/>
                <w:noProof/>
                <w:lang w:eastAsia="cs-CZ"/>
              </w:rPr>
              <w:tab/>
            </w:r>
            <w:r w:rsidR="003E330F" w:rsidRPr="00157D22">
              <w:rPr>
                <w:rStyle w:val="Hypertextovodkaz"/>
                <w:noProof/>
              </w:rPr>
              <w:t>Postup při porušení rozpočtové kázně</w:t>
            </w:r>
            <w:r w:rsidR="003E330F">
              <w:rPr>
                <w:noProof/>
                <w:webHidden/>
              </w:rPr>
              <w:tab/>
            </w:r>
            <w:r w:rsidR="003E330F">
              <w:rPr>
                <w:noProof/>
                <w:webHidden/>
              </w:rPr>
              <w:fldChar w:fldCharType="begin"/>
            </w:r>
            <w:r w:rsidR="003E330F">
              <w:rPr>
                <w:noProof/>
                <w:webHidden/>
              </w:rPr>
              <w:instrText xml:space="preserve"> PAGEREF _Toc452644782 \h </w:instrText>
            </w:r>
            <w:r w:rsidR="003E330F">
              <w:rPr>
                <w:noProof/>
                <w:webHidden/>
              </w:rPr>
            </w:r>
            <w:r w:rsidR="003E330F">
              <w:rPr>
                <w:noProof/>
                <w:webHidden/>
              </w:rPr>
              <w:fldChar w:fldCharType="separate"/>
            </w:r>
            <w:r w:rsidR="003E330F">
              <w:rPr>
                <w:noProof/>
                <w:webHidden/>
              </w:rPr>
              <w:t>4</w:t>
            </w:r>
            <w:r w:rsidR="003E330F">
              <w:rPr>
                <w:noProof/>
                <w:webHidden/>
              </w:rPr>
              <w:fldChar w:fldCharType="end"/>
            </w:r>
          </w:hyperlink>
        </w:p>
        <w:p w14:paraId="20F09261" w14:textId="77777777" w:rsidR="003E330F" w:rsidRDefault="00556914">
          <w:pPr>
            <w:pStyle w:val="Obsah2"/>
            <w:tabs>
              <w:tab w:val="left" w:pos="880"/>
              <w:tab w:val="right" w:leader="dot" w:pos="9062"/>
            </w:tabs>
            <w:rPr>
              <w:rFonts w:eastAsiaTheme="minorEastAsia"/>
              <w:noProof/>
              <w:lang w:eastAsia="cs-CZ"/>
            </w:rPr>
          </w:pPr>
          <w:hyperlink w:anchor="_Toc452644783" w:history="1">
            <w:r w:rsidR="003E330F" w:rsidRPr="00157D22">
              <w:rPr>
                <w:rStyle w:val="Hypertextovodkaz"/>
                <w:noProof/>
              </w:rPr>
              <w:t>3.1</w:t>
            </w:r>
            <w:r w:rsidR="003E330F">
              <w:rPr>
                <w:rFonts w:eastAsiaTheme="minorEastAsia"/>
                <w:noProof/>
                <w:lang w:eastAsia="cs-CZ"/>
              </w:rPr>
              <w:tab/>
            </w:r>
            <w:r w:rsidR="003E330F" w:rsidRPr="00157D22">
              <w:rPr>
                <w:rStyle w:val="Hypertextovodkaz"/>
                <w:noProof/>
              </w:rPr>
              <w:t>Platební výměr na odvod</w:t>
            </w:r>
            <w:r w:rsidR="003E330F">
              <w:rPr>
                <w:noProof/>
                <w:webHidden/>
              </w:rPr>
              <w:tab/>
            </w:r>
            <w:r w:rsidR="003E330F">
              <w:rPr>
                <w:noProof/>
                <w:webHidden/>
              </w:rPr>
              <w:fldChar w:fldCharType="begin"/>
            </w:r>
            <w:r w:rsidR="003E330F">
              <w:rPr>
                <w:noProof/>
                <w:webHidden/>
              </w:rPr>
              <w:instrText xml:space="preserve"> PAGEREF _Toc452644783 \h </w:instrText>
            </w:r>
            <w:r w:rsidR="003E330F">
              <w:rPr>
                <w:noProof/>
                <w:webHidden/>
              </w:rPr>
            </w:r>
            <w:r w:rsidR="003E330F">
              <w:rPr>
                <w:noProof/>
                <w:webHidden/>
              </w:rPr>
              <w:fldChar w:fldCharType="separate"/>
            </w:r>
            <w:r w:rsidR="003E330F">
              <w:rPr>
                <w:noProof/>
                <w:webHidden/>
              </w:rPr>
              <w:t>4</w:t>
            </w:r>
            <w:r w:rsidR="003E330F">
              <w:rPr>
                <w:noProof/>
                <w:webHidden/>
              </w:rPr>
              <w:fldChar w:fldCharType="end"/>
            </w:r>
          </w:hyperlink>
        </w:p>
        <w:p w14:paraId="482C4597" w14:textId="77777777" w:rsidR="003E330F" w:rsidRDefault="00556914">
          <w:pPr>
            <w:pStyle w:val="Obsah2"/>
            <w:tabs>
              <w:tab w:val="left" w:pos="880"/>
              <w:tab w:val="right" w:leader="dot" w:pos="9062"/>
            </w:tabs>
            <w:rPr>
              <w:rFonts w:eastAsiaTheme="minorEastAsia"/>
              <w:noProof/>
              <w:lang w:eastAsia="cs-CZ"/>
            </w:rPr>
          </w:pPr>
          <w:hyperlink w:anchor="_Toc452644784" w:history="1">
            <w:r w:rsidR="003E330F" w:rsidRPr="00157D22">
              <w:rPr>
                <w:rStyle w:val="Hypertextovodkaz"/>
                <w:noProof/>
              </w:rPr>
              <w:t>3.2</w:t>
            </w:r>
            <w:r w:rsidR="003E330F">
              <w:rPr>
                <w:rFonts w:eastAsiaTheme="minorEastAsia"/>
                <w:noProof/>
                <w:lang w:eastAsia="cs-CZ"/>
              </w:rPr>
              <w:tab/>
            </w:r>
            <w:r w:rsidR="003E330F" w:rsidRPr="00157D22">
              <w:rPr>
                <w:rStyle w:val="Hypertextovodkaz"/>
                <w:noProof/>
              </w:rPr>
              <w:t>Platební výměr na penále</w:t>
            </w:r>
            <w:r w:rsidR="003E330F">
              <w:rPr>
                <w:noProof/>
                <w:webHidden/>
              </w:rPr>
              <w:tab/>
            </w:r>
            <w:r w:rsidR="003E330F">
              <w:rPr>
                <w:noProof/>
                <w:webHidden/>
              </w:rPr>
              <w:fldChar w:fldCharType="begin"/>
            </w:r>
            <w:r w:rsidR="003E330F">
              <w:rPr>
                <w:noProof/>
                <w:webHidden/>
              </w:rPr>
              <w:instrText xml:space="preserve"> PAGEREF _Toc452644784 \h </w:instrText>
            </w:r>
            <w:r w:rsidR="003E330F">
              <w:rPr>
                <w:noProof/>
                <w:webHidden/>
              </w:rPr>
            </w:r>
            <w:r w:rsidR="003E330F">
              <w:rPr>
                <w:noProof/>
                <w:webHidden/>
              </w:rPr>
              <w:fldChar w:fldCharType="separate"/>
            </w:r>
            <w:r w:rsidR="003E330F">
              <w:rPr>
                <w:noProof/>
                <w:webHidden/>
              </w:rPr>
              <w:t>5</w:t>
            </w:r>
            <w:r w:rsidR="003E330F">
              <w:rPr>
                <w:noProof/>
                <w:webHidden/>
              </w:rPr>
              <w:fldChar w:fldCharType="end"/>
            </w:r>
          </w:hyperlink>
        </w:p>
        <w:p w14:paraId="65768E17" w14:textId="77777777" w:rsidR="003E330F" w:rsidRDefault="00556914">
          <w:pPr>
            <w:pStyle w:val="Obsah3"/>
            <w:tabs>
              <w:tab w:val="left" w:pos="1320"/>
              <w:tab w:val="right" w:leader="dot" w:pos="9062"/>
            </w:tabs>
            <w:rPr>
              <w:rFonts w:eastAsiaTheme="minorEastAsia"/>
              <w:noProof/>
              <w:lang w:eastAsia="cs-CZ"/>
            </w:rPr>
          </w:pPr>
          <w:hyperlink w:anchor="_Toc452644785" w:history="1">
            <w:r w:rsidR="003E330F" w:rsidRPr="00157D22">
              <w:rPr>
                <w:rStyle w:val="Hypertextovodkaz"/>
                <w:noProof/>
              </w:rPr>
              <w:t>3.2.1</w:t>
            </w:r>
            <w:r w:rsidR="003E330F">
              <w:rPr>
                <w:rFonts w:eastAsiaTheme="minorEastAsia"/>
                <w:noProof/>
                <w:lang w:eastAsia="cs-CZ"/>
              </w:rPr>
              <w:tab/>
            </w:r>
            <w:r w:rsidR="003E330F" w:rsidRPr="00157D22">
              <w:rPr>
                <w:rStyle w:val="Hypertextovodkaz"/>
                <w:noProof/>
              </w:rPr>
              <w:t>Úrok z prodlení</w:t>
            </w:r>
            <w:r w:rsidR="003E330F">
              <w:rPr>
                <w:noProof/>
                <w:webHidden/>
              </w:rPr>
              <w:tab/>
            </w:r>
            <w:r w:rsidR="003E330F">
              <w:rPr>
                <w:noProof/>
                <w:webHidden/>
              </w:rPr>
              <w:fldChar w:fldCharType="begin"/>
            </w:r>
            <w:r w:rsidR="003E330F">
              <w:rPr>
                <w:noProof/>
                <w:webHidden/>
              </w:rPr>
              <w:instrText xml:space="preserve"> PAGEREF _Toc452644785 \h </w:instrText>
            </w:r>
            <w:r w:rsidR="003E330F">
              <w:rPr>
                <w:noProof/>
                <w:webHidden/>
              </w:rPr>
            </w:r>
            <w:r w:rsidR="003E330F">
              <w:rPr>
                <w:noProof/>
                <w:webHidden/>
              </w:rPr>
              <w:fldChar w:fldCharType="separate"/>
            </w:r>
            <w:r w:rsidR="003E330F">
              <w:rPr>
                <w:noProof/>
                <w:webHidden/>
              </w:rPr>
              <w:t>5</w:t>
            </w:r>
            <w:r w:rsidR="003E330F">
              <w:rPr>
                <w:noProof/>
                <w:webHidden/>
              </w:rPr>
              <w:fldChar w:fldCharType="end"/>
            </w:r>
          </w:hyperlink>
        </w:p>
        <w:p w14:paraId="1035F933" w14:textId="77777777" w:rsidR="003E330F" w:rsidRDefault="00556914">
          <w:pPr>
            <w:pStyle w:val="Obsah1"/>
            <w:tabs>
              <w:tab w:val="left" w:pos="440"/>
              <w:tab w:val="right" w:leader="dot" w:pos="9062"/>
            </w:tabs>
            <w:rPr>
              <w:rFonts w:eastAsiaTheme="minorEastAsia"/>
              <w:noProof/>
              <w:lang w:eastAsia="cs-CZ"/>
            </w:rPr>
          </w:pPr>
          <w:hyperlink w:anchor="_Toc452644786" w:history="1">
            <w:r w:rsidR="003E330F" w:rsidRPr="00157D22">
              <w:rPr>
                <w:rStyle w:val="Hypertextovodkaz"/>
                <w:noProof/>
              </w:rPr>
              <w:t>4.</w:t>
            </w:r>
            <w:r w:rsidR="003E330F">
              <w:rPr>
                <w:rFonts w:eastAsiaTheme="minorEastAsia"/>
                <w:noProof/>
                <w:lang w:eastAsia="cs-CZ"/>
              </w:rPr>
              <w:tab/>
            </w:r>
            <w:r w:rsidR="003E330F" w:rsidRPr="00157D22">
              <w:rPr>
                <w:rStyle w:val="Hypertextovodkaz"/>
                <w:noProof/>
              </w:rPr>
              <w:t>Prominutí nebo částečné prominutí povinnosti uhradit odvod a penále</w:t>
            </w:r>
            <w:r w:rsidR="003E330F">
              <w:rPr>
                <w:noProof/>
                <w:webHidden/>
              </w:rPr>
              <w:tab/>
            </w:r>
            <w:r w:rsidR="003E330F">
              <w:rPr>
                <w:noProof/>
                <w:webHidden/>
              </w:rPr>
              <w:fldChar w:fldCharType="begin"/>
            </w:r>
            <w:r w:rsidR="003E330F">
              <w:rPr>
                <w:noProof/>
                <w:webHidden/>
              </w:rPr>
              <w:instrText xml:space="preserve"> PAGEREF _Toc452644786 \h </w:instrText>
            </w:r>
            <w:r w:rsidR="003E330F">
              <w:rPr>
                <w:noProof/>
                <w:webHidden/>
              </w:rPr>
            </w:r>
            <w:r w:rsidR="003E330F">
              <w:rPr>
                <w:noProof/>
                <w:webHidden/>
              </w:rPr>
              <w:fldChar w:fldCharType="separate"/>
            </w:r>
            <w:r w:rsidR="003E330F">
              <w:rPr>
                <w:noProof/>
                <w:webHidden/>
              </w:rPr>
              <w:t>5</w:t>
            </w:r>
            <w:r w:rsidR="003E330F">
              <w:rPr>
                <w:noProof/>
                <w:webHidden/>
              </w:rPr>
              <w:fldChar w:fldCharType="end"/>
            </w:r>
          </w:hyperlink>
        </w:p>
        <w:p w14:paraId="01A5E223" w14:textId="77777777" w:rsidR="003E330F" w:rsidRDefault="00556914">
          <w:pPr>
            <w:pStyle w:val="Obsah2"/>
            <w:tabs>
              <w:tab w:val="left" w:pos="880"/>
              <w:tab w:val="right" w:leader="dot" w:pos="9062"/>
            </w:tabs>
            <w:rPr>
              <w:rFonts w:eastAsiaTheme="minorEastAsia"/>
              <w:noProof/>
              <w:lang w:eastAsia="cs-CZ"/>
            </w:rPr>
          </w:pPr>
          <w:hyperlink w:anchor="_Toc452644787" w:history="1">
            <w:r w:rsidR="003E330F" w:rsidRPr="00157D22">
              <w:rPr>
                <w:rStyle w:val="Hypertextovodkaz"/>
                <w:noProof/>
              </w:rPr>
              <w:t>4.1</w:t>
            </w:r>
            <w:r w:rsidR="003E330F">
              <w:rPr>
                <w:rFonts w:eastAsiaTheme="minorEastAsia"/>
                <w:noProof/>
                <w:lang w:eastAsia="cs-CZ"/>
              </w:rPr>
              <w:tab/>
            </w:r>
            <w:r w:rsidR="003E330F" w:rsidRPr="00157D22">
              <w:rPr>
                <w:rStyle w:val="Hypertextovodkaz"/>
                <w:noProof/>
              </w:rPr>
              <w:t>Prominutí nebo částečné prominutí povinnosti uhradit odvod</w:t>
            </w:r>
            <w:r w:rsidR="003E330F">
              <w:rPr>
                <w:noProof/>
                <w:webHidden/>
              </w:rPr>
              <w:tab/>
            </w:r>
            <w:r w:rsidR="003E330F">
              <w:rPr>
                <w:noProof/>
                <w:webHidden/>
              </w:rPr>
              <w:fldChar w:fldCharType="begin"/>
            </w:r>
            <w:r w:rsidR="003E330F">
              <w:rPr>
                <w:noProof/>
                <w:webHidden/>
              </w:rPr>
              <w:instrText xml:space="preserve"> PAGEREF _Toc452644787 \h </w:instrText>
            </w:r>
            <w:r w:rsidR="003E330F">
              <w:rPr>
                <w:noProof/>
                <w:webHidden/>
              </w:rPr>
            </w:r>
            <w:r w:rsidR="003E330F">
              <w:rPr>
                <w:noProof/>
                <w:webHidden/>
              </w:rPr>
              <w:fldChar w:fldCharType="separate"/>
            </w:r>
            <w:r w:rsidR="003E330F">
              <w:rPr>
                <w:noProof/>
                <w:webHidden/>
              </w:rPr>
              <w:t>6</w:t>
            </w:r>
            <w:r w:rsidR="003E330F">
              <w:rPr>
                <w:noProof/>
                <w:webHidden/>
              </w:rPr>
              <w:fldChar w:fldCharType="end"/>
            </w:r>
          </w:hyperlink>
        </w:p>
        <w:p w14:paraId="53E10C90" w14:textId="77777777" w:rsidR="003E330F" w:rsidRDefault="00556914">
          <w:pPr>
            <w:pStyle w:val="Obsah2"/>
            <w:tabs>
              <w:tab w:val="left" w:pos="880"/>
              <w:tab w:val="right" w:leader="dot" w:pos="9062"/>
            </w:tabs>
            <w:rPr>
              <w:rFonts w:eastAsiaTheme="minorEastAsia"/>
              <w:noProof/>
              <w:lang w:eastAsia="cs-CZ"/>
            </w:rPr>
          </w:pPr>
          <w:hyperlink w:anchor="_Toc452644788" w:history="1">
            <w:r w:rsidR="003E330F" w:rsidRPr="00157D22">
              <w:rPr>
                <w:rStyle w:val="Hypertextovodkaz"/>
                <w:noProof/>
              </w:rPr>
              <w:t>4.2</w:t>
            </w:r>
            <w:r w:rsidR="003E330F">
              <w:rPr>
                <w:rFonts w:eastAsiaTheme="minorEastAsia"/>
                <w:noProof/>
                <w:lang w:eastAsia="cs-CZ"/>
              </w:rPr>
              <w:tab/>
            </w:r>
            <w:r w:rsidR="003E330F" w:rsidRPr="00157D22">
              <w:rPr>
                <w:rStyle w:val="Hypertextovodkaz"/>
                <w:noProof/>
              </w:rPr>
              <w:t>Prominutí nebo částečné prominutí povinnosti uhradit penále</w:t>
            </w:r>
            <w:r w:rsidR="003E330F">
              <w:rPr>
                <w:noProof/>
                <w:webHidden/>
              </w:rPr>
              <w:tab/>
            </w:r>
            <w:r w:rsidR="003E330F">
              <w:rPr>
                <w:noProof/>
                <w:webHidden/>
              </w:rPr>
              <w:fldChar w:fldCharType="begin"/>
            </w:r>
            <w:r w:rsidR="003E330F">
              <w:rPr>
                <w:noProof/>
                <w:webHidden/>
              </w:rPr>
              <w:instrText xml:space="preserve"> PAGEREF _Toc452644788 \h </w:instrText>
            </w:r>
            <w:r w:rsidR="003E330F">
              <w:rPr>
                <w:noProof/>
                <w:webHidden/>
              </w:rPr>
            </w:r>
            <w:r w:rsidR="003E330F">
              <w:rPr>
                <w:noProof/>
                <w:webHidden/>
              </w:rPr>
              <w:fldChar w:fldCharType="separate"/>
            </w:r>
            <w:r w:rsidR="003E330F">
              <w:rPr>
                <w:noProof/>
                <w:webHidden/>
              </w:rPr>
              <w:t>6</w:t>
            </w:r>
            <w:r w:rsidR="003E330F">
              <w:rPr>
                <w:noProof/>
                <w:webHidden/>
              </w:rPr>
              <w:fldChar w:fldCharType="end"/>
            </w:r>
          </w:hyperlink>
        </w:p>
        <w:p w14:paraId="7BABE4D3" w14:textId="77777777" w:rsidR="003E330F" w:rsidRDefault="00556914">
          <w:pPr>
            <w:pStyle w:val="Obsah1"/>
            <w:tabs>
              <w:tab w:val="left" w:pos="440"/>
              <w:tab w:val="right" w:leader="dot" w:pos="9062"/>
            </w:tabs>
            <w:rPr>
              <w:rFonts w:eastAsiaTheme="minorEastAsia"/>
              <w:noProof/>
              <w:lang w:eastAsia="cs-CZ"/>
            </w:rPr>
          </w:pPr>
          <w:hyperlink w:anchor="_Toc452644789" w:history="1">
            <w:r w:rsidR="003E330F" w:rsidRPr="00157D22">
              <w:rPr>
                <w:rStyle w:val="Hypertextovodkaz"/>
                <w:noProof/>
              </w:rPr>
              <w:t>5.</w:t>
            </w:r>
            <w:r w:rsidR="003E330F">
              <w:rPr>
                <w:rFonts w:eastAsiaTheme="minorEastAsia"/>
                <w:noProof/>
                <w:lang w:eastAsia="cs-CZ"/>
              </w:rPr>
              <w:tab/>
            </w:r>
            <w:r w:rsidR="003E330F" w:rsidRPr="00157D22">
              <w:rPr>
                <w:rStyle w:val="Hypertextovodkaz"/>
                <w:noProof/>
              </w:rPr>
              <w:t>Další sankce a poplatky spojené s porušením podmínek smlouvy o poskytnutí podpory</w:t>
            </w:r>
            <w:r w:rsidR="003E330F">
              <w:rPr>
                <w:noProof/>
                <w:webHidden/>
              </w:rPr>
              <w:tab/>
            </w:r>
            <w:r w:rsidR="003E330F">
              <w:rPr>
                <w:noProof/>
                <w:webHidden/>
              </w:rPr>
              <w:fldChar w:fldCharType="begin"/>
            </w:r>
            <w:r w:rsidR="003E330F">
              <w:rPr>
                <w:noProof/>
                <w:webHidden/>
              </w:rPr>
              <w:instrText xml:space="preserve"> PAGEREF _Toc452644789 \h </w:instrText>
            </w:r>
            <w:r w:rsidR="003E330F">
              <w:rPr>
                <w:noProof/>
                <w:webHidden/>
              </w:rPr>
            </w:r>
            <w:r w:rsidR="003E330F">
              <w:rPr>
                <w:noProof/>
                <w:webHidden/>
              </w:rPr>
              <w:fldChar w:fldCharType="separate"/>
            </w:r>
            <w:r w:rsidR="003E330F">
              <w:rPr>
                <w:noProof/>
                <w:webHidden/>
              </w:rPr>
              <w:t>6</w:t>
            </w:r>
            <w:r w:rsidR="003E330F">
              <w:rPr>
                <w:noProof/>
                <w:webHidden/>
              </w:rPr>
              <w:fldChar w:fldCharType="end"/>
            </w:r>
          </w:hyperlink>
        </w:p>
        <w:p w14:paraId="0C766944" w14:textId="77777777" w:rsidR="003E330F" w:rsidRDefault="00556914">
          <w:pPr>
            <w:pStyle w:val="Obsah1"/>
            <w:tabs>
              <w:tab w:val="left" w:pos="440"/>
              <w:tab w:val="right" w:leader="dot" w:pos="9062"/>
            </w:tabs>
            <w:rPr>
              <w:rFonts w:eastAsiaTheme="minorEastAsia"/>
              <w:noProof/>
              <w:lang w:eastAsia="cs-CZ"/>
            </w:rPr>
          </w:pPr>
          <w:hyperlink w:anchor="_Toc452644790" w:history="1">
            <w:r w:rsidR="003E330F" w:rsidRPr="00157D22">
              <w:rPr>
                <w:rStyle w:val="Hypertextovodkaz"/>
                <w:noProof/>
              </w:rPr>
              <w:t>6.</w:t>
            </w:r>
            <w:r w:rsidR="003E330F">
              <w:rPr>
                <w:rFonts w:eastAsiaTheme="minorEastAsia"/>
                <w:noProof/>
                <w:lang w:eastAsia="cs-CZ"/>
              </w:rPr>
              <w:tab/>
            </w:r>
            <w:r w:rsidR="003E330F" w:rsidRPr="00157D22">
              <w:rPr>
                <w:rStyle w:val="Hypertextovodkaz"/>
                <w:noProof/>
              </w:rPr>
              <w:t>Odvolací řízení</w:t>
            </w:r>
            <w:r w:rsidR="003E330F">
              <w:rPr>
                <w:noProof/>
                <w:webHidden/>
              </w:rPr>
              <w:tab/>
            </w:r>
            <w:r w:rsidR="003E330F">
              <w:rPr>
                <w:noProof/>
                <w:webHidden/>
              </w:rPr>
              <w:fldChar w:fldCharType="begin"/>
            </w:r>
            <w:r w:rsidR="003E330F">
              <w:rPr>
                <w:noProof/>
                <w:webHidden/>
              </w:rPr>
              <w:instrText xml:space="preserve"> PAGEREF _Toc452644790 \h </w:instrText>
            </w:r>
            <w:r w:rsidR="003E330F">
              <w:rPr>
                <w:noProof/>
                <w:webHidden/>
              </w:rPr>
            </w:r>
            <w:r w:rsidR="003E330F">
              <w:rPr>
                <w:noProof/>
                <w:webHidden/>
              </w:rPr>
              <w:fldChar w:fldCharType="separate"/>
            </w:r>
            <w:r w:rsidR="003E330F">
              <w:rPr>
                <w:noProof/>
                <w:webHidden/>
              </w:rPr>
              <w:t>7</w:t>
            </w:r>
            <w:r w:rsidR="003E330F">
              <w:rPr>
                <w:noProof/>
                <w:webHidden/>
              </w:rPr>
              <w:fldChar w:fldCharType="end"/>
            </w:r>
          </w:hyperlink>
        </w:p>
        <w:p w14:paraId="35B11DDC" w14:textId="77777777" w:rsidR="003E330F" w:rsidRDefault="00556914">
          <w:pPr>
            <w:pStyle w:val="Obsah1"/>
            <w:tabs>
              <w:tab w:val="left" w:pos="440"/>
              <w:tab w:val="right" w:leader="dot" w:pos="9062"/>
            </w:tabs>
            <w:rPr>
              <w:rFonts w:eastAsiaTheme="minorEastAsia"/>
              <w:noProof/>
              <w:lang w:eastAsia="cs-CZ"/>
            </w:rPr>
          </w:pPr>
          <w:hyperlink w:anchor="_Toc452644791" w:history="1">
            <w:r w:rsidR="003E330F" w:rsidRPr="00157D22">
              <w:rPr>
                <w:rStyle w:val="Hypertextovodkaz"/>
                <w:noProof/>
              </w:rPr>
              <w:t>7.</w:t>
            </w:r>
            <w:r w:rsidR="003E330F">
              <w:rPr>
                <w:rFonts w:eastAsiaTheme="minorEastAsia"/>
                <w:noProof/>
                <w:lang w:eastAsia="cs-CZ"/>
              </w:rPr>
              <w:tab/>
            </w:r>
            <w:r w:rsidR="003E330F" w:rsidRPr="00157D22">
              <w:rPr>
                <w:rStyle w:val="Hypertextovodkaz"/>
                <w:noProof/>
              </w:rPr>
              <w:t>Přílohy</w:t>
            </w:r>
            <w:r w:rsidR="003E330F">
              <w:rPr>
                <w:noProof/>
                <w:webHidden/>
              </w:rPr>
              <w:tab/>
            </w:r>
            <w:r w:rsidR="003E330F">
              <w:rPr>
                <w:noProof/>
                <w:webHidden/>
              </w:rPr>
              <w:fldChar w:fldCharType="begin"/>
            </w:r>
            <w:r w:rsidR="003E330F">
              <w:rPr>
                <w:noProof/>
                <w:webHidden/>
              </w:rPr>
              <w:instrText xml:space="preserve"> PAGEREF _Toc452644791 \h </w:instrText>
            </w:r>
            <w:r w:rsidR="003E330F">
              <w:rPr>
                <w:noProof/>
                <w:webHidden/>
              </w:rPr>
            </w:r>
            <w:r w:rsidR="003E330F">
              <w:rPr>
                <w:noProof/>
                <w:webHidden/>
              </w:rPr>
              <w:fldChar w:fldCharType="separate"/>
            </w:r>
            <w:r w:rsidR="003E330F">
              <w:rPr>
                <w:noProof/>
                <w:webHidden/>
              </w:rPr>
              <w:t>7</w:t>
            </w:r>
            <w:r w:rsidR="003E330F">
              <w:rPr>
                <w:noProof/>
                <w:webHidden/>
              </w:rPr>
              <w:fldChar w:fldCharType="end"/>
            </w:r>
          </w:hyperlink>
        </w:p>
        <w:p w14:paraId="66D357B0" w14:textId="77777777" w:rsidR="003E330F" w:rsidRDefault="00556914">
          <w:pPr>
            <w:pStyle w:val="Obsah1"/>
            <w:tabs>
              <w:tab w:val="right" w:leader="dot" w:pos="9062"/>
            </w:tabs>
            <w:rPr>
              <w:rFonts w:eastAsiaTheme="minorEastAsia"/>
              <w:noProof/>
              <w:lang w:eastAsia="cs-CZ"/>
            </w:rPr>
          </w:pPr>
          <w:hyperlink w:anchor="_Toc452644792" w:history="1">
            <w:r w:rsidR="003E330F" w:rsidRPr="00157D22">
              <w:rPr>
                <w:rStyle w:val="Hypertextovodkaz"/>
                <w:noProof/>
              </w:rPr>
              <w:t>Příloha č. 1 - Přehled typů pochybení a k nim stanovený snížený odvod</w:t>
            </w:r>
            <w:r w:rsidR="003E330F">
              <w:rPr>
                <w:noProof/>
                <w:webHidden/>
              </w:rPr>
              <w:tab/>
            </w:r>
            <w:r w:rsidR="003E330F">
              <w:rPr>
                <w:noProof/>
                <w:webHidden/>
              </w:rPr>
              <w:fldChar w:fldCharType="begin"/>
            </w:r>
            <w:r w:rsidR="003E330F">
              <w:rPr>
                <w:noProof/>
                <w:webHidden/>
              </w:rPr>
              <w:instrText xml:space="preserve"> PAGEREF _Toc452644792 \h </w:instrText>
            </w:r>
            <w:r w:rsidR="003E330F">
              <w:rPr>
                <w:noProof/>
                <w:webHidden/>
              </w:rPr>
            </w:r>
            <w:r w:rsidR="003E330F">
              <w:rPr>
                <w:noProof/>
                <w:webHidden/>
              </w:rPr>
              <w:fldChar w:fldCharType="separate"/>
            </w:r>
            <w:r w:rsidR="003E330F">
              <w:rPr>
                <w:noProof/>
                <w:webHidden/>
              </w:rPr>
              <w:t>8</w:t>
            </w:r>
            <w:r w:rsidR="003E330F">
              <w:rPr>
                <w:noProof/>
                <w:webHidden/>
              </w:rPr>
              <w:fldChar w:fldCharType="end"/>
            </w:r>
          </w:hyperlink>
        </w:p>
        <w:p w14:paraId="54D7E1D0" w14:textId="77777777" w:rsidR="003E330F" w:rsidRDefault="00556914">
          <w:pPr>
            <w:pStyle w:val="Obsah1"/>
            <w:tabs>
              <w:tab w:val="left" w:pos="440"/>
              <w:tab w:val="right" w:leader="dot" w:pos="9062"/>
            </w:tabs>
            <w:rPr>
              <w:rFonts w:eastAsiaTheme="minorEastAsia"/>
              <w:noProof/>
              <w:lang w:eastAsia="cs-CZ"/>
            </w:rPr>
          </w:pPr>
          <w:hyperlink w:anchor="_Toc452644793" w:history="1">
            <w:r w:rsidR="003E330F" w:rsidRPr="00157D22">
              <w:rPr>
                <w:rStyle w:val="Hypertextovodkaz"/>
                <w:rFonts w:cs="Arial"/>
                <w:noProof/>
              </w:rPr>
              <w:t>8.</w:t>
            </w:r>
            <w:r w:rsidR="003E330F">
              <w:rPr>
                <w:rFonts w:eastAsiaTheme="minorEastAsia"/>
                <w:noProof/>
                <w:lang w:eastAsia="cs-CZ"/>
              </w:rPr>
              <w:tab/>
            </w:r>
            <w:r w:rsidR="003E330F" w:rsidRPr="00157D22">
              <w:rPr>
                <w:rStyle w:val="Hypertextovodkaz"/>
                <w:rFonts w:cs="Arial"/>
                <w:noProof/>
              </w:rPr>
              <w:t>Porušení pravidel pro zadávání zakázek</w:t>
            </w:r>
            <w:r w:rsidR="003E330F">
              <w:rPr>
                <w:noProof/>
                <w:webHidden/>
              </w:rPr>
              <w:tab/>
            </w:r>
            <w:r w:rsidR="003E330F">
              <w:rPr>
                <w:noProof/>
                <w:webHidden/>
              </w:rPr>
              <w:fldChar w:fldCharType="begin"/>
            </w:r>
            <w:r w:rsidR="003E330F">
              <w:rPr>
                <w:noProof/>
                <w:webHidden/>
              </w:rPr>
              <w:instrText xml:space="preserve"> PAGEREF _Toc452644793 \h </w:instrText>
            </w:r>
            <w:r w:rsidR="003E330F">
              <w:rPr>
                <w:noProof/>
                <w:webHidden/>
              </w:rPr>
            </w:r>
            <w:r w:rsidR="003E330F">
              <w:rPr>
                <w:noProof/>
                <w:webHidden/>
              </w:rPr>
              <w:fldChar w:fldCharType="separate"/>
            </w:r>
            <w:r w:rsidR="003E330F">
              <w:rPr>
                <w:noProof/>
                <w:webHidden/>
              </w:rPr>
              <w:t>16</w:t>
            </w:r>
            <w:r w:rsidR="003E330F">
              <w:rPr>
                <w:noProof/>
                <w:webHidden/>
              </w:rPr>
              <w:fldChar w:fldCharType="end"/>
            </w:r>
          </w:hyperlink>
        </w:p>
        <w:p w14:paraId="74F43143" w14:textId="2D4BE65A" w:rsidR="00AE418A" w:rsidRPr="004E6DF2" w:rsidRDefault="00AE418A" w:rsidP="004E6DF2">
          <w:pPr>
            <w:pStyle w:val="Obsah1"/>
            <w:tabs>
              <w:tab w:val="right" w:leader="dot" w:pos="9062"/>
            </w:tabs>
            <w:rPr>
              <w:rFonts w:eastAsiaTheme="minorEastAsia"/>
              <w:noProof/>
              <w:lang w:eastAsia="cs-CZ"/>
            </w:rPr>
          </w:pPr>
          <w:r>
            <w:rPr>
              <w:b/>
              <w:bCs/>
            </w:rPr>
            <w:fldChar w:fldCharType="end"/>
          </w:r>
        </w:p>
      </w:sdtContent>
    </w:sdt>
    <w:p w14:paraId="5712DA63" w14:textId="77777777" w:rsidR="00AE418A" w:rsidRDefault="00AE418A" w:rsidP="00AE418A">
      <w:pPr>
        <w:rPr>
          <w:rFonts w:ascii="Arial" w:hAnsi="Arial" w:cs="Arial"/>
          <w:sz w:val="20"/>
          <w:szCs w:val="20"/>
        </w:rPr>
      </w:pPr>
      <w:r>
        <w:rPr>
          <w:rFonts w:ascii="Arial" w:hAnsi="Arial" w:cs="Arial"/>
          <w:sz w:val="20"/>
          <w:szCs w:val="20"/>
        </w:rPr>
        <w:t xml:space="preserve"> </w:t>
      </w:r>
      <w:r>
        <w:rPr>
          <w:rFonts w:ascii="Arial" w:hAnsi="Arial" w:cs="Arial"/>
          <w:sz w:val="20"/>
          <w:szCs w:val="20"/>
        </w:rPr>
        <w:br w:type="page"/>
      </w:r>
    </w:p>
    <w:p w14:paraId="0950FC55" w14:textId="77777777" w:rsidR="00AE418A" w:rsidRPr="00BB149F" w:rsidRDefault="001F17A3" w:rsidP="00BB149F">
      <w:pPr>
        <w:pStyle w:val="Nadpis1"/>
      </w:pPr>
      <w:bookmarkStart w:id="0" w:name="_Toc452644778"/>
      <w:r w:rsidRPr="00BB149F">
        <w:lastRenderedPageBreak/>
        <w:t>Úvod</w:t>
      </w:r>
      <w:bookmarkEnd w:id="0"/>
    </w:p>
    <w:p w14:paraId="02ECFFBB" w14:textId="016EAFD0" w:rsidR="006D6037" w:rsidRPr="0047590A" w:rsidRDefault="00C920D5" w:rsidP="00BB149F">
      <w:pPr>
        <w:spacing w:after="0"/>
        <w:jc w:val="both"/>
        <w:rPr>
          <w:rFonts w:ascii="Arial" w:hAnsi="Arial" w:cs="Arial"/>
          <w:sz w:val="20"/>
          <w:szCs w:val="20"/>
        </w:rPr>
      </w:pPr>
      <w:r w:rsidRPr="00C920D5">
        <w:rPr>
          <w:rFonts w:ascii="Arial" w:hAnsi="Arial" w:cs="Arial"/>
          <w:sz w:val="20"/>
          <w:szCs w:val="20"/>
        </w:rPr>
        <w:t xml:space="preserve">Stanovení snížených odvodů a méně závažných porušení smlouvy </w:t>
      </w:r>
      <w:r w:rsidR="006D6037" w:rsidRPr="0047590A">
        <w:rPr>
          <w:rFonts w:ascii="Arial" w:hAnsi="Arial" w:cs="Arial"/>
          <w:sz w:val="20"/>
          <w:szCs w:val="20"/>
        </w:rPr>
        <w:t>se vztahují na příjemce podpory z Operačního programu Praha – pól růstu ČR (</w:t>
      </w:r>
      <w:r>
        <w:rPr>
          <w:rFonts w:ascii="Arial" w:hAnsi="Arial" w:cs="Arial"/>
          <w:sz w:val="20"/>
          <w:szCs w:val="20"/>
        </w:rPr>
        <w:t>dále také „</w:t>
      </w:r>
      <w:r w:rsidR="006D6037" w:rsidRPr="0047590A">
        <w:rPr>
          <w:rFonts w:ascii="Arial" w:hAnsi="Arial" w:cs="Arial"/>
          <w:sz w:val="20"/>
          <w:szCs w:val="20"/>
        </w:rPr>
        <w:t>OP PPR</w:t>
      </w:r>
      <w:r>
        <w:rPr>
          <w:rFonts w:ascii="Arial" w:hAnsi="Arial" w:cs="Arial"/>
          <w:sz w:val="20"/>
          <w:szCs w:val="20"/>
        </w:rPr>
        <w:t>“</w:t>
      </w:r>
      <w:r w:rsidR="006D6037" w:rsidRPr="0047590A">
        <w:rPr>
          <w:rFonts w:ascii="Arial" w:hAnsi="Arial" w:cs="Arial"/>
          <w:sz w:val="20"/>
          <w:szCs w:val="20"/>
        </w:rPr>
        <w:t>)</w:t>
      </w:r>
      <w:r w:rsidR="00632EAB">
        <w:rPr>
          <w:rFonts w:ascii="Arial" w:hAnsi="Arial" w:cs="Arial"/>
          <w:sz w:val="20"/>
          <w:szCs w:val="20"/>
        </w:rPr>
        <w:t>.</w:t>
      </w:r>
    </w:p>
    <w:p w14:paraId="591B5AE9" w14:textId="77777777" w:rsidR="001F17A3" w:rsidRDefault="001F17A3" w:rsidP="00BB149F">
      <w:pPr>
        <w:spacing w:after="0"/>
        <w:jc w:val="both"/>
        <w:rPr>
          <w:rFonts w:ascii="Arial" w:hAnsi="Arial" w:cs="Arial"/>
          <w:sz w:val="20"/>
          <w:szCs w:val="20"/>
        </w:rPr>
      </w:pPr>
    </w:p>
    <w:p w14:paraId="097B7C69" w14:textId="0E5B7DE1" w:rsidR="006D6037" w:rsidRPr="0047590A" w:rsidRDefault="006D6037" w:rsidP="00BB149F">
      <w:pPr>
        <w:spacing w:after="0"/>
        <w:jc w:val="both"/>
        <w:rPr>
          <w:rFonts w:ascii="Arial" w:hAnsi="Arial" w:cs="Arial"/>
          <w:sz w:val="20"/>
          <w:szCs w:val="20"/>
        </w:rPr>
      </w:pPr>
      <w:r w:rsidRPr="0047590A">
        <w:rPr>
          <w:rFonts w:ascii="Arial" w:hAnsi="Arial" w:cs="Arial"/>
          <w:sz w:val="20"/>
          <w:szCs w:val="20"/>
        </w:rPr>
        <w:t>Dokument upravuje postupy:</w:t>
      </w:r>
    </w:p>
    <w:p w14:paraId="61607181" w14:textId="00FEA88C" w:rsidR="006D6037" w:rsidRPr="0047590A" w:rsidRDefault="006D6037" w:rsidP="00BB149F">
      <w:pPr>
        <w:tabs>
          <w:tab w:val="left" w:pos="142"/>
        </w:tabs>
        <w:spacing w:after="0"/>
        <w:ind w:left="142" w:hanging="142"/>
        <w:jc w:val="both"/>
        <w:rPr>
          <w:rFonts w:ascii="Arial" w:hAnsi="Arial" w:cs="Arial"/>
          <w:sz w:val="20"/>
          <w:szCs w:val="20"/>
        </w:rPr>
      </w:pPr>
      <w:r w:rsidRPr="0047590A">
        <w:rPr>
          <w:rFonts w:ascii="Arial" w:hAnsi="Arial" w:cs="Arial"/>
          <w:sz w:val="20"/>
          <w:szCs w:val="20"/>
        </w:rPr>
        <w:t xml:space="preserve">- </w:t>
      </w:r>
      <w:r w:rsidR="001F17A3">
        <w:rPr>
          <w:rFonts w:ascii="Arial" w:hAnsi="Arial" w:cs="Arial"/>
          <w:sz w:val="20"/>
          <w:szCs w:val="20"/>
        </w:rPr>
        <w:tab/>
      </w:r>
      <w:r w:rsidR="00AE418A" w:rsidRPr="00AE418A">
        <w:rPr>
          <w:rFonts w:ascii="Arial" w:hAnsi="Arial" w:cs="Arial"/>
          <w:sz w:val="20"/>
          <w:szCs w:val="20"/>
        </w:rPr>
        <w:t xml:space="preserve">při identifikaci </w:t>
      </w:r>
      <w:r w:rsidR="00C920D5">
        <w:rPr>
          <w:rFonts w:ascii="Arial" w:hAnsi="Arial" w:cs="Arial"/>
          <w:sz w:val="20"/>
          <w:szCs w:val="20"/>
        </w:rPr>
        <w:t xml:space="preserve">porušení </w:t>
      </w:r>
      <w:r w:rsidR="00C920D5" w:rsidRPr="00C920D5">
        <w:rPr>
          <w:rFonts w:ascii="Arial" w:hAnsi="Arial" w:cs="Arial"/>
          <w:sz w:val="20"/>
          <w:szCs w:val="20"/>
        </w:rPr>
        <w:t>někter</w:t>
      </w:r>
      <w:r w:rsidR="00C920D5">
        <w:rPr>
          <w:rFonts w:ascii="Arial" w:hAnsi="Arial" w:cs="Arial"/>
          <w:sz w:val="20"/>
          <w:szCs w:val="20"/>
        </w:rPr>
        <w:t>é</w:t>
      </w:r>
      <w:r w:rsidR="00C920D5" w:rsidRPr="00C920D5">
        <w:rPr>
          <w:rFonts w:ascii="Arial" w:hAnsi="Arial" w:cs="Arial"/>
          <w:sz w:val="20"/>
          <w:szCs w:val="20"/>
        </w:rPr>
        <w:t xml:space="preserve"> z povinností stanovených </w:t>
      </w:r>
      <w:r w:rsidR="00C920D5">
        <w:rPr>
          <w:rFonts w:ascii="Arial" w:hAnsi="Arial" w:cs="Arial"/>
          <w:sz w:val="20"/>
          <w:szCs w:val="20"/>
        </w:rPr>
        <w:t xml:space="preserve">smlouvou o financování projektu z OP PPR nebo podmínek realizace projektu z OP PPR </w:t>
      </w:r>
      <w:r w:rsidR="00C920D5" w:rsidRPr="00C920D5">
        <w:rPr>
          <w:rFonts w:ascii="Arial" w:hAnsi="Arial" w:cs="Arial"/>
          <w:sz w:val="20"/>
          <w:szCs w:val="20"/>
        </w:rPr>
        <w:t>(včetně souvisejících dokumentů), právního předpisu nebo přímo použitelného předpisu EU</w:t>
      </w:r>
      <w:r w:rsidR="00AE418A">
        <w:rPr>
          <w:rFonts w:ascii="Arial" w:hAnsi="Arial" w:cs="Arial"/>
          <w:sz w:val="20"/>
          <w:szCs w:val="20"/>
        </w:rPr>
        <w:t>, které se</w:t>
      </w:r>
      <w:r w:rsidRPr="0047590A">
        <w:rPr>
          <w:rFonts w:ascii="Arial" w:hAnsi="Arial" w:cs="Arial"/>
          <w:sz w:val="20"/>
          <w:szCs w:val="20"/>
        </w:rPr>
        <w:t xml:space="preserve"> týká proplaceného projektu nebo jeho proplacené části. </w:t>
      </w:r>
      <w:r w:rsidR="00AE418A">
        <w:rPr>
          <w:rFonts w:ascii="Arial" w:hAnsi="Arial" w:cs="Arial"/>
          <w:sz w:val="20"/>
          <w:szCs w:val="20"/>
        </w:rPr>
        <w:t xml:space="preserve">Případ je dále řešen v souladu se zákonem č. 250/2000 Sb., </w:t>
      </w:r>
      <w:r w:rsidR="00AE418A" w:rsidRPr="00AE418A">
        <w:rPr>
          <w:rFonts w:ascii="Arial" w:hAnsi="Arial" w:cs="Arial"/>
          <w:sz w:val="20"/>
          <w:szCs w:val="20"/>
        </w:rPr>
        <w:t>o</w:t>
      </w:r>
      <w:r w:rsidR="00AE418A">
        <w:rPr>
          <w:rFonts w:ascii="Arial" w:hAnsi="Arial" w:cs="Arial"/>
          <w:sz w:val="20"/>
          <w:szCs w:val="20"/>
        </w:rPr>
        <w:t> </w:t>
      </w:r>
      <w:r w:rsidR="00AE418A" w:rsidRPr="00AE418A">
        <w:rPr>
          <w:rFonts w:ascii="Arial" w:hAnsi="Arial" w:cs="Arial"/>
          <w:sz w:val="20"/>
          <w:szCs w:val="20"/>
        </w:rPr>
        <w:t>rozpočtových pravidlech</w:t>
      </w:r>
      <w:r w:rsidR="00AE418A">
        <w:rPr>
          <w:rFonts w:ascii="Arial" w:hAnsi="Arial" w:cs="Arial"/>
          <w:sz w:val="20"/>
          <w:szCs w:val="20"/>
        </w:rPr>
        <w:t xml:space="preserve"> </w:t>
      </w:r>
      <w:r w:rsidR="00AE418A" w:rsidRPr="00AE418A">
        <w:rPr>
          <w:rFonts w:ascii="Arial" w:hAnsi="Arial" w:cs="Arial"/>
          <w:sz w:val="20"/>
          <w:szCs w:val="20"/>
        </w:rPr>
        <w:t>územních rozpočtů, ve znění pozdějšíc</w:t>
      </w:r>
      <w:r w:rsidR="00AE418A">
        <w:rPr>
          <w:rFonts w:ascii="Arial" w:hAnsi="Arial" w:cs="Arial"/>
          <w:sz w:val="20"/>
          <w:szCs w:val="20"/>
        </w:rPr>
        <w:t>h předpisů, (dále jen „zákon č. </w:t>
      </w:r>
      <w:r w:rsidR="00AE418A" w:rsidRPr="00AE418A">
        <w:rPr>
          <w:rFonts w:ascii="Arial" w:hAnsi="Arial" w:cs="Arial"/>
          <w:sz w:val="20"/>
          <w:szCs w:val="20"/>
        </w:rPr>
        <w:t>250/2000 Sb.“)</w:t>
      </w:r>
      <w:r w:rsidR="00AE418A">
        <w:rPr>
          <w:rFonts w:ascii="Arial" w:hAnsi="Arial" w:cs="Arial"/>
          <w:sz w:val="20"/>
          <w:szCs w:val="20"/>
        </w:rPr>
        <w:t>;</w:t>
      </w:r>
    </w:p>
    <w:p w14:paraId="4BEF45E4" w14:textId="4494A627" w:rsidR="006D6037" w:rsidRPr="0047590A" w:rsidRDefault="006D6037" w:rsidP="00BB149F">
      <w:pPr>
        <w:tabs>
          <w:tab w:val="left" w:pos="142"/>
        </w:tabs>
        <w:spacing w:after="0"/>
        <w:ind w:left="142" w:hanging="142"/>
        <w:jc w:val="both"/>
        <w:rPr>
          <w:rFonts w:ascii="Arial" w:hAnsi="Arial" w:cs="Arial"/>
          <w:sz w:val="20"/>
          <w:szCs w:val="20"/>
        </w:rPr>
      </w:pPr>
      <w:r w:rsidRPr="0047590A">
        <w:rPr>
          <w:rFonts w:ascii="Arial" w:hAnsi="Arial" w:cs="Arial"/>
          <w:sz w:val="20"/>
          <w:szCs w:val="20"/>
        </w:rPr>
        <w:t xml:space="preserve">- </w:t>
      </w:r>
      <w:r w:rsidR="001F17A3">
        <w:rPr>
          <w:rFonts w:ascii="Arial" w:hAnsi="Arial" w:cs="Arial"/>
          <w:sz w:val="20"/>
          <w:szCs w:val="20"/>
        </w:rPr>
        <w:tab/>
      </w:r>
      <w:r w:rsidR="00AE418A" w:rsidRPr="00AE418A">
        <w:rPr>
          <w:rFonts w:ascii="Arial" w:hAnsi="Arial" w:cs="Arial"/>
          <w:sz w:val="20"/>
          <w:szCs w:val="20"/>
        </w:rPr>
        <w:t xml:space="preserve">při identifikaci </w:t>
      </w:r>
      <w:r w:rsidR="00AE418A">
        <w:rPr>
          <w:rFonts w:ascii="Arial" w:hAnsi="Arial" w:cs="Arial"/>
          <w:sz w:val="20"/>
          <w:szCs w:val="20"/>
        </w:rPr>
        <w:t xml:space="preserve">porušení </w:t>
      </w:r>
      <w:r w:rsidR="00AE418A" w:rsidRPr="00C920D5">
        <w:rPr>
          <w:rFonts w:ascii="Arial" w:hAnsi="Arial" w:cs="Arial"/>
          <w:sz w:val="20"/>
          <w:szCs w:val="20"/>
        </w:rPr>
        <w:t>někter</w:t>
      </w:r>
      <w:r w:rsidR="00AE418A">
        <w:rPr>
          <w:rFonts w:ascii="Arial" w:hAnsi="Arial" w:cs="Arial"/>
          <w:sz w:val="20"/>
          <w:szCs w:val="20"/>
        </w:rPr>
        <w:t>é</w:t>
      </w:r>
      <w:r w:rsidR="00AE418A" w:rsidRPr="00C920D5">
        <w:rPr>
          <w:rFonts w:ascii="Arial" w:hAnsi="Arial" w:cs="Arial"/>
          <w:sz w:val="20"/>
          <w:szCs w:val="20"/>
        </w:rPr>
        <w:t xml:space="preserve"> z povinností stanovených </w:t>
      </w:r>
      <w:r w:rsidR="00AE418A">
        <w:rPr>
          <w:rFonts w:ascii="Arial" w:hAnsi="Arial" w:cs="Arial"/>
          <w:sz w:val="20"/>
          <w:szCs w:val="20"/>
        </w:rPr>
        <w:t xml:space="preserve">smlouvou o financování projektu z OP PPR nebo podmínek realizace projektu z OP PPR </w:t>
      </w:r>
      <w:r w:rsidR="00AE418A" w:rsidRPr="00C920D5">
        <w:rPr>
          <w:rFonts w:ascii="Arial" w:hAnsi="Arial" w:cs="Arial"/>
          <w:sz w:val="20"/>
          <w:szCs w:val="20"/>
        </w:rPr>
        <w:t>(včetně souvisejících dokumentů), právního předpisu nebo přímo použitelného předpisu EU</w:t>
      </w:r>
      <w:r w:rsidRPr="0047590A">
        <w:rPr>
          <w:rFonts w:ascii="Arial" w:hAnsi="Arial" w:cs="Arial"/>
          <w:sz w:val="20"/>
          <w:szCs w:val="20"/>
        </w:rPr>
        <w:t xml:space="preserve"> zjištěného před proplacením žádosti o platbu (např. při administrativní kontrole etapové/závěrečné monitorovací zprávy, kontrole na místě atd. ověřovacích úkonech). V takových případech je příjemci dle charakteru pochybení stanovena finanční korekce (dle sloupce sazby sníženého odvodu v tabulce) a dochází ke krácení (snížení) platby.</w:t>
      </w:r>
    </w:p>
    <w:p w14:paraId="3559287A" w14:textId="25F5E77B" w:rsidR="00AE418A" w:rsidRDefault="00AE418A" w:rsidP="00BB149F">
      <w:pPr>
        <w:tabs>
          <w:tab w:val="left" w:pos="142"/>
        </w:tabs>
        <w:spacing w:after="0"/>
        <w:ind w:left="142" w:hanging="142"/>
        <w:jc w:val="both"/>
        <w:rPr>
          <w:rFonts w:ascii="Arial" w:hAnsi="Arial" w:cs="Arial"/>
          <w:sz w:val="20"/>
          <w:szCs w:val="20"/>
        </w:rPr>
      </w:pPr>
      <w:r w:rsidRPr="00BB149F">
        <w:rPr>
          <w:rFonts w:ascii="Arial" w:hAnsi="Arial" w:cs="Arial"/>
          <w:sz w:val="20"/>
          <w:szCs w:val="20"/>
        </w:rPr>
        <w:t xml:space="preserve">- </w:t>
      </w:r>
      <w:r w:rsidR="001F17A3">
        <w:rPr>
          <w:rFonts w:ascii="Arial" w:hAnsi="Arial" w:cs="Arial"/>
          <w:sz w:val="20"/>
          <w:szCs w:val="20"/>
        </w:rPr>
        <w:tab/>
      </w:r>
      <w:r>
        <w:rPr>
          <w:rFonts w:ascii="Arial" w:hAnsi="Arial" w:cs="Arial"/>
          <w:sz w:val="20"/>
          <w:szCs w:val="20"/>
        </w:rPr>
        <w:t>při posuzování žádosti o prominutí odvodu/penále podanou podle</w:t>
      </w:r>
      <w:r w:rsidR="0015379B">
        <w:rPr>
          <w:rFonts w:ascii="Arial" w:hAnsi="Arial" w:cs="Arial"/>
          <w:sz w:val="20"/>
          <w:szCs w:val="20"/>
        </w:rPr>
        <w:t xml:space="preserve"> ust. § </w:t>
      </w:r>
      <w:r>
        <w:rPr>
          <w:rFonts w:ascii="Arial" w:hAnsi="Arial" w:cs="Arial"/>
          <w:sz w:val="20"/>
          <w:szCs w:val="20"/>
        </w:rPr>
        <w:t>22 odst. 14 zákona č. 250/2000 Sb.</w:t>
      </w:r>
    </w:p>
    <w:p w14:paraId="38729255" w14:textId="7C96285C" w:rsidR="00AE418A" w:rsidRDefault="001F17A3" w:rsidP="00BB149F">
      <w:pPr>
        <w:tabs>
          <w:tab w:val="left" w:pos="142"/>
        </w:tabs>
        <w:spacing w:after="0"/>
        <w:ind w:left="142" w:hanging="142"/>
        <w:jc w:val="both"/>
        <w:rPr>
          <w:rFonts w:ascii="Arial" w:hAnsi="Arial" w:cs="Arial"/>
          <w:sz w:val="20"/>
          <w:szCs w:val="20"/>
        </w:rPr>
      </w:pPr>
      <w:r>
        <w:rPr>
          <w:rFonts w:ascii="Arial" w:hAnsi="Arial" w:cs="Arial"/>
          <w:sz w:val="20"/>
          <w:szCs w:val="20"/>
        </w:rPr>
        <w:t>-</w:t>
      </w:r>
      <w:r>
        <w:rPr>
          <w:rFonts w:ascii="Arial" w:hAnsi="Arial" w:cs="Arial"/>
          <w:sz w:val="20"/>
          <w:szCs w:val="20"/>
        </w:rPr>
        <w:tab/>
      </w:r>
      <w:r w:rsidR="00AE418A">
        <w:rPr>
          <w:rFonts w:ascii="Arial" w:hAnsi="Arial" w:cs="Arial"/>
          <w:sz w:val="20"/>
          <w:szCs w:val="20"/>
        </w:rPr>
        <w:t>při posuzování žádosti o posečkání (posečkání úhrady nebo úhrada na splátky) podanou podle</w:t>
      </w:r>
      <w:r w:rsidR="0015379B">
        <w:rPr>
          <w:rFonts w:ascii="Arial" w:hAnsi="Arial" w:cs="Arial"/>
          <w:sz w:val="20"/>
          <w:szCs w:val="20"/>
        </w:rPr>
        <w:t xml:space="preserve"> ust. § </w:t>
      </w:r>
      <w:r w:rsidR="00AE418A">
        <w:rPr>
          <w:rFonts w:ascii="Arial" w:hAnsi="Arial" w:cs="Arial"/>
          <w:sz w:val="20"/>
          <w:szCs w:val="20"/>
        </w:rPr>
        <w:t xml:space="preserve">156 a násl. </w:t>
      </w:r>
      <w:r w:rsidR="00AE418A" w:rsidRPr="00AE418A">
        <w:rPr>
          <w:rFonts w:ascii="Arial" w:hAnsi="Arial" w:cs="Arial"/>
          <w:sz w:val="20"/>
          <w:szCs w:val="20"/>
        </w:rPr>
        <w:t>zákona č. 280/2009 Sb., daňový řád (dále jen „daňový řád“).</w:t>
      </w:r>
    </w:p>
    <w:p w14:paraId="1E64A1B2" w14:textId="77777777" w:rsidR="001F17A3" w:rsidRPr="00BB149F" w:rsidRDefault="001F17A3" w:rsidP="00BB149F">
      <w:pPr>
        <w:spacing w:after="0"/>
        <w:jc w:val="both"/>
        <w:rPr>
          <w:rFonts w:ascii="Arial" w:hAnsi="Arial" w:cs="Arial"/>
          <w:sz w:val="20"/>
          <w:szCs w:val="20"/>
        </w:rPr>
      </w:pPr>
    </w:p>
    <w:p w14:paraId="159BE2D6" w14:textId="37B765DB" w:rsidR="00A72B60" w:rsidRDefault="00AE418A" w:rsidP="00BB149F">
      <w:pPr>
        <w:spacing w:after="0"/>
        <w:jc w:val="both"/>
        <w:rPr>
          <w:rFonts w:ascii="Arial" w:hAnsi="Arial" w:cs="Arial"/>
          <w:sz w:val="20"/>
          <w:szCs w:val="20"/>
        </w:rPr>
      </w:pPr>
      <w:r w:rsidRPr="00AE418A">
        <w:rPr>
          <w:rFonts w:ascii="Arial" w:hAnsi="Arial" w:cs="Arial"/>
          <w:sz w:val="20"/>
          <w:szCs w:val="20"/>
        </w:rPr>
        <w:t xml:space="preserve">Stanovení snížených odvodů a méně závažných porušení </w:t>
      </w:r>
      <w:r w:rsidRPr="00742A4F">
        <w:rPr>
          <w:rFonts w:ascii="Arial" w:hAnsi="Arial" w:cs="Arial"/>
          <w:sz w:val="20"/>
          <w:szCs w:val="20"/>
        </w:rPr>
        <w:t>smlouvy</w:t>
      </w:r>
      <w:r w:rsidR="006D6037" w:rsidRPr="00BB149F">
        <w:rPr>
          <w:rFonts w:ascii="Arial" w:hAnsi="Arial" w:cs="Arial"/>
          <w:sz w:val="20"/>
          <w:szCs w:val="20"/>
        </w:rPr>
        <w:t xml:space="preserve"> byly projednány a </w:t>
      </w:r>
      <w:r w:rsidRPr="00BB149F">
        <w:rPr>
          <w:rFonts w:ascii="Arial" w:hAnsi="Arial" w:cs="Arial"/>
          <w:sz w:val="20"/>
          <w:szCs w:val="20"/>
        </w:rPr>
        <w:t>schváleny volenými orgány Hlavního města Praha (dále jen „MHP“)</w:t>
      </w:r>
      <w:r w:rsidR="006D6037" w:rsidRPr="00BB149F">
        <w:rPr>
          <w:rFonts w:ascii="Arial" w:hAnsi="Arial" w:cs="Arial"/>
          <w:sz w:val="20"/>
          <w:szCs w:val="20"/>
        </w:rPr>
        <w:t>.</w:t>
      </w:r>
    </w:p>
    <w:p w14:paraId="1859F5ED" w14:textId="77777777" w:rsidR="00A72B60" w:rsidRPr="00A72B60" w:rsidRDefault="00A72B60" w:rsidP="00AE4B2A">
      <w:pPr>
        <w:jc w:val="both"/>
        <w:rPr>
          <w:rFonts w:ascii="Arial" w:hAnsi="Arial" w:cs="Arial"/>
          <w:sz w:val="20"/>
          <w:szCs w:val="20"/>
        </w:rPr>
      </w:pPr>
    </w:p>
    <w:p w14:paraId="040BC0E8" w14:textId="6F888275" w:rsidR="006D6037" w:rsidRPr="0021330E" w:rsidRDefault="006D6037" w:rsidP="001F17A3">
      <w:pPr>
        <w:pStyle w:val="Nadpis1"/>
      </w:pPr>
      <w:bookmarkStart w:id="1" w:name="_Toc452637057"/>
      <w:bookmarkStart w:id="2" w:name="_Toc452644779"/>
      <w:bookmarkEnd w:id="1"/>
      <w:r w:rsidRPr="0021330E">
        <w:t xml:space="preserve">Definice porušení </w:t>
      </w:r>
      <w:r w:rsidRPr="00E0376A">
        <w:t>rozpočtové</w:t>
      </w:r>
      <w:r w:rsidRPr="0021330E">
        <w:t xml:space="preserve"> kázně </w:t>
      </w:r>
      <w:r w:rsidR="001F17A3">
        <w:t>ve smyslu</w:t>
      </w:r>
      <w:r w:rsidR="0015379B">
        <w:t xml:space="preserve"> ust. § </w:t>
      </w:r>
      <w:r w:rsidR="001F17A3">
        <w:t xml:space="preserve">22 </w:t>
      </w:r>
      <w:r w:rsidR="001F17A3" w:rsidRPr="001F17A3">
        <w:t>zákon</w:t>
      </w:r>
      <w:r w:rsidR="001F17A3">
        <w:t>a č. </w:t>
      </w:r>
      <w:r w:rsidR="001F17A3" w:rsidRPr="001F17A3">
        <w:t>250/2000 Sb</w:t>
      </w:r>
      <w:r w:rsidR="001F17A3">
        <w:t>.</w:t>
      </w:r>
      <w:bookmarkEnd w:id="2"/>
    </w:p>
    <w:p w14:paraId="217ED9FA" w14:textId="5C23D49B" w:rsidR="006D6037" w:rsidRPr="0021330E" w:rsidRDefault="006D6037" w:rsidP="00AE4B2A">
      <w:pPr>
        <w:jc w:val="both"/>
        <w:rPr>
          <w:rFonts w:ascii="Arial" w:hAnsi="Arial" w:cs="Arial"/>
          <w:sz w:val="20"/>
          <w:szCs w:val="20"/>
        </w:rPr>
      </w:pPr>
      <w:r w:rsidRPr="0021330E">
        <w:rPr>
          <w:rFonts w:ascii="Arial" w:hAnsi="Arial" w:cs="Arial"/>
          <w:sz w:val="20"/>
          <w:szCs w:val="20"/>
        </w:rPr>
        <w:t>V souladu s ustanovením</w:t>
      </w:r>
      <w:r w:rsidR="0015379B">
        <w:rPr>
          <w:rFonts w:ascii="Arial" w:hAnsi="Arial" w:cs="Arial"/>
          <w:sz w:val="20"/>
          <w:szCs w:val="20"/>
        </w:rPr>
        <w:t xml:space="preserve"> ust. § </w:t>
      </w:r>
      <w:r w:rsidRPr="0021330E">
        <w:rPr>
          <w:rFonts w:ascii="Arial" w:hAnsi="Arial" w:cs="Arial"/>
          <w:sz w:val="20"/>
          <w:szCs w:val="20"/>
        </w:rPr>
        <w:t xml:space="preserve">22 odst. 1 zákona č. 250/2000 Sb. je porušením rozpočtové kázně </w:t>
      </w:r>
      <w:r w:rsidRPr="0021330E">
        <w:rPr>
          <w:rFonts w:ascii="Arial" w:hAnsi="Arial" w:cs="Arial"/>
          <w:b/>
          <w:sz w:val="20"/>
          <w:szCs w:val="20"/>
        </w:rPr>
        <w:t xml:space="preserve">každé neoprávněné použití nebo zadržení peněžních prostředků </w:t>
      </w:r>
      <w:r w:rsidRPr="0021330E">
        <w:rPr>
          <w:rFonts w:ascii="Arial" w:hAnsi="Arial" w:cs="Arial"/>
          <w:sz w:val="20"/>
          <w:szCs w:val="20"/>
        </w:rPr>
        <w:t xml:space="preserve">poskytnutých jako dotace z rozpočtu Hlavního města Prahy. </w:t>
      </w:r>
    </w:p>
    <w:p w14:paraId="1A7D19D3" w14:textId="49A2FD49" w:rsidR="006D6037" w:rsidRPr="0021330E" w:rsidRDefault="006D6037" w:rsidP="00AE4B2A">
      <w:pPr>
        <w:jc w:val="both"/>
        <w:rPr>
          <w:rFonts w:ascii="Arial" w:hAnsi="Arial" w:cs="Arial"/>
          <w:sz w:val="20"/>
          <w:szCs w:val="20"/>
        </w:rPr>
      </w:pPr>
      <w:r w:rsidRPr="0021330E">
        <w:rPr>
          <w:rFonts w:ascii="Arial" w:hAnsi="Arial" w:cs="Arial"/>
          <w:sz w:val="20"/>
          <w:szCs w:val="20"/>
        </w:rPr>
        <w:t>V souladu s ustanovením</w:t>
      </w:r>
      <w:r w:rsidR="0015379B">
        <w:rPr>
          <w:rFonts w:ascii="Arial" w:hAnsi="Arial" w:cs="Arial"/>
          <w:sz w:val="20"/>
          <w:szCs w:val="20"/>
        </w:rPr>
        <w:t xml:space="preserve"> ust. § </w:t>
      </w:r>
      <w:r w:rsidRPr="0021330E">
        <w:rPr>
          <w:rFonts w:ascii="Arial" w:hAnsi="Arial" w:cs="Arial"/>
          <w:sz w:val="20"/>
          <w:szCs w:val="20"/>
        </w:rPr>
        <w:t xml:space="preserve">22 odst. 2 zákona č. 250/2000 Sb. je neoprávněným použitím peněžních prostředků z rozpočtu Hlavního města Prahy jejich použití, kterým byla porušena povinnost stanovená právním předpisem, přímo použitelným předpisem Evropské unie nebo veřejnoprávní smlouvou. </w:t>
      </w:r>
      <w:r w:rsidRPr="0021330E">
        <w:rPr>
          <w:rFonts w:ascii="Arial" w:hAnsi="Arial" w:cs="Arial"/>
          <w:b/>
          <w:sz w:val="20"/>
          <w:szCs w:val="20"/>
        </w:rPr>
        <w:t>Dnem porušení rozpočtové kázně je den, kdy byly poskytnuté peněžní prostředky neoprávněně použity nebo den jejich připsání na účet příjemce</w:t>
      </w:r>
      <w:r w:rsidRPr="0021330E">
        <w:rPr>
          <w:rFonts w:ascii="Arial" w:hAnsi="Arial" w:cs="Arial"/>
          <w:sz w:val="20"/>
          <w:szCs w:val="20"/>
        </w:rPr>
        <w:t xml:space="preserve"> u dotací poskytovaných zpětně. </w:t>
      </w:r>
    </w:p>
    <w:p w14:paraId="4C546A80" w14:textId="77777777" w:rsidR="006D6037" w:rsidRPr="0021330E" w:rsidRDefault="006D6037" w:rsidP="00BB149F">
      <w:pPr>
        <w:spacing w:after="0"/>
        <w:jc w:val="both"/>
        <w:rPr>
          <w:rFonts w:ascii="Arial" w:hAnsi="Arial" w:cs="Arial"/>
          <w:sz w:val="20"/>
          <w:szCs w:val="20"/>
        </w:rPr>
      </w:pPr>
      <w:r w:rsidRPr="0021330E">
        <w:rPr>
          <w:rFonts w:ascii="Arial" w:hAnsi="Arial" w:cs="Arial"/>
          <w:sz w:val="20"/>
          <w:szCs w:val="20"/>
        </w:rPr>
        <w:t xml:space="preserve">Za neoprávněné použití peněžních prostředků se považuje také: </w:t>
      </w:r>
    </w:p>
    <w:p w14:paraId="5D8688D7" w14:textId="09490CFD" w:rsidR="006D6037" w:rsidRPr="0021330E" w:rsidRDefault="006D6037" w:rsidP="00BB149F">
      <w:pPr>
        <w:tabs>
          <w:tab w:val="left" w:pos="284"/>
        </w:tabs>
        <w:spacing w:after="0"/>
        <w:ind w:left="284" w:hanging="284"/>
        <w:jc w:val="both"/>
        <w:rPr>
          <w:rFonts w:ascii="Arial" w:hAnsi="Arial" w:cs="Arial"/>
          <w:sz w:val="20"/>
          <w:szCs w:val="20"/>
        </w:rPr>
      </w:pPr>
      <w:r w:rsidRPr="0021330E">
        <w:rPr>
          <w:rFonts w:ascii="Arial" w:hAnsi="Arial" w:cs="Arial"/>
          <w:sz w:val="20"/>
          <w:szCs w:val="20"/>
        </w:rPr>
        <w:t>a)</w:t>
      </w:r>
      <w:r w:rsidR="001F17A3">
        <w:rPr>
          <w:rFonts w:ascii="Arial" w:hAnsi="Arial" w:cs="Arial"/>
          <w:sz w:val="20"/>
          <w:szCs w:val="20"/>
        </w:rPr>
        <w:tab/>
      </w:r>
      <w:r w:rsidRPr="0021330E">
        <w:rPr>
          <w:rFonts w:ascii="Arial" w:hAnsi="Arial" w:cs="Arial"/>
          <w:sz w:val="20"/>
          <w:szCs w:val="20"/>
        </w:rPr>
        <w:t>porušení povinnosti, která souvisí s účelem, na který byly peněžní prostředky poskytnuty, stanovené právním předpisem, přímo použitelným předpisem Evropské unie, veřejnoprávní smlouvou nebo při poskytnutí peněžních prostředků, ke kterému došlo po připsání peněžních prostředků na účet příjemce</w:t>
      </w:r>
      <w:r w:rsidRPr="0021330E">
        <w:rPr>
          <w:rFonts w:ascii="Arial" w:hAnsi="Arial" w:cs="Arial"/>
          <w:sz w:val="20"/>
          <w:szCs w:val="20"/>
          <w:lang w:val="en-US"/>
        </w:rPr>
        <w:t>;</w:t>
      </w:r>
    </w:p>
    <w:p w14:paraId="0D3C7FDE" w14:textId="52840EAA" w:rsidR="006D6037" w:rsidRPr="0021330E" w:rsidRDefault="006D6037" w:rsidP="00BB149F">
      <w:pPr>
        <w:tabs>
          <w:tab w:val="left" w:pos="284"/>
        </w:tabs>
        <w:spacing w:after="0"/>
        <w:ind w:left="284" w:hanging="284"/>
        <w:jc w:val="both"/>
        <w:rPr>
          <w:rFonts w:ascii="Arial" w:hAnsi="Arial" w:cs="Arial"/>
          <w:sz w:val="20"/>
          <w:szCs w:val="20"/>
        </w:rPr>
      </w:pPr>
      <w:r w:rsidRPr="0021330E">
        <w:rPr>
          <w:rFonts w:ascii="Arial" w:hAnsi="Arial" w:cs="Arial"/>
          <w:sz w:val="20"/>
          <w:szCs w:val="20"/>
        </w:rPr>
        <w:t>b)</w:t>
      </w:r>
      <w:r w:rsidR="001F17A3">
        <w:rPr>
          <w:rFonts w:ascii="Arial" w:hAnsi="Arial" w:cs="Arial"/>
          <w:sz w:val="20"/>
          <w:szCs w:val="20"/>
        </w:rPr>
        <w:tab/>
      </w:r>
      <w:r w:rsidRPr="0021330E">
        <w:rPr>
          <w:rFonts w:ascii="Arial" w:hAnsi="Arial" w:cs="Arial"/>
          <w:sz w:val="20"/>
          <w:szCs w:val="20"/>
        </w:rPr>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14:paraId="6502205E" w14:textId="2F3377E9" w:rsidR="006D6037" w:rsidRPr="0021330E" w:rsidRDefault="006D6037" w:rsidP="00BB149F">
      <w:pPr>
        <w:tabs>
          <w:tab w:val="left" w:pos="284"/>
        </w:tabs>
        <w:spacing w:after="0"/>
        <w:ind w:left="284" w:hanging="284"/>
        <w:jc w:val="both"/>
        <w:rPr>
          <w:rFonts w:ascii="Arial" w:hAnsi="Arial" w:cs="Arial"/>
          <w:sz w:val="20"/>
          <w:szCs w:val="20"/>
        </w:rPr>
      </w:pPr>
      <w:r w:rsidRPr="0021330E">
        <w:rPr>
          <w:rFonts w:ascii="Arial" w:hAnsi="Arial" w:cs="Arial"/>
          <w:sz w:val="20"/>
          <w:szCs w:val="20"/>
        </w:rPr>
        <w:t>c)</w:t>
      </w:r>
      <w:r w:rsidR="001F17A3">
        <w:rPr>
          <w:rFonts w:ascii="Arial" w:hAnsi="Arial" w:cs="Arial"/>
          <w:sz w:val="20"/>
          <w:szCs w:val="20"/>
        </w:rPr>
        <w:tab/>
      </w:r>
      <w:r w:rsidRPr="0021330E">
        <w:rPr>
          <w:rFonts w:ascii="Arial" w:hAnsi="Arial" w:cs="Arial"/>
          <w:sz w:val="20"/>
          <w:szCs w:val="20"/>
        </w:rPr>
        <w:t xml:space="preserve">neprokáže-li příjemce peněžních prostředků, jak byly tyto prostředky použity. </w:t>
      </w:r>
    </w:p>
    <w:p w14:paraId="1DA0A33F" w14:textId="77777777" w:rsidR="001F17A3" w:rsidRDefault="001F17A3" w:rsidP="00BB149F">
      <w:pPr>
        <w:spacing w:after="0"/>
        <w:jc w:val="both"/>
        <w:rPr>
          <w:rFonts w:ascii="Arial" w:hAnsi="Arial" w:cs="Arial"/>
          <w:sz w:val="20"/>
          <w:szCs w:val="20"/>
        </w:rPr>
      </w:pPr>
    </w:p>
    <w:p w14:paraId="36A36D59" w14:textId="77777777" w:rsidR="006D6037" w:rsidRPr="0021330E" w:rsidRDefault="006D6037" w:rsidP="00BB149F">
      <w:pPr>
        <w:spacing w:after="0"/>
        <w:jc w:val="both"/>
        <w:rPr>
          <w:rFonts w:ascii="Arial" w:hAnsi="Arial" w:cs="Arial"/>
          <w:sz w:val="20"/>
          <w:szCs w:val="20"/>
        </w:rPr>
      </w:pPr>
      <w:r w:rsidRPr="0021330E">
        <w:rPr>
          <w:rFonts w:ascii="Arial" w:hAnsi="Arial" w:cs="Arial"/>
          <w:sz w:val="20"/>
          <w:szCs w:val="20"/>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36A6B16B" w14:textId="77777777" w:rsidR="006D6037" w:rsidRPr="0021330E" w:rsidRDefault="006D6037" w:rsidP="00AE4B2A">
      <w:pPr>
        <w:pStyle w:val="Default"/>
        <w:jc w:val="both"/>
        <w:rPr>
          <w:sz w:val="20"/>
          <w:szCs w:val="20"/>
        </w:rPr>
      </w:pPr>
    </w:p>
    <w:p w14:paraId="33F137A7" w14:textId="77777777" w:rsidR="006D6037" w:rsidRPr="0021330E" w:rsidRDefault="006D6037">
      <w:pPr>
        <w:pStyle w:val="Nadpis2"/>
      </w:pPr>
      <w:bookmarkStart w:id="3" w:name="_Toc452644780"/>
      <w:r w:rsidRPr="00E0376A">
        <w:t>Závažné</w:t>
      </w:r>
      <w:r w:rsidRPr="0021330E">
        <w:t xml:space="preserve"> a méně závažné porušení</w:t>
      </w:r>
      <w:bookmarkEnd w:id="3"/>
    </w:p>
    <w:p w14:paraId="47F0DD15" w14:textId="0B53BB1D" w:rsidR="006D6037" w:rsidRPr="0021330E" w:rsidRDefault="006D6037" w:rsidP="00AE4B2A">
      <w:pPr>
        <w:jc w:val="both"/>
        <w:rPr>
          <w:rFonts w:ascii="Arial" w:hAnsi="Arial" w:cs="Arial"/>
          <w:sz w:val="20"/>
          <w:szCs w:val="20"/>
        </w:rPr>
      </w:pPr>
      <w:r w:rsidRPr="0021330E">
        <w:rPr>
          <w:rFonts w:ascii="Arial" w:hAnsi="Arial" w:cs="Arial"/>
          <w:sz w:val="20"/>
          <w:szCs w:val="20"/>
        </w:rPr>
        <w:t>Ve smyslu ust.</w:t>
      </w:r>
      <w:r w:rsidR="0015379B">
        <w:rPr>
          <w:rFonts w:ascii="Arial" w:hAnsi="Arial" w:cs="Arial"/>
          <w:sz w:val="20"/>
          <w:szCs w:val="20"/>
        </w:rPr>
        <w:t xml:space="preserve"> § </w:t>
      </w:r>
      <w:r w:rsidRPr="0021330E">
        <w:rPr>
          <w:rFonts w:ascii="Arial" w:hAnsi="Arial" w:cs="Arial"/>
          <w:sz w:val="20"/>
          <w:szCs w:val="20"/>
        </w:rPr>
        <w:t xml:space="preserve">10a odst. 6 zákona č. 250/2000 Sb., jsou jako </w:t>
      </w:r>
      <w:r w:rsidRPr="0021330E">
        <w:rPr>
          <w:rFonts w:ascii="Arial" w:hAnsi="Arial" w:cs="Arial"/>
          <w:b/>
          <w:sz w:val="20"/>
          <w:szCs w:val="20"/>
        </w:rPr>
        <w:t>méně závažná</w:t>
      </w:r>
      <w:r w:rsidRPr="0021330E">
        <w:rPr>
          <w:rFonts w:ascii="Arial" w:hAnsi="Arial" w:cs="Arial"/>
          <w:sz w:val="20"/>
          <w:szCs w:val="20"/>
        </w:rPr>
        <w:t xml:space="preserve"> porušení považována pouze vymezená pochybení uvedená v příloze č. 2 těchto postupů, u nichž </w:t>
      </w:r>
      <w:r w:rsidRPr="0021330E">
        <w:rPr>
          <w:rFonts w:ascii="Arial" w:hAnsi="Arial" w:cs="Arial"/>
          <w:b/>
          <w:sz w:val="20"/>
          <w:szCs w:val="20"/>
        </w:rPr>
        <w:t>je stanovena sazba nižšího odvodu</w:t>
      </w:r>
      <w:r>
        <w:rPr>
          <w:rFonts w:ascii="Arial" w:hAnsi="Arial" w:cs="Arial"/>
          <w:b/>
          <w:sz w:val="20"/>
          <w:szCs w:val="20"/>
        </w:rPr>
        <w:t xml:space="preserve"> </w:t>
      </w:r>
      <w:r w:rsidRPr="0021330E">
        <w:rPr>
          <w:rFonts w:ascii="Arial" w:hAnsi="Arial" w:cs="Arial"/>
          <w:sz w:val="20"/>
          <w:szCs w:val="20"/>
        </w:rPr>
        <w:t>(dle ust.</w:t>
      </w:r>
      <w:r w:rsidR="0015379B">
        <w:rPr>
          <w:rFonts w:ascii="Arial" w:hAnsi="Arial" w:cs="Arial"/>
          <w:sz w:val="20"/>
          <w:szCs w:val="20"/>
        </w:rPr>
        <w:t xml:space="preserve"> § </w:t>
      </w:r>
      <w:r w:rsidRPr="0021330E">
        <w:rPr>
          <w:rFonts w:ascii="Arial" w:hAnsi="Arial" w:cs="Arial"/>
          <w:sz w:val="20"/>
          <w:szCs w:val="20"/>
        </w:rPr>
        <w:t xml:space="preserve">10a odst. 5 písm. i) zákona č. 250/2000 Sb.). To znamená, že lze uložit nižší odvod (nižší než 100 %), než odvod, který odpovídá výši neoprávněně použitých nebo zadržených peněžních prostředků. </w:t>
      </w:r>
    </w:p>
    <w:p w14:paraId="7E5E392E" w14:textId="77777777" w:rsidR="006D6037" w:rsidRDefault="006D6037" w:rsidP="00AE4B2A">
      <w:pPr>
        <w:jc w:val="both"/>
      </w:pPr>
      <w:r w:rsidRPr="00BF772D">
        <w:rPr>
          <w:b/>
        </w:rPr>
        <w:t>U</w:t>
      </w:r>
      <w:r w:rsidRPr="00BF772D">
        <w:t xml:space="preserve"> </w:t>
      </w:r>
      <w:r w:rsidRPr="00BF772D">
        <w:rPr>
          <w:b/>
        </w:rPr>
        <w:t>závažných pochybení</w:t>
      </w:r>
      <w:r>
        <w:t xml:space="preserve"> </w:t>
      </w:r>
      <w:r w:rsidRPr="00BF772D">
        <w:rPr>
          <w:b/>
        </w:rPr>
        <w:t>nelze stanovit nižší odvod</w:t>
      </w:r>
      <w:r>
        <w:t xml:space="preserve">. </w:t>
      </w:r>
      <w:r w:rsidRPr="00BF772D">
        <w:t>V takových případech činí sazba odvodu 100 %</w:t>
      </w:r>
      <w:r>
        <w:t>.</w:t>
      </w:r>
      <w:r w:rsidRPr="00BF772D">
        <w:t xml:space="preserve"> </w:t>
      </w:r>
    </w:p>
    <w:p w14:paraId="7FC48FA5" w14:textId="77777777" w:rsidR="006D6037" w:rsidRDefault="001F17A3" w:rsidP="00BB149F">
      <w:pPr>
        <w:pStyle w:val="Nadpis2"/>
      </w:pPr>
      <w:bookmarkStart w:id="4" w:name="_Toc452644781"/>
      <w:r>
        <w:t>Nápravná opatření</w:t>
      </w:r>
      <w:bookmarkEnd w:id="4"/>
    </w:p>
    <w:p w14:paraId="32C7A98C" w14:textId="25AA6D9A" w:rsidR="00D517FF" w:rsidRDefault="00D517FF" w:rsidP="00BB149F">
      <w:pPr>
        <w:jc w:val="both"/>
      </w:pPr>
      <w:r>
        <w:t>V případě, že povaha zjištění vycházející z kontroly</w:t>
      </w:r>
      <w:r>
        <w:rPr>
          <w:rStyle w:val="Znakapoznpodarou"/>
        </w:rPr>
        <w:footnoteReference w:id="1"/>
      </w:r>
      <w:r>
        <w:t xml:space="preserve"> </w:t>
      </w:r>
      <w:r w:rsidRPr="00D517FF">
        <w:t xml:space="preserve">umožňuje nápravu, poskytovatel </w:t>
      </w:r>
      <w:r>
        <w:t>v souladu s</w:t>
      </w:r>
      <w:r w:rsidR="0015379B">
        <w:t xml:space="preserve"> ust. § </w:t>
      </w:r>
      <w:r>
        <w:t xml:space="preserve">22 odst. 6 zákona č. 250/2000 Sb. </w:t>
      </w:r>
      <w:r w:rsidRPr="00D517FF">
        <w:t xml:space="preserve">písemně vyzve příjemce k provedení opatření k nápravě ve stanovené lhůtě. </w:t>
      </w:r>
      <w:r>
        <w:t>V</w:t>
      </w:r>
      <w:r w:rsidRPr="00D517FF">
        <w:t xml:space="preserve"> případě, že povaha zjištění nápravu neumožňuje či došlo k porušení povinností nebo právních předpisů, které souvisí s účelem poskytnuté dotace, vyzve poskytovatel</w:t>
      </w:r>
      <w:r>
        <w:t xml:space="preserve"> příjemce k navrácení dotace či </w:t>
      </w:r>
      <w:r w:rsidRPr="00D517FF">
        <w:t>její části ve stanovené lhůtě</w:t>
      </w:r>
      <w:r>
        <w:t xml:space="preserve"> podle těchto Snížených odvodů</w:t>
      </w:r>
      <w:r w:rsidRPr="00D517FF">
        <w:t xml:space="preserve">. </w:t>
      </w:r>
      <w:r>
        <w:t>V</w:t>
      </w:r>
      <w:r w:rsidRPr="00D517FF">
        <w:t xml:space="preserve"> rozsahu, v jakém provedl příjemce nápravu/navrátil dotaci nebo její část, platí, že nedošlo k porušení rozpočtové kázně.</w:t>
      </w:r>
    </w:p>
    <w:p w14:paraId="30C03C66" w14:textId="77777777" w:rsidR="001F17A3" w:rsidRDefault="001F17A3" w:rsidP="00AE4B2A">
      <w:pPr>
        <w:pStyle w:val="Default"/>
        <w:jc w:val="both"/>
        <w:rPr>
          <w:b/>
          <w:bCs/>
          <w:sz w:val="26"/>
          <w:szCs w:val="26"/>
        </w:rPr>
      </w:pPr>
    </w:p>
    <w:p w14:paraId="59D9D50B" w14:textId="68F9B908" w:rsidR="006D6037" w:rsidRPr="000D35F3" w:rsidRDefault="006D6037" w:rsidP="00AE4B2A">
      <w:pPr>
        <w:pStyle w:val="Nadpis1"/>
      </w:pPr>
      <w:bookmarkStart w:id="5" w:name="_Toc452644782"/>
      <w:r w:rsidRPr="000D35F3">
        <w:t>Postup při porušení rozpočtové kázně</w:t>
      </w:r>
      <w:bookmarkEnd w:id="5"/>
    </w:p>
    <w:p w14:paraId="14CEE57C" w14:textId="571D3DC3" w:rsidR="007F2B9C" w:rsidRDefault="006D6037" w:rsidP="007F2B9C">
      <w:pPr>
        <w:jc w:val="both"/>
        <w:rPr>
          <w:rFonts w:ascii="Arial" w:hAnsi="Arial" w:cs="Arial"/>
          <w:sz w:val="20"/>
          <w:szCs w:val="20"/>
        </w:rPr>
      </w:pPr>
      <w:r w:rsidRPr="0021330E">
        <w:rPr>
          <w:rFonts w:ascii="Arial" w:hAnsi="Arial" w:cs="Arial"/>
          <w:sz w:val="20"/>
          <w:szCs w:val="20"/>
        </w:rPr>
        <w:t xml:space="preserve">Porušení rozpočtové kázně </w:t>
      </w:r>
      <w:r w:rsidR="00D517FF">
        <w:rPr>
          <w:rFonts w:ascii="Arial" w:hAnsi="Arial" w:cs="Arial"/>
          <w:sz w:val="20"/>
          <w:szCs w:val="20"/>
        </w:rPr>
        <w:t>podle</w:t>
      </w:r>
      <w:r w:rsidR="0015379B">
        <w:rPr>
          <w:rFonts w:ascii="Arial" w:hAnsi="Arial" w:cs="Arial"/>
          <w:sz w:val="20"/>
          <w:szCs w:val="20"/>
        </w:rPr>
        <w:t xml:space="preserve"> ust. § </w:t>
      </w:r>
      <w:r w:rsidR="00D517FF">
        <w:rPr>
          <w:rFonts w:ascii="Arial" w:hAnsi="Arial" w:cs="Arial"/>
          <w:sz w:val="20"/>
          <w:szCs w:val="20"/>
        </w:rPr>
        <w:t xml:space="preserve">22 zákona č. 250/2000 Sb. </w:t>
      </w:r>
      <w:r w:rsidRPr="0021330E">
        <w:rPr>
          <w:rFonts w:ascii="Arial" w:hAnsi="Arial" w:cs="Arial"/>
          <w:sz w:val="20"/>
          <w:szCs w:val="20"/>
        </w:rPr>
        <w:t>(</w:t>
      </w:r>
      <w:r w:rsidR="00D517FF">
        <w:rPr>
          <w:rFonts w:ascii="Arial" w:hAnsi="Arial" w:cs="Arial"/>
          <w:sz w:val="20"/>
          <w:szCs w:val="20"/>
        </w:rPr>
        <w:t>dále také „</w:t>
      </w:r>
      <w:r w:rsidRPr="0021330E">
        <w:rPr>
          <w:rFonts w:ascii="Arial" w:hAnsi="Arial" w:cs="Arial"/>
          <w:sz w:val="20"/>
          <w:szCs w:val="20"/>
        </w:rPr>
        <w:t>PRK</w:t>
      </w:r>
      <w:r w:rsidR="00D517FF">
        <w:rPr>
          <w:rFonts w:ascii="Arial" w:hAnsi="Arial" w:cs="Arial"/>
          <w:sz w:val="20"/>
          <w:szCs w:val="20"/>
        </w:rPr>
        <w:t>“</w:t>
      </w:r>
      <w:r w:rsidRPr="0021330E">
        <w:rPr>
          <w:rFonts w:ascii="Arial" w:hAnsi="Arial" w:cs="Arial"/>
          <w:sz w:val="20"/>
          <w:szCs w:val="20"/>
        </w:rPr>
        <w:t xml:space="preserve">) konstatuje </w:t>
      </w:r>
      <w:r w:rsidR="00D517FF">
        <w:rPr>
          <w:rFonts w:ascii="Arial" w:hAnsi="Arial" w:cs="Arial"/>
          <w:sz w:val="20"/>
          <w:szCs w:val="20"/>
        </w:rPr>
        <w:t>Magistrát hl. m. Prahy</w:t>
      </w:r>
      <w:r w:rsidRPr="0021330E">
        <w:rPr>
          <w:rFonts w:ascii="Arial" w:hAnsi="Arial" w:cs="Arial"/>
          <w:sz w:val="20"/>
          <w:szCs w:val="20"/>
        </w:rPr>
        <w:t xml:space="preserve"> </w:t>
      </w:r>
      <w:r w:rsidR="00D517FF">
        <w:rPr>
          <w:rFonts w:ascii="Arial" w:hAnsi="Arial" w:cs="Arial"/>
          <w:sz w:val="20"/>
          <w:szCs w:val="20"/>
        </w:rPr>
        <w:t xml:space="preserve">(dále také „MHMP“) </w:t>
      </w:r>
      <w:r w:rsidR="007F2B9C">
        <w:rPr>
          <w:rFonts w:ascii="Arial" w:hAnsi="Arial" w:cs="Arial"/>
          <w:sz w:val="20"/>
          <w:szCs w:val="20"/>
        </w:rPr>
        <w:t xml:space="preserve">prostřednictvím rozhodnutí – platebního výměru na </w:t>
      </w:r>
      <w:r w:rsidR="007F2B9C" w:rsidRPr="007F2B9C">
        <w:rPr>
          <w:rFonts w:ascii="Arial" w:hAnsi="Arial" w:cs="Arial"/>
          <w:sz w:val="20"/>
          <w:szCs w:val="20"/>
        </w:rPr>
        <w:t>odvod ve věci porušení rozpočtové kázně</w:t>
      </w:r>
      <w:r w:rsidR="007F2B9C">
        <w:rPr>
          <w:rFonts w:ascii="Arial" w:hAnsi="Arial" w:cs="Arial"/>
          <w:sz w:val="20"/>
          <w:szCs w:val="20"/>
        </w:rPr>
        <w:t xml:space="preserve"> (dále také „platební výměr na odvod“)</w:t>
      </w:r>
      <w:r w:rsidRPr="0021330E">
        <w:rPr>
          <w:rFonts w:ascii="Arial" w:hAnsi="Arial" w:cs="Arial"/>
          <w:sz w:val="20"/>
          <w:szCs w:val="20"/>
        </w:rPr>
        <w:t xml:space="preserve">. </w:t>
      </w:r>
    </w:p>
    <w:p w14:paraId="60467B65" w14:textId="0105347B" w:rsidR="007F2B9C" w:rsidRPr="0021330E" w:rsidRDefault="007F2B9C" w:rsidP="007F2B9C">
      <w:pPr>
        <w:jc w:val="both"/>
        <w:rPr>
          <w:rFonts w:ascii="Arial" w:hAnsi="Arial" w:cs="Arial"/>
          <w:sz w:val="20"/>
          <w:szCs w:val="20"/>
        </w:rPr>
      </w:pPr>
      <w:r w:rsidRPr="0021330E">
        <w:rPr>
          <w:rFonts w:ascii="Arial" w:hAnsi="Arial" w:cs="Arial"/>
          <w:sz w:val="20"/>
          <w:szCs w:val="20"/>
        </w:rPr>
        <w:t>Odvod a penále podle ust.</w:t>
      </w:r>
      <w:r w:rsidR="0015379B">
        <w:rPr>
          <w:rFonts w:ascii="Arial" w:hAnsi="Arial" w:cs="Arial"/>
          <w:sz w:val="20"/>
          <w:szCs w:val="20"/>
        </w:rPr>
        <w:t xml:space="preserve"> § </w:t>
      </w:r>
      <w:r w:rsidRPr="0021330E">
        <w:rPr>
          <w:rFonts w:ascii="Arial" w:hAnsi="Arial" w:cs="Arial"/>
          <w:sz w:val="20"/>
          <w:szCs w:val="20"/>
        </w:rPr>
        <w:t>22 odstavců 4-8 lze uložit do 10 let počítaných od 1. ledna roku následujícího po roce, v němž došlo k porušen</w:t>
      </w:r>
      <w:bookmarkStart w:id="6" w:name="_GoBack"/>
      <w:bookmarkEnd w:id="6"/>
      <w:r w:rsidRPr="0021330E">
        <w:rPr>
          <w:rFonts w:ascii="Arial" w:hAnsi="Arial" w:cs="Arial"/>
          <w:sz w:val="20"/>
          <w:szCs w:val="20"/>
        </w:rPr>
        <w:t xml:space="preserve">í rozpočtové kázně. </w:t>
      </w:r>
    </w:p>
    <w:p w14:paraId="4888A67A" w14:textId="77777777" w:rsidR="006D6037" w:rsidRPr="004E0628" w:rsidRDefault="006D6037">
      <w:pPr>
        <w:pStyle w:val="Nadpis2"/>
      </w:pPr>
      <w:bookmarkStart w:id="7" w:name="_Toc452637062"/>
      <w:bookmarkStart w:id="8" w:name="_Toc452637066"/>
      <w:bookmarkEnd w:id="7"/>
      <w:bookmarkEnd w:id="8"/>
      <w:r w:rsidRPr="004E0628">
        <w:t xml:space="preserve"> </w:t>
      </w:r>
      <w:bookmarkStart w:id="9" w:name="_Toc452644783"/>
      <w:r w:rsidRPr="004E0628">
        <w:t>Platební výměr na odvod</w:t>
      </w:r>
      <w:bookmarkEnd w:id="9"/>
    </w:p>
    <w:p w14:paraId="3D677DCC" w14:textId="114294A9" w:rsidR="006D6037" w:rsidRPr="0021330E" w:rsidRDefault="007F2B9C" w:rsidP="00AE4B2A">
      <w:pPr>
        <w:jc w:val="both"/>
        <w:rPr>
          <w:rFonts w:ascii="Arial" w:hAnsi="Arial" w:cs="Arial"/>
          <w:sz w:val="20"/>
          <w:szCs w:val="20"/>
        </w:rPr>
      </w:pPr>
      <w:r>
        <w:rPr>
          <w:rFonts w:ascii="Arial" w:hAnsi="Arial" w:cs="Arial"/>
          <w:sz w:val="20"/>
          <w:szCs w:val="20"/>
        </w:rPr>
        <w:t>Platební výměr je rozhodnutím podle</w:t>
      </w:r>
      <w:r w:rsidR="0015379B">
        <w:rPr>
          <w:rFonts w:ascii="Arial" w:hAnsi="Arial" w:cs="Arial"/>
          <w:sz w:val="20"/>
          <w:szCs w:val="20"/>
        </w:rPr>
        <w:t xml:space="preserve"> ust. § </w:t>
      </w:r>
      <w:r>
        <w:rPr>
          <w:rFonts w:ascii="Arial" w:hAnsi="Arial" w:cs="Arial"/>
          <w:sz w:val="20"/>
          <w:szCs w:val="20"/>
        </w:rPr>
        <w:t xml:space="preserve">101 daňového řádu, </w:t>
      </w:r>
      <w:r w:rsidR="00742A4F">
        <w:rPr>
          <w:rFonts w:ascii="Arial" w:hAnsi="Arial" w:cs="Arial"/>
          <w:sz w:val="20"/>
          <w:szCs w:val="20"/>
        </w:rPr>
        <w:t>ve kterém</w:t>
      </w:r>
      <w:r>
        <w:rPr>
          <w:rFonts w:ascii="Arial" w:hAnsi="Arial" w:cs="Arial"/>
          <w:sz w:val="20"/>
          <w:szCs w:val="20"/>
        </w:rPr>
        <w:t xml:space="preserve"> je uveden výrok rozhodnutí</w:t>
      </w:r>
      <w:r w:rsidR="00742A4F">
        <w:rPr>
          <w:rFonts w:ascii="Arial" w:hAnsi="Arial" w:cs="Arial"/>
          <w:sz w:val="20"/>
          <w:szCs w:val="20"/>
        </w:rPr>
        <w:t xml:space="preserve"> včetně výše odvodu, </w:t>
      </w:r>
      <w:r w:rsidR="00742A4F" w:rsidRPr="0021330E">
        <w:rPr>
          <w:rFonts w:ascii="Arial" w:hAnsi="Arial" w:cs="Arial"/>
          <w:sz w:val="20"/>
          <w:szCs w:val="20"/>
        </w:rPr>
        <w:t>odůvodnění</w:t>
      </w:r>
      <w:r w:rsidR="00742A4F">
        <w:rPr>
          <w:rFonts w:ascii="Arial" w:hAnsi="Arial" w:cs="Arial"/>
          <w:sz w:val="20"/>
          <w:szCs w:val="20"/>
        </w:rPr>
        <w:t xml:space="preserve">, lhůty právní moci a splatnosti, poučení o opravných prostředcích, informaci, </w:t>
      </w:r>
      <w:r w:rsidR="00742A4F" w:rsidRPr="0021330E">
        <w:rPr>
          <w:rFonts w:ascii="Arial" w:hAnsi="Arial" w:cs="Arial"/>
          <w:sz w:val="20"/>
          <w:szCs w:val="20"/>
        </w:rPr>
        <w:t xml:space="preserve">že po zaplacení odvodu může být vydán </w:t>
      </w:r>
      <w:r w:rsidR="00742A4F">
        <w:rPr>
          <w:rFonts w:ascii="Arial" w:hAnsi="Arial" w:cs="Arial"/>
          <w:sz w:val="20"/>
          <w:szCs w:val="20"/>
        </w:rPr>
        <w:t>p</w:t>
      </w:r>
      <w:r w:rsidR="00742A4F" w:rsidRPr="0021330E">
        <w:rPr>
          <w:rFonts w:ascii="Arial" w:hAnsi="Arial" w:cs="Arial"/>
          <w:sz w:val="20"/>
          <w:szCs w:val="20"/>
        </w:rPr>
        <w:t>latební výměr na penále</w:t>
      </w:r>
      <w:r w:rsidR="00742A4F">
        <w:rPr>
          <w:rFonts w:ascii="Arial" w:hAnsi="Arial" w:cs="Arial"/>
          <w:sz w:val="20"/>
          <w:szCs w:val="20"/>
        </w:rPr>
        <w:t xml:space="preserve"> a další povinné náležitosti dle</w:t>
      </w:r>
      <w:r w:rsidR="0015379B">
        <w:rPr>
          <w:rFonts w:ascii="Arial" w:hAnsi="Arial" w:cs="Arial"/>
          <w:sz w:val="20"/>
          <w:szCs w:val="20"/>
        </w:rPr>
        <w:t xml:space="preserve"> ust. § </w:t>
      </w:r>
      <w:r w:rsidR="00742A4F">
        <w:rPr>
          <w:rFonts w:ascii="Arial" w:hAnsi="Arial" w:cs="Arial"/>
          <w:sz w:val="20"/>
          <w:szCs w:val="20"/>
        </w:rPr>
        <w:t xml:space="preserve">102 daňového řádu.  </w:t>
      </w:r>
    </w:p>
    <w:p w14:paraId="4B802A2A" w14:textId="1AFC66D0" w:rsidR="006D6037" w:rsidRPr="004E0628" w:rsidRDefault="006D6037" w:rsidP="00AE4B2A">
      <w:pPr>
        <w:jc w:val="both"/>
        <w:rPr>
          <w:rFonts w:ascii="Arial" w:hAnsi="Arial" w:cs="Arial"/>
          <w:sz w:val="20"/>
          <w:szCs w:val="20"/>
        </w:rPr>
      </w:pPr>
      <w:r w:rsidRPr="00876EF0">
        <w:rPr>
          <w:rFonts w:ascii="Arial" w:hAnsi="Arial" w:cs="Arial"/>
          <w:sz w:val="20"/>
          <w:szCs w:val="20"/>
        </w:rPr>
        <w:t>Výše odvodu vyplývá z ust.</w:t>
      </w:r>
      <w:r w:rsidR="0015379B">
        <w:rPr>
          <w:rFonts w:ascii="Arial" w:hAnsi="Arial" w:cs="Arial"/>
          <w:sz w:val="20"/>
          <w:szCs w:val="20"/>
        </w:rPr>
        <w:t xml:space="preserve"> § </w:t>
      </w:r>
      <w:r w:rsidRPr="00876EF0">
        <w:rPr>
          <w:rFonts w:ascii="Arial" w:hAnsi="Arial" w:cs="Arial"/>
          <w:sz w:val="20"/>
          <w:szCs w:val="20"/>
        </w:rPr>
        <w:t xml:space="preserve">22 odst. 5 zákona č. 250/2000 Sb. a odpovídá výši neoprávněně použitých nebo zadržených </w:t>
      </w:r>
      <w:r w:rsidR="00AE4B2A" w:rsidRPr="00876EF0">
        <w:rPr>
          <w:rFonts w:ascii="Arial" w:hAnsi="Arial" w:cs="Arial"/>
          <w:sz w:val="20"/>
          <w:szCs w:val="20"/>
        </w:rPr>
        <w:t>prostředků</w:t>
      </w:r>
      <w:r w:rsidR="00AE4B2A">
        <w:rPr>
          <w:rFonts w:ascii="Arial" w:hAnsi="Arial" w:cs="Arial"/>
          <w:sz w:val="20"/>
          <w:szCs w:val="20"/>
        </w:rPr>
        <w:t>,</w:t>
      </w:r>
      <w:r w:rsidR="00AE4B2A" w:rsidRPr="00876EF0">
        <w:rPr>
          <w:rFonts w:ascii="Arial" w:hAnsi="Arial" w:cs="Arial"/>
          <w:sz w:val="20"/>
          <w:szCs w:val="20"/>
        </w:rPr>
        <w:t xml:space="preserve"> anebo výši</w:t>
      </w:r>
      <w:r w:rsidRPr="009A6D77">
        <w:rPr>
          <w:rFonts w:ascii="Arial" w:hAnsi="Arial" w:cs="Arial"/>
          <w:sz w:val="20"/>
          <w:szCs w:val="20"/>
        </w:rPr>
        <w:t xml:space="preserve"> poskytnutých prostředků, pokud nejsou ve smlouvě o poskytnutí finanční podpory či v dodatku smlouvy stanoveny nižší </w:t>
      </w:r>
      <w:r w:rsidRPr="00431417">
        <w:rPr>
          <w:rFonts w:ascii="Arial" w:hAnsi="Arial" w:cs="Arial"/>
          <w:sz w:val="20"/>
          <w:szCs w:val="20"/>
        </w:rPr>
        <w:t>(</w:t>
      </w:r>
      <w:r w:rsidRPr="003E3FAC">
        <w:rPr>
          <w:rFonts w:ascii="Arial" w:hAnsi="Arial" w:cs="Arial"/>
          <w:sz w:val="20"/>
          <w:szCs w:val="20"/>
        </w:rPr>
        <w:t>snížené)</w:t>
      </w:r>
      <w:r w:rsidRPr="004E0628">
        <w:rPr>
          <w:rStyle w:val="Znakapoznpodarou"/>
          <w:rFonts w:ascii="Arial" w:hAnsi="Arial" w:cs="Arial"/>
          <w:sz w:val="20"/>
          <w:szCs w:val="20"/>
        </w:rPr>
        <w:footnoteReference w:id="2"/>
      </w:r>
      <w:r w:rsidRPr="004E0628">
        <w:rPr>
          <w:rFonts w:ascii="Arial" w:hAnsi="Arial" w:cs="Arial"/>
          <w:sz w:val="20"/>
          <w:szCs w:val="20"/>
        </w:rPr>
        <w:t xml:space="preserve"> odvody, </w:t>
      </w:r>
      <w:r w:rsidR="00742A4F">
        <w:rPr>
          <w:rFonts w:ascii="Arial" w:hAnsi="Arial" w:cs="Arial"/>
          <w:sz w:val="20"/>
          <w:szCs w:val="20"/>
        </w:rPr>
        <w:t>které jsou uvedeny v p</w:t>
      </w:r>
      <w:r w:rsidRPr="004E0628">
        <w:rPr>
          <w:rFonts w:ascii="Arial" w:hAnsi="Arial" w:cs="Arial"/>
          <w:sz w:val="20"/>
          <w:szCs w:val="20"/>
        </w:rPr>
        <w:t>řílo</w:t>
      </w:r>
      <w:r w:rsidR="00742A4F">
        <w:rPr>
          <w:rFonts w:ascii="Arial" w:hAnsi="Arial" w:cs="Arial"/>
          <w:sz w:val="20"/>
          <w:szCs w:val="20"/>
        </w:rPr>
        <w:t>ze</w:t>
      </w:r>
      <w:r w:rsidRPr="004E0628">
        <w:rPr>
          <w:rFonts w:ascii="Arial" w:hAnsi="Arial" w:cs="Arial"/>
          <w:sz w:val="20"/>
          <w:szCs w:val="20"/>
        </w:rPr>
        <w:t xml:space="preserve"> </w:t>
      </w:r>
      <w:r w:rsidR="00742A4F">
        <w:rPr>
          <w:rFonts w:ascii="Arial" w:hAnsi="Arial" w:cs="Arial"/>
          <w:sz w:val="20"/>
          <w:szCs w:val="20"/>
        </w:rPr>
        <w:t xml:space="preserve">č. </w:t>
      </w:r>
      <w:r w:rsidRPr="004E0628">
        <w:rPr>
          <w:rFonts w:ascii="Arial" w:hAnsi="Arial" w:cs="Arial"/>
          <w:sz w:val="20"/>
          <w:szCs w:val="20"/>
        </w:rPr>
        <w:t>2</w:t>
      </w:r>
      <w:r w:rsidR="00742A4F">
        <w:rPr>
          <w:rFonts w:ascii="Arial" w:hAnsi="Arial" w:cs="Arial"/>
          <w:sz w:val="20"/>
          <w:szCs w:val="20"/>
        </w:rPr>
        <w:t xml:space="preserve"> těchto Snížených odvodů</w:t>
      </w:r>
      <w:r w:rsidRPr="004E0628">
        <w:rPr>
          <w:rFonts w:ascii="Arial" w:hAnsi="Arial" w:cs="Arial"/>
          <w:sz w:val="20"/>
          <w:szCs w:val="20"/>
        </w:rPr>
        <w:t>. Odvod za PRK lze uložit pouze do výše peněžních prostředků poskytnutých ke dni porušení rozpočtové kázně</w:t>
      </w:r>
      <w:r w:rsidR="00742A4F">
        <w:rPr>
          <w:rFonts w:ascii="Arial" w:hAnsi="Arial" w:cs="Arial"/>
          <w:sz w:val="20"/>
          <w:szCs w:val="20"/>
        </w:rPr>
        <w:t>. O</w:t>
      </w:r>
      <w:r w:rsidRPr="00876EF0">
        <w:rPr>
          <w:rFonts w:ascii="Arial" w:hAnsi="Arial" w:cs="Arial"/>
          <w:sz w:val="20"/>
          <w:szCs w:val="20"/>
        </w:rPr>
        <w:t>dvod za PRK se neuloží, pokud</w:t>
      </w:r>
      <w:r w:rsidRPr="004E0628">
        <w:rPr>
          <w:rFonts w:ascii="Arial" w:hAnsi="Arial" w:cs="Arial"/>
          <w:sz w:val="20"/>
          <w:szCs w:val="20"/>
        </w:rPr>
        <w:t xml:space="preserve"> jeho celková výše za všechna porušení (pochybení) při použití téže dotace nepřesáhne 1 000 Kč.</w:t>
      </w:r>
    </w:p>
    <w:p w14:paraId="0EDE794F" w14:textId="77777777" w:rsidR="006D6037" w:rsidRPr="008F4C31" w:rsidRDefault="006D6037" w:rsidP="00AE4B2A">
      <w:pPr>
        <w:pStyle w:val="Default"/>
        <w:jc w:val="both"/>
        <w:rPr>
          <w:b/>
          <w:bCs/>
          <w:color w:val="auto"/>
          <w:sz w:val="28"/>
          <w:szCs w:val="28"/>
        </w:rPr>
      </w:pPr>
    </w:p>
    <w:p w14:paraId="07E07C55" w14:textId="77777777" w:rsidR="006D6037" w:rsidRPr="00DF189D" w:rsidRDefault="006D6037">
      <w:pPr>
        <w:pStyle w:val="Nadpis2"/>
      </w:pPr>
      <w:r>
        <w:lastRenderedPageBreak/>
        <w:t xml:space="preserve"> </w:t>
      </w:r>
      <w:bookmarkStart w:id="10" w:name="_Toc452644784"/>
      <w:r w:rsidRPr="004E20C4">
        <w:t>Platební</w:t>
      </w:r>
      <w:r w:rsidRPr="00DF189D">
        <w:t xml:space="preserve"> výměr na penále</w:t>
      </w:r>
      <w:bookmarkEnd w:id="10"/>
      <w:r w:rsidRPr="00DF189D">
        <w:t xml:space="preserve"> </w:t>
      </w:r>
    </w:p>
    <w:p w14:paraId="281BE85D" w14:textId="209AFEDB" w:rsidR="006D6037" w:rsidRPr="004E0628" w:rsidRDefault="006D6037" w:rsidP="00AE4B2A">
      <w:pPr>
        <w:jc w:val="both"/>
        <w:rPr>
          <w:rFonts w:ascii="Arial" w:hAnsi="Arial" w:cs="Arial"/>
          <w:sz w:val="20"/>
          <w:szCs w:val="20"/>
        </w:rPr>
      </w:pPr>
      <w:r w:rsidRPr="004E0628">
        <w:rPr>
          <w:rFonts w:ascii="Arial" w:hAnsi="Arial" w:cs="Arial"/>
          <w:sz w:val="20"/>
          <w:szCs w:val="20"/>
        </w:rPr>
        <w:t xml:space="preserve">Kromě povinnosti uhradit odvod, může být příjemci stanovena také povinnost uhradit odpovídající </w:t>
      </w:r>
      <w:r w:rsidRPr="004E0628">
        <w:rPr>
          <w:rFonts w:ascii="Arial" w:hAnsi="Arial" w:cs="Arial"/>
          <w:b/>
          <w:sz w:val="20"/>
          <w:szCs w:val="20"/>
        </w:rPr>
        <w:t>penále</w:t>
      </w:r>
      <w:r w:rsidRPr="004E0628">
        <w:rPr>
          <w:rFonts w:ascii="Arial" w:hAnsi="Arial" w:cs="Arial"/>
          <w:sz w:val="20"/>
          <w:szCs w:val="20"/>
        </w:rPr>
        <w:t xml:space="preserve"> za porušení rozpočtové kázně (pokud je to relevantní podle</w:t>
      </w:r>
      <w:r w:rsidR="0015379B">
        <w:rPr>
          <w:rFonts w:ascii="Arial" w:hAnsi="Arial" w:cs="Arial"/>
          <w:sz w:val="20"/>
          <w:szCs w:val="20"/>
        </w:rPr>
        <w:t xml:space="preserve"> ust. § </w:t>
      </w:r>
      <w:r w:rsidRPr="004E0628">
        <w:rPr>
          <w:rFonts w:ascii="Arial" w:hAnsi="Arial" w:cs="Arial"/>
          <w:sz w:val="20"/>
          <w:szCs w:val="20"/>
        </w:rPr>
        <w:t>22 odst. 8 zákona č. 250/2000 Sb.).</w:t>
      </w:r>
      <w:r w:rsidR="00742A4F">
        <w:rPr>
          <w:rFonts w:ascii="Arial" w:hAnsi="Arial" w:cs="Arial"/>
          <w:sz w:val="20"/>
          <w:szCs w:val="20"/>
        </w:rPr>
        <w:t xml:space="preserve"> P</w:t>
      </w:r>
      <w:r w:rsidRPr="004E0628">
        <w:rPr>
          <w:rFonts w:ascii="Arial" w:hAnsi="Arial" w:cs="Arial"/>
          <w:sz w:val="20"/>
          <w:szCs w:val="20"/>
        </w:rPr>
        <w:t xml:space="preserve">latební výměr na penále je vystaven po zaplacení Platebního výměru na odvod </w:t>
      </w:r>
      <w:r w:rsidR="00742A4F">
        <w:rPr>
          <w:rFonts w:ascii="Arial" w:hAnsi="Arial" w:cs="Arial"/>
          <w:sz w:val="20"/>
          <w:szCs w:val="20"/>
        </w:rPr>
        <w:t>a má stejné náležitosti rozhodnutí, jako platební výměr na odvod (viz kapitola 3.1 těchto Snížených odvodů).</w:t>
      </w:r>
    </w:p>
    <w:p w14:paraId="51ADF7C6" w14:textId="232A7248" w:rsidR="006D6037" w:rsidRPr="004E0628" w:rsidRDefault="006D6037" w:rsidP="00BB149F">
      <w:pPr>
        <w:spacing w:after="0"/>
        <w:jc w:val="both"/>
        <w:rPr>
          <w:rFonts w:ascii="Arial" w:hAnsi="Arial" w:cs="Arial"/>
          <w:sz w:val="20"/>
          <w:szCs w:val="20"/>
        </w:rPr>
      </w:pPr>
      <w:r w:rsidRPr="004E0628">
        <w:rPr>
          <w:rFonts w:ascii="Arial" w:hAnsi="Arial" w:cs="Arial"/>
          <w:sz w:val="20"/>
          <w:szCs w:val="20"/>
        </w:rPr>
        <w:t>Dle</w:t>
      </w:r>
      <w:r w:rsidR="0015379B">
        <w:rPr>
          <w:rFonts w:ascii="Arial" w:hAnsi="Arial" w:cs="Arial"/>
          <w:sz w:val="20"/>
          <w:szCs w:val="20"/>
        </w:rPr>
        <w:t xml:space="preserve"> ust. § </w:t>
      </w:r>
      <w:r w:rsidRPr="004E0628">
        <w:rPr>
          <w:rFonts w:ascii="Arial" w:hAnsi="Arial" w:cs="Arial"/>
          <w:sz w:val="20"/>
          <w:szCs w:val="20"/>
        </w:rPr>
        <w:t>22 odst. 8 zákona č. 250/2000 Sb. je za prodlení s odvodem za porušení rozpočtové kázně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w:t>
      </w:r>
    </w:p>
    <w:p w14:paraId="1A07456B" w14:textId="27DCD5D4" w:rsidR="006D6037" w:rsidRPr="004E0628" w:rsidRDefault="006D6037" w:rsidP="00BB149F">
      <w:pPr>
        <w:tabs>
          <w:tab w:val="left" w:pos="142"/>
        </w:tabs>
        <w:spacing w:after="0"/>
        <w:ind w:left="142" w:hanging="142"/>
        <w:jc w:val="both"/>
        <w:rPr>
          <w:rFonts w:ascii="Arial" w:hAnsi="Arial" w:cs="Arial"/>
          <w:sz w:val="20"/>
          <w:szCs w:val="20"/>
        </w:rPr>
      </w:pPr>
      <w:r w:rsidRPr="004E0628">
        <w:rPr>
          <w:rFonts w:ascii="Arial" w:hAnsi="Arial" w:cs="Arial"/>
          <w:sz w:val="20"/>
          <w:szCs w:val="20"/>
        </w:rPr>
        <w:t>-</w:t>
      </w:r>
      <w:r w:rsidR="00742A4F">
        <w:rPr>
          <w:rFonts w:ascii="Arial" w:hAnsi="Arial" w:cs="Arial"/>
          <w:sz w:val="20"/>
          <w:szCs w:val="20"/>
        </w:rPr>
        <w:tab/>
      </w:r>
      <w:r w:rsidRPr="004E0628">
        <w:rPr>
          <w:rFonts w:ascii="Arial" w:hAnsi="Arial" w:cs="Arial"/>
          <w:sz w:val="20"/>
          <w:szCs w:val="20"/>
        </w:rPr>
        <w:t>ust.</w:t>
      </w:r>
      <w:r w:rsidR="0015379B">
        <w:rPr>
          <w:rFonts w:ascii="Arial" w:hAnsi="Arial" w:cs="Arial"/>
          <w:sz w:val="20"/>
          <w:szCs w:val="20"/>
        </w:rPr>
        <w:t xml:space="preserve"> § </w:t>
      </w:r>
      <w:r w:rsidRPr="004E0628">
        <w:rPr>
          <w:rFonts w:ascii="Arial" w:hAnsi="Arial" w:cs="Arial"/>
          <w:sz w:val="20"/>
          <w:szCs w:val="20"/>
        </w:rPr>
        <w:t>22 odstavce 5 věty sedmé, penále se počítá z částky, kterou je příjemce povinen odvést,</w:t>
      </w:r>
    </w:p>
    <w:p w14:paraId="23FECF39" w14:textId="752FE601" w:rsidR="006D6037" w:rsidRPr="004E0628" w:rsidRDefault="006D6037" w:rsidP="00BB149F">
      <w:pPr>
        <w:tabs>
          <w:tab w:val="left" w:pos="142"/>
        </w:tabs>
        <w:spacing w:after="0"/>
        <w:ind w:left="142" w:hanging="142"/>
        <w:jc w:val="both"/>
        <w:rPr>
          <w:rFonts w:ascii="Arial" w:hAnsi="Arial" w:cs="Arial"/>
          <w:sz w:val="20"/>
          <w:szCs w:val="20"/>
        </w:rPr>
      </w:pPr>
      <w:r w:rsidRPr="004E0628">
        <w:rPr>
          <w:rFonts w:ascii="Arial" w:hAnsi="Arial" w:cs="Arial"/>
          <w:sz w:val="20"/>
          <w:szCs w:val="20"/>
        </w:rPr>
        <w:t>-</w:t>
      </w:r>
      <w:r w:rsidR="00742A4F">
        <w:rPr>
          <w:rFonts w:ascii="Arial" w:hAnsi="Arial" w:cs="Arial"/>
          <w:sz w:val="20"/>
          <w:szCs w:val="20"/>
        </w:rPr>
        <w:tab/>
      </w:r>
      <w:r w:rsidRPr="004E0628">
        <w:rPr>
          <w:rFonts w:ascii="Arial" w:hAnsi="Arial" w:cs="Arial"/>
          <w:sz w:val="20"/>
          <w:szCs w:val="20"/>
        </w:rPr>
        <w:t>ust</w:t>
      </w:r>
      <w:r w:rsidR="00742A4F">
        <w:rPr>
          <w:rFonts w:ascii="Arial" w:hAnsi="Arial" w:cs="Arial"/>
          <w:sz w:val="20"/>
          <w:szCs w:val="20"/>
        </w:rPr>
        <w:t>.</w:t>
      </w:r>
      <w:r w:rsidR="0015379B">
        <w:rPr>
          <w:rFonts w:ascii="Arial" w:hAnsi="Arial" w:cs="Arial"/>
          <w:sz w:val="20"/>
          <w:szCs w:val="20"/>
        </w:rPr>
        <w:t xml:space="preserve"> § </w:t>
      </w:r>
      <w:r w:rsidRPr="004E0628">
        <w:rPr>
          <w:rFonts w:ascii="Arial" w:hAnsi="Arial" w:cs="Arial"/>
          <w:sz w:val="20"/>
          <w:szCs w:val="20"/>
        </w:rPr>
        <w:t>22 odstavce 2 písm. b), penále se počítá ode dne následujícího po dni, do kterého měl příjemce odvod na základě platebního výměru uhradit.</w:t>
      </w:r>
    </w:p>
    <w:p w14:paraId="01607DC6" w14:textId="77777777" w:rsidR="00742A4F" w:rsidRDefault="00742A4F" w:rsidP="00BB149F">
      <w:pPr>
        <w:spacing w:after="0"/>
        <w:jc w:val="both"/>
        <w:rPr>
          <w:rFonts w:ascii="Arial" w:hAnsi="Arial" w:cs="Arial"/>
          <w:sz w:val="20"/>
          <w:szCs w:val="20"/>
        </w:rPr>
      </w:pPr>
    </w:p>
    <w:p w14:paraId="6DC5D404" w14:textId="5CFC84BA" w:rsidR="006D6037" w:rsidRPr="004E0628" w:rsidRDefault="006D6037" w:rsidP="00BB149F">
      <w:pPr>
        <w:spacing w:after="0"/>
        <w:jc w:val="both"/>
        <w:rPr>
          <w:rFonts w:ascii="Arial" w:hAnsi="Arial" w:cs="Arial"/>
          <w:sz w:val="20"/>
          <w:szCs w:val="20"/>
        </w:rPr>
      </w:pPr>
      <w:r w:rsidRPr="004E0628">
        <w:rPr>
          <w:rFonts w:ascii="Arial" w:hAnsi="Arial" w:cs="Arial"/>
          <w:sz w:val="20"/>
          <w:szCs w:val="20"/>
        </w:rPr>
        <w:t>Penále, které v jednotlivých případech nepřesáhne 1 000 Kč, se neuloží.</w:t>
      </w:r>
    </w:p>
    <w:p w14:paraId="59639B68" w14:textId="77777777" w:rsidR="006D6037" w:rsidRPr="009460B5" w:rsidRDefault="006D6037" w:rsidP="00E0376A">
      <w:pPr>
        <w:pStyle w:val="Zkladntext"/>
        <w:widowControl/>
        <w:autoSpaceDE/>
        <w:autoSpaceDN/>
        <w:adjustRightInd/>
        <w:spacing w:after="0"/>
        <w:rPr>
          <w:rFonts w:cs="Arial"/>
          <w:sz w:val="28"/>
          <w:szCs w:val="28"/>
        </w:rPr>
      </w:pPr>
    </w:p>
    <w:p w14:paraId="5D4DD732" w14:textId="77777777" w:rsidR="006D6037" w:rsidRPr="009460B5" w:rsidRDefault="006D6037" w:rsidP="00E0376A">
      <w:pPr>
        <w:pStyle w:val="Nadpis3"/>
      </w:pPr>
      <w:bookmarkStart w:id="11" w:name="_Toc452644785"/>
      <w:r w:rsidRPr="009460B5">
        <w:t>Úrok z prodlení</w:t>
      </w:r>
      <w:bookmarkEnd w:id="11"/>
      <w:r w:rsidRPr="009460B5">
        <w:t xml:space="preserve"> </w:t>
      </w:r>
    </w:p>
    <w:p w14:paraId="1B7346DB" w14:textId="00032224" w:rsidR="007866D4" w:rsidRDefault="00203F13" w:rsidP="007866D4">
      <w:pPr>
        <w:jc w:val="both"/>
        <w:rPr>
          <w:rFonts w:ascii="Arial" w:hAnsi="Arial" w:cs="Arial"/>
          <w:sz w:val="20"/>
          <w:szCs w:val="20"/>
        </w:rPr>
      </w:pPr>
      <w:r>
        <w:rPr>
          <w:rFonts w:ascii="Arial" w:hAnsi="Arial" w:cs="Arial"/>
          <w:sz w:val="20"/>
          <w:szCs w:val="20"/>
        </w:rPr>
        <w:t>P</w:t>
      </w:r>
      <w:r w:rsidR="007866D4" w:rsidRPr="00BB149F">
        <w:rPr>
          <w:rFonts w:ascii="Arial" w:hAnsi="Arial" w:cs="Arial"/>
          <w:sz w:val="20"/>
          <w:szCs w:val="20"/>
        </w:rPr>
        <w:t>enále uložené podle</w:t>
      </w:r>
      <w:r w:rsidR="0015379B">
        <w:rPr>
          <w:rFonts w:ascii="Arial" w:hAnsi="Arial" w:cs="Arial"/>
          <w:sz w:val="20"/>
          <w:szCs w:val="20"/>
        </w:rPr>
        <w:t xml:space="preserve"> ust. § </w:t>
      </w:r>
      <w:r w:rsidR="007866D4" w:rsidRPr="00203F13">
        <w:rPr>
          <w:rFonts w:ascii="Arial" w:hAnsi="Arial" w:cs="Arial"/>
          <w:sz w:val="20"/>
          <w:szCs w:val="20"/>
        </w:rPr>
        <w:t>22 odst. 8 zákona č. 250/2000 </w:t>
      </w:r>
      <w:r w:rsidR="007866D4" w:rsidRPr="00BB149F">
        <w:rPr>
          <w:rFonts w:ascii="Arial" w:hAnsi="Arial" w:cs="Arial"/>
          <w:sz w:val="20"/>
          <w:szCs w:val="20"/>
        </w:rPr>
        <w:t>Sb. zahrnuje také úrok z</w:t>
      </w:r>
      <w:r w:rsidR="007866D4">
        <w:rPr>
          <w:rFonts w:ascii="Arial" w:hAnsi="Arial" w:cs="Arial"/>
          <w:sz w:val="20"/>
          <w:szCs w:val="20"/>
        </w:rPr>
        <w:t> </w:t>
      </w:r>
      <w:r w:rsidR="007866D4" w:rsidRPr="00BB149F">
        <w:rPr>
          <w:rFonts w:ascii="Arial" w:hAnsi="Arial" w:cs="Arial"/>
          <w:sz w:val="20"/>
          <w:szCs w:val="20"/>
        </w:rPr>
        <w:t>prodlení</w:t>
      </w:r>
      <w:r w:rsidR="007866D4">
        <w:rPr>
          <w:rFonts w:ascii="Arial" w:hAnsi="Arial" w:cs="Arial"/>
          <w:sz w:val="20"/>
          <w:szCs w:val="20"/>
        </w:rPr>
        <w:t xml:space="preserve"> dle</w:t>
      </w:r>
      <w:r w:rsidR="007866D4" w:rsidRPr="00BB149F">
        <w:rPr>
          <w:rFonts w:ascii="Arial" w:hAnsi="Arial" w:cs="Arial"/>
          <w:sz w:val="20"/>
          <w:szCs w:val="20"/>
        </w:rPr>
        <w:t xml:space="preserve"> </w:t>
      </w:r>
      <w:r w:rsidR="007866D4" w:rsidRPr="00593F57">
        <w:rPr>
          <w:rFonts w:ascii="Arial" w:hAnsi="Arial" w:cs="Arial"/>
          <w:sz w:val="20"/>
          <w:szCs w:val="20"/>
        </w:rPr>
        <w:t>Nařízení</w:t>
      </w:r>
      <w:r w:rsidR="007866D4" w:rsidRPr="007866D4">
        <w:rPr>
          <w:rFonts w:ascii="Arial" w:hAnsi="Arial" w:cs="Arial"/>
          <w:sz w:val="20"/>
          <w:szCs w:val="20"/>
        </w:rPr>
        <w:t xml:space="preserve"> Rady (ES) č.</w:t>
      </w:r>
      <w:r w:rsidR="007866D4">
        <w:rPr>
          <w:rFonts w:ascii="Arial" w:hAnsi="Arial" w:cs="Arial"/>
          <w:sz w:val="20"/>
          <w:szCs w:val="20"/>
        </w:rPr>
        <w:t xml:space="preserve"> </w:t>
      </w:r>
      <w:r w:rsidR="007866D4" w:rsidRPr="007866D4">
        <w:rPr>
          <w:rFonts w:ascii="Arial" w:hAnsi="Arial" w:cs="Arial"/>
          <w:sz w:val="20"/>
          <w:szCs w:val="20"/>
        </w:rPr>
        <w:t>1303/2013</w:t>
      </w:r>
      <w:r w:rsidR="007866D4">
        <w:rPr>
          <w:rFonts w:ascii="Arial" w:hAnsi="Arial" w:cs="Arial"/>
          <w:sz w:val="20"/>
          <w:szCs w:val="20"/>
        </w:rPr>
        <w:t xml:space="preserve"> </w:t>
      </w:r>
      <w:r w:rsidR="007866D4" w:rsidRPr="007866D4">
        <w:rPr>
          <w:rFonts w:ascii="Arial" w:hAnsi="Arial" w:cs="Arial"/>
          <w:sz w:val="20"/>
          <w:szCs w:val="20"/>
        </w:rPr>
        <w:t>ze dne 17. prosince 2013</w:t>
      </w:r>
      <w:r w:rsidR="007866D4">
        <w:rPr>
          <w:rFonts w:ascii="Arial" w:hAnsi="Arial" w:cs="Arial"/>
          <w:sz w:val="20"/>
          <w:szCs w:val="20"/>
        </w:rPr>
        <w:t xml:space="preserve"> o </w:t>
      </w:r>
      <w:r w:rsidR="007866D4" w:rsidRPr="007866D4">
        <w:rPr>
          <w:rFonts w:ascii="Arial" w:hAnsi="Arial" w:cs="Arial"/>
          <w:sz w:val="20"/>
          <w:szCs w:val="20"/>
        </w:rPr>
        <w:t>společných ust</w:t>
      </w:r>
      <w:r>
        <w:rPr>
          <w:rFonts w:ascii="Arial" w:hAnsi="Arial" w:cs="Arial"/>
          <w:sz w:val="20"/>
          <w:szCs w:val="20"/>
        </w:rPr>
        <w:t>anoveních o Evropském fondu pro </w:t>
      </w:r>
      <w:r w:rsidR="007866D4" w:rsidRPr="007866D4">
        <w:rPr>
          <w:rFonts w:ascii="Arial" w:hAnsi="Arial" w:cs="Arial"/>
          <w:sz w:val="20"/>
          <w:szCs w:val="20"/>
        </w:rPr>
        <w:t>regionální rozvoj, Evropském sociálním fondu, Fondu soudržnosti, Evropském zemědělském fondu pro rozvoj</w:t>
      </w:r>
      <w:r w:rsidR="007866D4">
        <w:rPr>
          <w:rFonts w:ascii="Arial" w:hAnsi="Arial" w:cs="Arial"/>
          <w:sz w:val="20"/>
          <w:szCs w:val="20"/>
        </w:rPr>
        <w:t xml:space="preserve"> venkova a Evropském námořním a </w:t>
      </w:r>
      <w:r w:rsidR="007866D4" w:rsidRPr="007866D4">
        <w:rPr>
          <w:rFonts w:ascii="Arial" w:hAnsi="Arial" w:cs="Arial"/>
          <w:sz w:val="20"/>
          <w:szCs w:val="20"/>
        </w:rPr>
        <w:t>rybářském fondu, o obecných ustanoveních o Evropském fondu pro regionální rozvoj, Evropském sociálním fondu, Fondu sou</w:t>
      </w:r>
      <w:r>
        <w:rPr>
          <w:rFonts w:ascii="Arial" w:hAnsi="Arial" w:cs="Arial"/>
          <w:sz w:val="20"/>
          <w:szCs w:val="20"/>
        </w:rPr>
        <w:t>držnosti a Evropském námořním a </w:t>
      </w:r>
      <w:r w:rsidR="007866D4" w:rsidRPr="007866D4">
        <w:rPr>
          <w:rFonts w:ascii="Arial" w:hAnsi="Arial" w:cs="Arial"/>
          <w:sz w:val="20"/>
          <w:szCs w:val="20"/>
        </w:rPr>
        <w:t>rybářském fondu a o zrušení nařízení Rady (ES) č. 1083/2006</w:t>
      </w:r>
      <w:r w:rsidR="007866D4">
        <w:rPr>
          <w:rFonts w:ascii="Arial" w:hAnsi="Arial" w:cs="Arial"/>
          <w:sz w:val="20"/>
          <w:szCs w:val="20"/>
        </w:rPr>
        <w:t xml:space="preserve"> (dále jen „nařízení </w:t>
      </w:r>
      <w:r w:rsidR="007866D4" w:rsidRPr="007866D4">
        <w:rPr>
          <w:rFonts w:ascii="Arial" w:hAnsi="Arial" w:cs="Arial"/>
          <w:sz w:val="20"/>
          <w:szCs w:val="20"/>
        </w:rPr>
        <w:t>č.</w:t>
      </w:r>
      <w:r w:rsidR="007866D4">
        <w:rPr>
          <w:rFonts w:ascii="Arial" w:hAnsi="Arial" w:cs="Arial"/>
          <w:sz w:val="20"/>
          <w:szCs w:val="20"/>
        </w:rPr>
        <w:t> </w:t>
      </w:r>
      <w:r w:rsidR="007866D4" w:rsidRPr="007866D4">
        <w:rPr>
          <w:rFonts w:ascii="Arial" w:hAnsi="Arial" w:cs="Arial"/>
          <w:sz w:val="20"/>
          <w:szCs w:val="20"/>
        </w:rPr>
        <w:t>1303/2013</w:t>
      </w:r>
      <w:r w:rsidR="007866D4">
        <w:rPr>
          <w:rFonts w:ascii="Arial" w:hAnsi="Arial" w:cs="Arial"/>
          <w:sz w:val="20"/>
          <w:szCs w:val="20"/>
        </w:rPr>
        <w:t>“).</w:t>
      </w:r>
      <w:r>
        <w:rPr>
          <w:rFonts w:ascii="Arial" w:hAnsi="Arial" w:cs="Arial"/>
          <w:sz w:val="20"/>
          <w:szCs w:val="20"/>
        </w:rPr>
        <w:t xml:space="preserve"> </w:t>
      </w:r>
      <w:r w:rsidR="00CB13BA">
        <w:rPr>
          <w:rFonts w:ascii="Arial" w:hAnsi="Arial" w:cs="Arial"/>
          <w:sz w:val="20"/>
          <w:szCs w:val="20"/>
        </w:rPr>
        <w:t>Ú</w:t>
      </w:r>
      <w:r>
        <w:rPr>
          <w:rFonts w:ascii="Arial" w:hAnsi="Arial" w:cs="Arial"/>
          <w:sz w:val="20"/>
          <w:szCs w:val="20"/>
        </w:rPr>
        <w:t>rok z</w:t>
      </w:r>
      <w:r w:rsidR="00CB13BA">
        <w:rPr>
          <w:rFonts w:ascii="Arial" w:hAnsi="Arial" w:cs="Arial"/>
          <w:sz w:val="20"/>
          <w:szCs w:val="20"/>
        </w:rPr>
        <w:t> </w:t>
      </w:r>
      <w:r>
        <w:rPr>
          <w:rFonts w:ascii="Arial" w:hAnsi="Arial" w:cs="Arial"/>
          <w:sz w:val="20"/>
          <w:szCs w:val="20"/>
        </w:rPr>
        <w:t>prodlení</w:t>
      </w:r>
      <w:r w:rsidR="00CB13BA">
        <w:rPr>
          <w:rFonts w:ascii="Arial" w:hAnsi="Arial" w:cs="Arial"/>
          <w:sz w:val="20"/>
          <w:szCs w:val="20"/>
        </w:rPr>
        <w:t xml:space="preserve"> je podle článku 147 nařízení </w:t>
      </w:r>
      <w:r w:rsidR="00CB13BA" w:rsidRPr="007866D4">
        <w:rPr>
          <w:rFonts w:ascii="Arial" w:hAnsi="Arial" w:cs="Arial"/>
          <w:sz w:val="20"/>
          <w:szCs w:val="20"/>
        </w:rPr>
        <w:t>č.</w:t>
      </w:r>
      <w:r w:rsidR="00CB13BA">
        <w:rPr>
          <w:rFonts w:ascii="Arial" w:hAnsi="Arial" w:cs="Arial"/>
          <w:sz w:val="20"/>
          <w:szCs w:val="20"/>
        </w:rPr>
        <w:t> </w:t>
      </w:r>
      <w:r w:rsidR="00CB13BA" w:rsidRPr="007866D4">
        <w:rPr>
          <w:rFonts w:ascii="Arial" w:hAnsi="Arial" w:cs="Arial"/>
          <w:sz w:val="20"/>
          <w:szCs w:val="20"/>
        </w:rPr>
        <w:t>1303/2013</w:t>
      </w:r>
      <w:r w:rsidR="00CB13BA">
        <w:rPr>
          <w:rFonts w:ascii="Arial" w:hAnsi="Arial" w:cs="Arial"/>
          <w:sz w:val="20"/>
          <w:szCs w:val="20"/>
        </w:rPr>
        <w:t xml:space="preserve"> vyměřen </w:t>
      </w:r>
      <w:r w:rsidR="00CB13BA" w:rsidRPr="007866D4">
        <w:rPr>
          <w:rFonts w:ascii="Arial" w:hAnsi="Arial" w:cs="Arial"/>
          <w:sz w:val="20"/>
          <w:szCs w:val="20"/>
        </w:rPr>
        <w:t>ode dne splatnosti až do dne uskutečnění platby</w:t>
      </w:r>
      <w:r w:rsidR="00CB13BA">
        <w:rPr>
          <w:rFonts w:ascii="Arial" w:hAnsi="Arial" w:cs="Arial"/>
          <w:sz w:val="20"/>
          <w:szCs w:val="20"/>
        </w:rPr>
        <w:t xml:space="preserve"> na základě sazby používané Evropskou centrální bankou.</w:t>
      </w:r>
    </w:p>
    <w:p w14:paraId="0869EB85" w14:textId="77777777" w:rsidR="006D6037" w:rsidRPr="00EF23DE" w:rsidRDefault="006D6037" w:rsidP="006D6037">
      <w:pPr>
        <w:pStyle w:val="Zkladntext"/>
        <w:widowControl/>
        <w:autoSpaceDE/>
        <w:autoSpaceDN/>
        <w:adjustRightInd/>
        <w:spacing w:after="0"/>
        <w:rPr>
          <w:rFonts w:cs="Arial"/>
          <w:bCs/>
          <w:sz w:val="28"/>
          <w:szCs w:val="28"/>
        </w:rPr>
      </w:pPr>
    </w:p>
    <w:p w14:paraId="627D086F" w14:textId="5418E755" w:rsidR="006D6037" w:rsidRPr="00E0376A" w:rsidRDefault="006D6037" w:rsidP="00BB149F">
      <w:pPr>
        <w:pStyle w:val="Nadpis1"/>
      </w:pPr>
      <w:bookmarkStart w:id="12" w:name="_Toc452644786"/>
      <w:r w:rsidRPr="00E0376A">
        <w:t>Prominutí nebo částečné prominutí povinnosti uhradit odvod a penále</w:t>
      </w:r>
      <w:bookmarkEnd w:id="12"/>
      <w:r w:rsidRPr="00E0376A">
        <w:t xml:space="preserve"> </w:t>
      </w:r>
    </w:p>
    <w:p w14:paraId="71B97039" w14:textId="6621112E" w:rsidR="006D6037" w:rsidRPr="004E0628" w:rsidRDefault="006D6037" w:rsidP="00E0376A">
      <w:pPr>
        <w:jc w:val="both"/>
        <w:rPr>
          <w:rFonts w:ascii="Arial" w:hAnsi="Arial" w:cs="Arial"/>
          <w:sz w:val="20"/>
          <w:szCs w:val="20"/>
        </w:rPr>
      </w:pPr>
      <w:r w:rsidRPr="004E0628">
        <w:rPr>
          <w:rFonts w:ascii="Arial" w:hAnsi="Arial" w:cs="Arial"/>
          <w:sz w:val="20"/>
          <w:szCs w:val="20"/>
        </w:rPr>
        <w:t>Prominutí nebo částečné prominutí povinnosti odvodu a penále podle ust.</w:t>
      </w:r>
      <w:r w:rsidR="0015379B">
        <w:rPr>
          <w:rFonts w:ascii="Arial" w:hAnsi="Arial" w:cs="Arial"/>
          <w:sz w:val="20"/>
          <w:szCs w:val="20"/>
        </w:rPr>
        <w:t xml:space="preserve"> § </w:t>
      </w:r>
      <w:r w:rsidRPr="004E0628">
        <w:rPr>
          <w:rFonts w:ascii="Arial" w:hAnsi="Arial" w:cs="Arial"/>
          <w:sz w:val="20"/>
          <w:szCs w:val="20"/>
        </w:rPr>
        <w:t>22 odst. 14 zákona č.</w:t>
      </w:r>
      <w:r w:rsidR="00CB13BA">
        <w:rPr>
          <w:rFonts w:ascii="Arial" w:hAnsi="Arial" w:cs="Arial"/>
          <w:sz w:val="20"/>
          <w:szCs w:val="20"/>
        </w:rPr>
        <w:t> </w:t>
      </w:r>
      <w:r w:rsidRPr="004E0628">
        <w:rPr>
          <w:rFonts w:ascii="Arial" w:hAnsi="Arial" w:cs="Arial"/>
          <w:sz w:val="20"/>
          <w:szCs w:val="20"/>
        </w:rPr>
        <w:t xml:space="preserve">250/2000 Sb. </w:t>
      </w:r>
      <w:r w:rsidRPr="004E0628">
        <w:rPr>
          <w:rFonts w:ascii="Arial" w:hAnsi="Arial" w:cs="Arial"/>
          <w:b/>
          <w:sz w:val="20"/>
          <w:szCs w:val="20"/>
        </w:rPr>
        <w:t>může z důvodů hodných zvláštního zřetele povolit orgán, který o poskytnutí peněžních prostředků rozhodl</w:t>
      </w:r>
      <w:r w:rsidRPr="004E0628">
        <w:rPr>
          <w:rFonts w:ascii="Arial" w:hAnsi="Arial" w:cs="Arial"/>
          <w:sz w:val="20"/>
          <w:szCs w:val="20"/>
        </w:rPr>
        <w:t xml:space="preserve">, na základě písemné žádosti toho, kdo porušil rozpočtovou kázeň. Žádost o prominutí nebo částečné prominutí lze podat nejpozději do 1 roku ode dne nabytí právní moci </w:t>
      </w:r>
      <w:r w:rsidR="00CB13BA">
        <w:rPr>
          <w:rFonts w:ascii="Arial" w:hAnsi="Arial" w:cs="Arial"/>
          <w:sz w:val="20"/>
          <w:szCs w:val="20"/>
        </w:rPr>
        <w:t>p</w:t>
      </w:r>
      <w:r w:rsidR="00CB13BA" w:rsidRPr="004E0628">
        <w:rPr>
          <w:rFonts w:ascii="Arial" w:hAnsi="Arial" w:cs="Arial"/>
          <w:sz w:val="20"/>
          <w:szCs w:val="20"/>
        </w:rPr>
        <w:t xml:space="preserve">latebního </w:t>
      </w:r>
      <w:r w:rsidRPr="004E0628">
        <w:rPr>
          <w:rFonts w:ascii="Arial" w:hAnsi="Arial" w:cs="Arial"/>
          <w:sz w:val="20"/>
          <w:szCs w:val="20"/>
        </w:rPr>
        <w:t xml:space="preserve">výměru, kterým byl odvod nebo penále, o jehož prominutí je žádáno, vyměřen. </w:t>
      </w:r>
    </w:p>
    <w:p w14:paraId="72133C1B" w14:textId="77777777" w:rsidR="006D6037" w:rsidRPr="004E0628" w:rsidRDefault="006D6037" w:rsidP="00BB149F">
      <w:pPr>
        <w:spacing w:after="0"/>
        <w:jc w:val="both"/>
        <w:rPr>
          <w:rFonts w:ascii="Arial" w:hAnsi="Arial" w:cs="Arial"/>
          <w:sz w:val="20"/>
          <w:szCs w:val="20"/>
        </w:rPr>
      </w:pPr>
      <w:r w:rsidRPr="004E0628">
        <w:rPr>
          <w:rFonts w:ascii="Arial" w:hAnsi="Arial" w:cs="Arial"/>
          <w:sz w:val="20"/>
          <w:szCs w:val="20"/>
        </w:rPr>
        <w:t xml:space="preserve">Lhůta 1 roku neběží ode dne: </w:t>
      </w:r>
    </w:p>
    <w:p w14:paraId="66F5CC52" w14:textId="1D9D0CF8" w:rsidR="006D6037" w:rsidRPr="004E0628" w:rsidRDefault="006D6037" w:rsidP="00BB149F">
      <w:pPr>
        <w:tabs>
          <w:tab w:val="left" w:pos="426"/>
        </w:tabs>
        <w:spacing w:after="0"/>
        <w:ind w:left="284" w:hanging="284"/>
        <w:jc w:val="both"/>
        <w:rPr>
          <w:rFonts w:ascii="Arial" w:hAnsi="Arial" w:cs="Arial"/>
          <w:sz w:val="20"/>
          <w:szCs w:val="20"/>
        </w:rPr>
      </w:pPr>
      <w:r w:rsidRPr="004E0628">
        <w:rPr>
          <w:rFonts w:ascii="Arial" w:hAnsi="Arial" w:cs="Arial"/>
          <w:sz w:val="20"/>
          <w:szCs w:val="20"/>
        </w:rPr>
        <w:t>a)</w:t>
      </w:r>
      <w:r w:rsidR="00CB13BA">
        <w:rPr>
          <w:rFonts w:ascii="Arial" w:hAnsi="Arial" w:cs="Arial"/>
          <w:sz w:val="20"/>
          <w:szCs w:val="20"/>
        </w:rPr>
        <w:tab/>
      </w:r>
      <w:r w:rsidRPr="004E0628">
        <w:rPr>
          <w:rFonts w:ascii="Arial" w:hAnsi="Arial" w:cs="Arial"/>
          <w:sz w:val="20"/>
          <w:szCs w:val="20"/>
        </w:rPr>
        <w:t xml:space="preserve">podání návrhu na obnovu řízení podle daňového řádu do dne pravomocného skončení obnoveného řízení nebo do dne pravomocného zamítnutí návrhu na obnovu řízení, </w:t>
      </w:r>
    </w:p>
    <w:p w14:paraId="7EAC5102" w14:textId="2D075837" w:rsidR="006D6037" w:rsidRPr="004E0628" w:rsidRDefault="006D6037" w:rsidP="00BB149F">
      <w:pPr>
        <w:tabs>
          <w:tab w:val="left" w:pos="426"/>
        </w:tabs>
        <w:spacing w:after="0"/>
        <w:ind w:left="284" w:hanging="284"/>
        <w:jc w:val="both"/>
        <w:rPr>
          <w:rFonts w:ascii="Arial" w:hAnsi="Arial" w:cs="Arial"/>
          <w:sz w:val="20"/>
          <w:szCs w:val="20"/>
        </w:rPr>
      </w:pPr>
      <w:r w:rsidRPr="004E0628">
        <w:rPr>
          <w:rFonts w:ascii="Arial" w:hAnsi="Arial" w:cs="Arial"/>
          <w:sz w:val="20"/>
          <w:szCs w:val="20"/>
        </w:rPr>
        <w:t>b)</w:t>
      </w:r>
      <w:r w:rsidR="00CB13BA">
        <w:rPr>
          <w:rFonts w:ascii="Arial" w:hAnsi="Arial" w:cs="Arial"/>
          <w:sz w:val="20"/>
          <w:szCs w:val="20"/>
        </w:rPr>
        <w:tab/>
      </w:r>
      <w:r w:rsidRPr="004E0628">
        <w:rPr>
          <w:rFonts w:ascii="Arial" w:hAnsi="Arial" w:cs="Arial"/>
          <w:sz w:val="20"/>
          <w:szCs w:val="20"/>
        </w:rPr>
        <w:t xml:space="preserve">zahájení přezkumného řízení podle daňového řádu do dne pravomocného skončení tohoto řízení, </w:t>
      </w:r>
    </w:p>
    <w:p w14:paraId="33ACB728" w14:textId="0DD012D2" w:rsidR="006D6037" w:rsidRPr="004E0628" w:rsidRDefault="006D6037" w:rsidP="00BB149F">
      <w:pPr>
        <w:tabs>
          <w:tab w:val="left" w:pos="426"/>
        </w:tabs>
        <w:spacing w:after="0"/>
        <w:ind w:left="284" w:hanging="284"/>
        <w:jc w:val="both"/>
        <w:rPr>
          <w:rFonts w:ascii="Arial" w:hAnsi="Arial" w:cs="Arial"/>
          <w:sz w:val="20"/>
          <w:szCs w:val="20"/>
        </w:rPr>
      </w:pPr>
      <w:r w:rsidRPr="004E0628">
        <w:rPr>
          <w:rFonts w:ascii="Arial" w:hAnsi="Arial" w:cs="Arial"/>
          <w:sz w:val="20"/>
          <w:szCs w:val="20"/>
        </w:rPr>
        <w:t>c)</w:t>
      </w:r>
      <w:r w:rsidR="00CB13BA">
        <w:rPr>
          <w:rFonts w:ascii="Arial" w:hAnsi="Arial" w:cs="Arial"/>
          <w:sz w:val="20"/>
          <w:szCs w:val="20"/>
        </w:rPr>
        <w:tab/>
      </w:r>
      <w:r w:rsidRPr="004E0628">
        <w:rPr>
          <w:rFonts w:ascii="Arial" w:hAnsi="Arial" w:cs="Arial"/>
          <w:sz w:val="20"/>
          <w:szCs w:val="20"/>
        </w:rPr>
        <w:t>zahájení řízení podle soudního řádu správního o žalobě proti rozhodnutí správce daně do dne pravomocného skončení tohoto řízení nebo do dne pravomocného skončení řízení o kasační stížnosti.</w:t>
      </w:r>
    </w:p>
    <w:p w14:paraId="137E0988" w14:textId="58C49ED8" w:rsidR="00593F57" w:rsidRPr="004E0628" w:rsidRDefault="006D6037" w:rsidP="00BB149F">
      <w:pPr>
        <w:spacing w:before="200"/>
        <w:jc w:val="both"/>
        <w:rPr>
          <w:rFonts w:ascii="Arial" w:hAnsi="Arial" w:cs="Arial"/>
          <w:sz w:val="20"/>
          <w:szCs w:val="20"/>
        </w:rPr>
      </w:pPr>
      <w:r w:rsidRPr="004E0628">
        <w:rPr>
          <w:rFonts w:ascii="Arial" w:hAnsi="Arial" w:cs="Arial"/>
          <w:sz w:val="20"/>
          <w:szCs w:val="20"/>
        </w:rPr>
        <w:t>Podle</w:t>
      </w:r>
      <w:r w:rsidR="0015379B">
        <w:rPr>
          <w:rFonts w:ascii="Arial" w:hAnsi="Arial" w:cs="Arial"/>
          <w:sz w:val="20"/>
          <w:szCs w:val="20"/>
        </w:rPr>
        <w:t xml:space="preserve"> ust. § </w:t>
      </w:r>
      <w:r w:rsidRPr="004E0628">
        <w:rPr>
          <w:rFonts w:ascii="Arial" w:hAnsi="Arial" w:cs="Arial"/>
          <w:sz w:val="20"/>
          <w:szCs w:val="20"/>
        </w:rPr>
        <w:t>22 odst. 14 zákona č. 250/2000 Sb. lze odvod a/nebo penále prominout pouze na základě písemné žádosti příjemce</w:t>
      </w:r>
      <w:r w:rsidR="00CB13BA">
        <w:rPr>
          <w:rFonts w:ascii="Arial" w:hAnsi="Arial" w:cs="Arial"/>
          <w:sz w:val="20"/>
          <w:szCs w:val="20"/>
        </w:rPr>
        <w:t xml:space="preserve">, o prominutí rozhoduje </w:t>
      </w:r>
      <w:r w:rsidRPr="004E0628">
        <w:rPr>
          <w:rFonts w:ascii="Arial" w:hAnsi="Arial" w:cs="Arial"/>
          <w:sz w:val="20"/>
          <w:szCs w:val="20"/>
        </w:rPr>
        <w:t>Zastupitelstv</w:t>
      </w:r>
      <w:r w:rsidR="00CB13BA">
        <w:rPr>
          <w:rFonts w:ascii="Arial" w:hAnsi="Arial" w:cs="Arial"/>
          <w:sz w:val="20"/>
          <w:szCs w:val="20"/>
        </w:rPr>
        <w:t>o</w:t>
      </w:r>
      <w:r w:rsidRPr="004E0628">
        <w:rPr>
          <w:rFonts w:ascii="Arial" w:hAnsi="Arial" w:cs="Arial"/>
          <w:sz w:val="20"/>
          <w:szCs w:val="20"/>
        </w:rPr>
        <w:t xml:space="preserve"> hlavního města Prahy (ZHMP).</w:t>
      </w:r>
    </w:p>
    <w:p w14:paraId="29F9302D" w14:textId="1D759B28" w:rsidR="0086742D" w:rsidRPr="00BB149F" w:rsidRDefault="0086742D" w:rsidP="00BB149F">
      <w:pPr>
        <w:spacing w:before="200"/>
        <w:jc w:val="both"/>
        <w:rPr>
          <w:sz w:val="20"/>
          <w:szCs w:val="20"/>
        </w:rPr>
      </w:pPr>
      <w:r>
        <w:rPr>
          <w:rFonts w:ascii="Arial" w:hAnsi="Arial" w:cs="Arial"/>
          <w:sz w:val="20"/>
          <w:szCs w:val="20"/>
        </w:rPr>
        <w:lastRenderedPageBreak/>
        <w:t>Přijetí žádosti o prominutí příslušenství daně dle přílo</w:t>
      </w:r>
      <w:r w:rsidR="00036226">
        <w:rPr>
          <w:rFonts w:ascii="Arial" w:hAnsi="Arial" w:cs="Arial"/>
          <w:sz w:val="20"/>
          <w:szCs w:val="20"/>
        </w:rPr>
        <w:t>hy v</w:t>
      </w:r>
      <w:r>
        <w:rPr>
          <w:rFonts w:ascii="Arial" w:hAnsi="Arial" w:cs="Arial"/>
          <w:sz w:val="20"/>
          <w:szCs w:val="20"/>
        </w:rPr>
        <w:t xml:space="preserve"> část</w:t>
      </w:r>
      <w:r w:rsidR="00036226">
        <w:rPr>
          <w:rFonts w:ascii="Arial" w:hAnsi="Arial" w:cs="Arial"/>
          <w:sz w:val="20"/>
          <w:szCs w:val="20"/>
        </w:rPr>
        <w:t>i</w:t>
      </w:r>
      <w:r>
        <w:rPr>
          <w:rFonts w:ascii="Arial" w:hAnsi="Arial" w:cs="Arial"/>
          <w:sz w:val="20"/>
          <w:szCs w:val="20"/>
        </w:rPr>
        <w:t xml:space="preserve"> I, Položka 1, odst. 1c)</w:t>
      </w:r>
      <w:r w:rsidR="00036226">
        <w:rPr>
          <w:rFonts w:ascii="Arial" w:hAnsi="Arial" w:cs="Arial"/>
          <w:sz w:val="20"/>
          <w:szCs w:val="20"/>
        </w:rPr>
        <w:t xml:space="preserve"> zákona č. </w:t>
      </w:r>
      <w:r w:rsidR="00036226" w:rsidRPr="00C56197">
        <w:rPr>
          <w:rFonts w:ascii="Arial" w:hAnsi="Arial" w:cs="Arial"/>
          <w:sz w:val="20"/>
          <w:szCs w:val="20"/>
        </w:rPr>
        <w:t>634/2004 Sb., o správních poplatcích, ve znění pozdějších předpisů</w:t>
      </w:r>
      <w:r w:rsidR="00036226">
        <w:rPr>
          <w:rFonts w:ascii="Arial" w:hAnsi="Arial" w:cs="Arial"/>
          <w:sz w:val="20"/>
          <w:szCs w:val="20"/>
        </w:rPr>
        <w:t xml:space="preserve"> </w:t>
      </w:r>
      <w:r>
        <w:rPr>
          <w:rFonts w:ascii="Arial" w:hAnsi="Arial" w:cs="Arial"/>
          <w:sz w:val="20"/>
          <w:szCs w:val="20"/>
        </w:rPr>
        <w:t>podléhá správnímu poplatku v</w:t>
      </w:r>
      <w:r w:rsidR="00036226">
        <w:rPr>
          <w:rFonts w:ascii="Arial" w:hAnsi="Arial" w:cs="Arial"/>
          <w:sz w:val="20"/>
          <w:szCs w:val="20"/>
        </w:rPr>
        <w:t>e </w:t>
      </w:r>
      <w:r>
        <w:rPr>
          <w:rFonts w:ascii="Arial" w:hAnsi="Arial" w:cs="Arial"/>
          <w:sz w:val="20"/>
          <w:szCs w:val="20"/>
        </w:rPr>
        <w:t>výši 1.000 Kč</w:t>
      </w:r>
      <w:r w:rsidR="004E20C4">
        <w:rPr>
          <w:rStyle w:val="Znakapoznpodarou"/>
          <w:rFonts w:ascii="Arial" w:hAnsi="Arial" w:cs="Arial"/>
          <w:sz w:val="20"/>
          <w:szCs w:val="20"/>
        </w:rPr>
        <w:footnoteReference w:id="3"/>
      </w:r>
      <w:r>
        <w:rPr>
          <w:rFonts w:ascii="Arial" w:hAnsi="Arial" w:cs="Arial"/>
          <w:sz w:val="20"/>
          <w:szCs w:val="20"/>
        </w:rPr>
        <w:t>.</w:t>
      </w:r>
    </w:p>
    <w:p w14:paraId="710CE18A" w14:textId="77777777" w:rsidR="006D6037" w:rsidRPr="00ED7CE6" w:rsidRDefault="006D6037" w:rsidP="006D6037">
      <w:pPr>
        <w:pStyle w:val="Default"/>
        <w:jc w:val="both"/>
        <w:rPr>
          <w:color w:val="auto"/>
        </w:rPr>
      </w:pPr>
    </w:p>
    <w:p w14:paraId="16355097" w14:textId="77777777" w:rsidR="006D6037" w:rsidRDefault="006D6037" w:rsidP="00BB149F">
      <w:pPr>
        <w:pStyle w:val="Nadpis2"/>
      </w:pPr>
      <w:bookmarkStart w:id="13" w:name="_Toc452644787"/>
      <w:r w:rsidRPr="004E6DF2">
        <w:t>Prominutí</w:t>
      </w:r>
      <w:r>
        <w:t xml:space="preserve"> nebo částečné prominutí povinnosti uhradit odvod</w:t>
      </w:r>
      <w:bookmarkEnd w:id="13"/>
      <w:r>
        <w:t xml:space="preserve"> </w:t>
      </w:r>
    </w:p>
    <w:p w14:paraId="1661623C" w14:textId="77777777" w:rsidR="006D6037" w:rsidRPr="00717BEE" w:rsidRDefault="006D6037" w:rsidP="006D6037">
      <w:pPr>
        <w:pStyle w:val="Default"/>
        <w:jc w:val="both"/>
        <w:rPr>
          <w:color w:val="auto"/>
          <w:sz w:val="10"/>
          <w:szCs w:val="10"/>
        </w:rPr>
      </w:pPr>
    </w:p>
    <w:p w14:paraId="3102662C" w14:textId="6146ED0F" w:rsidR="006D6037" w:rsidRDefault="006D6037">
      <w:pPr>
        <w:jc w:val="both"/>
        <w:rPr>
          <w:rFonts w:ascii="Arial" w:hAnsi="Arial" w:cs="Arial"/>
          <w:sz w:val="20"/>
          <w:szCs w:val="20"/>
        </w:rPr>
      </w:pPr>
      <w:r w:rsidRPr="00E0376A">
        <w:rPr>
          <w:rFonts w:ascii="Arial" w:hAnsi="Arial" w:cs="Arial"/>
          <w:sz w:val="20"/>
          <w:szCs w:val="20"/>
        </w:rPr>
        <w:t xml:space="preserve">Odvod je vyměřen dle typu a závažnosti daného porušení v plné výši (závažné porušení), nebo bude v případě méně závažného porušení aplikován nižší odvod v souladu s přílohou č. 2 tohoto metodického postupu a uzavřenou Smlouvou (nebo dodatkem) viz bod </w:t>
      </w:r>
      <w:r w:rsidR="00FD22A1">
        <w:rPr>
          <w:rFonts w:ascii="Arial" w:hAnsi="Arial" w:cs="Arial"/>
          <w:sz w:val="20"/>
          <w:szCs w:val="20"/>
        </w:rPr>
        <w:t>2</w:t>
      </w:r>
      <w:r w:rsidRPr="00E0376A">
        <w:rPr>
          <w:rFonts w:ascii="Arial" w:hAnsi="Arial" w:cs="Arial"/>
          <w:sz w:val="20"/>
          <w:szCs w:val="20"/>
        </w:rPr>
        <w:t xml:space="preserve">.1 tohoto postupu. </w:t>
      </w:r>
    </w:p>
    <w:p w14:paraId="701B535D" w14:textId="09C25A33" w:rsidR="00CB5213" w:rsidRPr="000C623B" w:rsidRDefault="00CB5213" w:rsidP="00CB5213">
      <w:pPr>
        <w:jc w:val="both"/>
        <w:rPr>
          <w:rFonts w:ascii="Arial" w:hAnsi="Arial" w:cs="Arial"/>
          <w:sz w:val="20"/>
          <w:szCs w:val="20"/>
        </w:rPr>
      </w:pPr>
      <w:r w:rsidRPr="000C623B">
        <w:rPr>
          <w:rFonts w:ascii="Arial" w:hAnsi="Arial" w:cs="Arial"/>
          <w:sz w:val="20"/>
          <w:szCs w:val="20"/>
        </w:rPr>
        <w:t>V případě uděleného nižšího odvodu nelze promin</w:t>
      </w:r>
      <w:r>
        <w:rPr>
          <w:rFonts w:ascii="Arial" w:hAnsi="Arial" w:cs="Arial"/>
          <w:sz w:val="20"/>
          <w:szCs w:val="20"/>
        </w:rPr>
        <w:t>out/</w:t>
      </w:r>
      <w:r w:rsidRPr="000C623B">
        <w:rPr>
          <w:rFonts w:ascii="Arial" w:hAnsi="Arial" w:cs="Arial"/>
          <w:sz w:val="20"/>
          <w:szCs w:val="20"/>
        </w:rPr>
        <w:t xml:space="preserve"> částečn</w:t>
      </w:r>
      <w:r>
        <w:rPr>
          <w:rFonts w:ascii="Arial" w:hAnsi="Arial" w:cs="Arial"/>
          <w:sz w:val="20"/>
          <w:szCs w:val="20"/>
        </w:rPr>
        <w:t xml:space="preserve">ě </w:t>
      </w:r>
      <w:r w:rsidRPr="000C623B">
        <w:rPr>
          <w:rFonts w:ascii="Arial" w:hAnsi="Arial" w:cs="Arial"/>
          <w:sz w:val="20"/>
          <w:szCs w:val="20"/>
        </w:rPr>
        <w:t>promin</w:t>
      </w:r>
      <w:r>
        <w:rPr>
          <w:rFonts w:ascii="Arial" w:hAnsi="Arial" w:cs="Arial"/>
          <w:sz w:val="20"/>
          <w:szCs w:val="20"/>
        </w:rPr>
        <w:t>out</w:t>
      </w:r>
      <w:r w:rsidRPr="000C623B">
        <w:rPr>
          <w:rFonts w:ascii="Arial" w:hAnsi="Arial" w:cs="Arial"/>
          <w:sz w:val="20"/>
          <w:szCs w:val="20"/>
        </w:rPr>
        <w:t xml:space="preserve"> </w:t>
      </w:r>
      <w:r>
        <w:rPr>
          <w:rFonts w:ascii="Arial" w:hAnsi="Arial" w:cs="Arial"/>
          <w:sz w:val="20"/>
          <w:szCs w:val="20"/>
        </w:rPr>
        <w:t xml:space="preserve">již </w:t>
      </w:r>
      <w:r w:rsidRPr="000C623B">
        <w:rPr>
          <w:rFonts w:ascii="Arial" w:hAnsi="Arial" w:cs="Arial"/>
          <w:sz w:val="20"/>
          <w:szCs w:val="20"/>
        </w:rPr>
        <w:t>snížen</w:t>
      </w:r>
      <w:r>
        <w:rPr>
          <w:rFonts w:ascii="Arial" w:hAnsi="Arial" w:cs="Arial"/>
          <w:sz w:val="20"/>
          <w:szCs w:val="20"/>
        </w:rPr>
        <w:t>ý</w:t>
      </w:r>
      <w:r w:rsidRPr="000C623B">
        <w:rPr>
          <w:rFonts w:ascii="Arial" w:hAnsi="Arial" w:cs="Arial"/>
          <w:sz w:val="20"/>
          <w:szCs w:val="20"/>
        </w:rPr>
        <w:t xml:space="preserve"> odvodu, s výjimkou případů, kdy k porušení rozpočtové kázně na straně příjemce dojde v důsledku prokázané chyby či nesoučinnosti poskytovatele, z důvodu živelné katastrofy či státem změněné situace.</w:t>
      </w:r>
    </w:p>
    <w:p w14:paraId="08BDDCC4" w14:textId="24AB9997" w:rsidR="006D6037" w:rsidRPr="00ED7CE6" w:rsidRDefault="006D6037" w:rsidP="006D6037">
      <w:pPr>
        <w:pStyle w:val="Default"/>
        <w:jc w:val="both"/>
        <w:rPr>
          <w:b/>
          <w:bCs/>
          <w:color w:val="auto"/>
        </w:rPr>
      </w:pPr>
    </w:p>
    <w:p w14:paraId="76CAF250" w14:textId="11166A2C" w:rsidR="006D6037" w:rsidRDefault="006D6037" w:rsidP="00E861C7">
      <w:pPr>
        <w:pStyle w:val="Nadpis2"/>
      </w:pPr>
      <w:bookmarkStart w:id="14" w:name="_Toc452644788"/>
      <w:r>
        <w:t>Prominutí nebo částečné prominutí povinnosti uhradit penále</w:t>
      </w:r>
      <w:bookmarkEnd w:id="14"/>
      <w:r>
        <w:t xml:space="preserve"> </w:t>
      </w:r>
    </w:p>
    <w:p w14:paraId="5DE1DE80" w14:textId="6E401DCC" w:rsidR="00FD22A1" w:rsidRPr="00036226" w:rsidRDefault="0086742D" w:rsidP="00FD22A1">
      <w:pPr>
        <w:jc w:val="both"/>
        <w:rPr>
          <w:rFonts w:ascii="Arial" w:hAnsi="Arial" w:cs="Arial"/>
          <w:sz w:val="20"/>
          <w:szCs w:val="20"/>
        </w:rPr>
      </w:pPr>
      <w:r w:rsidRPr="00036226">
        <w:rPr>
          <w:rFonts w:ascii="Arial" w:hAnsi="Arial" w:cs="Arial"/>
          <w:sz w:val="20"/>
          <w:szCs w:val="20"/>
        </w:rPr>
        <w:t xml:space="preserve">Vyměřené penále za prodlení s úhradou odvodu lze prominout </w:t>
      </w:r>
      <w:r w:rsidRPr="00BB149F">
        <w:rPr>
          <w:rFonts w:ascii="Arial" w:hAnsi="Arial" w:cs="Arial"/>
          <w:sz w:val="20"/>
          <w:szCs w:val="20"/>
        </w:rPr>
        <w:t xml:space="preserve">pouze </w:t>
      </w:r>
      <w:r w:rsidRPr="00036226">
        <w:rPr>
          <w:rFonts w:ascii="Arial" w:hAnsi="Arial" w:cs="Arial"/>
          <w:sz w:val="20"/>
          <w:szCs w:val="20"/>
        </w:rPr>
        <w:t>do výše úroku z prodlení definovaného v nařízení č. 1303/2013.</w:t>
      </w:r>
    </w:p>
    <w:p w14:paraId="49730DB6" w14:textId="39117847" w:rsidR="00FD22A1" w:rsidRDefault="00FD22A1" w:rsidP="00FD22A1">
      <w:pPr>
        <w:jc w:val="both"/>
        <w:rPr>
          <w:rFonts w:ascii="Arial" w:hAnsi="Arial" w:cs="Arial"/>
          <w:sz w:val="20"/>
          <w:szCs w:val="20"/>
        </w:rPr>
      </w:pPr>
      <w:r w:rsidRPr="00E0376A">
        <w:rPr>
          <w:rFonts w:ascii="Arial" w:hAnsi="Arial" w:cs="Arial"/>
          <w:sz w:val="20"/>
          <w:szCs w:val="20"/>
        </w:rPr>
        <w:t xml:space="preserve">Za zcela výjimečnou situaci odůvodňující prominutí </w:t>
      </w:r>
      <w:r>
        <w:rPr>
          <w:rFonts w:ascii="Arial" w:hAnsi="Arial" w:cs="Arial"/>
          <w:sz w:val="20"/>
          <w:szCs w:val="20"/>
        </w:rPr>
        <w:t>penále</w:t>
      </w:r>
      <w:r w:rsidRPr="00E0376A">
        <w:rPr>
          <w:rFonts w:ascii="Arial" w:hAnsi="Arial" w:cs="Arial"/>
          <w:sz w:val="20"/>
          <w:szCs w:val="20"/>
        </w:rPr>
        <w:t xml:space="preserve"> </w:t>
      </w:r>
      <w:r w:rsidR="0086742D">
        <w:rPr>
          <w:rFonts w:ascii="Arial" w:hAnsi="Arial" w:cs="Arial"/>
          <w:sz w:val="20"/>
          <w:szCs w:val="20"/>
        </w:rPr>
        <w:t xml:space="preserve">v plném rozsahu </w:t>
      </w:r>
      <w:r w:rsidRPr="00E0376A">
        <w:rPr>
          <w:rFonts w:ascii="Arial" w:hAnsi="Arial" w:cs="Arial"/>
          <w:sz w:val="20"/>
          <w:szCs w:val="20"/>
        </w:rPr>
        <w:t>budou považovány případy, kdy k porušení rozpočtové kázně na straně příjemce dojde v důsledku prokázané chyby či nesoučinnosti poskytovatele, či z důvodu živelné katastrofy či státem změněné situace.</w:t>
      </w:r>
    </w:p>
    <w:p w14:paraId="4FACB99B" w14:textId="77777777" w:rsidR="006D6037" w:rsidRDefault="006D6037" w:rsidP="00E0376A">
      <w:pPr>
        <w:pStyle w:val="Default"/>
        <w:jc w:val="both"/>
        <w:rPr>
          <w:color w:val="auto"/>
          <w:sz w:val="20"/>
          <w:szCs w:val="20"/>
        </w:rPr>
      </w:pPr>
    </w:p>
    <w:p w14:paraId="3059536A" w14:textId="77777777" w:rsidR="006D6037" w:rsidRDefault="006D6037" w:rsidP="00E0376A">
      <w:pPr>
        <w:pStyle w:val="Default"/>
        <w:jc w:val="both"/>
        <w:rPr>
          <w:b/>
          <w:bCs/>
          <w:color w:val="auto"/>
          <w:sz w:val="28"/>
          <w:szCs w:val="28"/>
        </w:rPr>
      </w:pPr>
    </w:p>
    <w:p w14:paraId="6DE1D6C2" w14:textId="77777777" w:rsidR="006D6037" w:rsidRPr="000D35F3" w:rsidRDefault="006D6037" w:rsidP="00E0376A">
      <w:pPr>
        <w:pStyle w:val="Nadpis1"/>
      </w:pPr>
      <w:bookmarkStart w:id="15" w:name="_Toc452644789"/>
      <w:r w:rsidRPr="000D35F3">
        <w:t>Další sankce a poplatky spojené s porušením podmínek smlouvy o poskytnutí podpory</w:t>
      </w:r>
      <w:bookmarkEnd w:id="15"/>
    </w:p>
    <w:p w14:paraId="0BF8B4BC" w14:textId="22B54100" w:rsidR="006D6037" w:rsidRPr="004B6F92" w:rsidRDefault="006D6037" w:rsidP="00E0376A">
      <w:pPr>
        <w:jc w:val="both"/>
        <w:rPr>
          <w:rFonts w:ascii="Arial" w:hAnsi="Arial" w:cs="Arial"/>
          <w:sz w:val="20"/>
          <w:szCs w:val="20"/>
        </w:rPr>
      </w:pPr>
      <w:r w:rsidRPr="004B6F92">
        <w:rPr>
          <w:rFonts w:ascii="Arial" w:hAnsi="Arial" w:cs="Arial"/>
          <w:sz w:val="20"/>
          <w:szCs w:val="20"/>
        </w:rPr>
        <w:t>V souladu s</w:t>
      </w:r>
      <w:r w:rsidR="0015379B">
        <w:rPr>
          <w:rFonts w:ascii="Arial" w:hAnsi="Arial" w:cs="Arial"/>
          <w:sz w:val="20"/>
          <w:szCs w:val="20"/>
        </w:rPr>
        <w:t xml:space="preserve"> ust. § </w:t>
      </w:r>
      <w:r w:rsidRPr="004B6F92">
        <w:rPr>
          <w:rFonts w:ascii="Arial" w:hAnsi="Arial" w:cs="Arial"/>
          <w:sz w:val="20"/>
          <w:szCs w:val="20"/>
        </w:rPr>
        <w:t>156 daňov</w:t>
      </w:r>
      <w:r w:rsidR="0086742D">
        <w:rPr>
          <w:rFonts w:ascii="Arial" w:hAnsi="Arial" w:cs="Arial"/>
          <w:sz w:val="20"/>
          <w:szCs w:val="20"/>
        </w:rPr>
        <w:t>ého</w:t>
      </w:r>
      <w:r w:rsidRPr="004B6F92">
        <w:rPr>
          <w:rFonts w:ascii="Arial" w:hAnsi="Arial" w:cs="Arial"/>
          <w:sz w:val="20"/>
          <w:szCs w:val="20"/>
        </w:rPr>
        <w:t xml:space="preserve"> řád</w:t>
      </w:r>
      <w:r w:rsidR="0086742D">
        <w:rPr>
          <w:rFonts w:ascii="Arial" w:hAnsi="Arial" w:cs="Arial"/>
          <w:sz w:val="20"/>
          <w:szCs w:val="20"/>
        </w:rPr>
        <w:t>u</w:t>
      </w:r>
      <w:r w:rsidRPr="004B6F92">
        <w:rPr>
          <w:rFonts w:ascii="Arial" w:hAnsi="Arial" w:cs="Arial"/>
          <w:sz w:val="20"/>
          <w:szCs w:val="20"/>
        </w:rPr>
        <w:t xml:space="preserve"> může příjemce po</w:t>
      </w:r>
      <w:r w:rsidR="00036226">
        <w:rPr>
          <w:rFonts w:ascii="Arial" w:hAnsi="Arial" w:cs="Arial"/>
          <w:sz w:val="20"/>
          <w:szCs w:val="20"/>
        </w:rPr>
        <w:t xml:space="preserve">dat </w:t>
      </w:r>
      <w:r w:rsidRPr="004B6F92">
        <w:rPr>
          <w:rFonts w:ascii="Arial" w:hAnsi="Arial" w:cs="Arial"/>
          <w:sz w:val="20"/>
          <w:szCs w:val="20"/>
        </w:rPr>
        <w:t>žád</w:t>
      </w:r>
      <w:r w:rsidR="00036226">
        <w:rPr>
          <w:rFonts w:ascii="Arial" w:hAnsi="Arial" w:cs="Arial"/>
          <w:sz w:val="20"/>
          <w:szCs w:val="20"/>
        </w:rPr>
        <w:t>ost</w:t>
      </w:r>
      <w:r w:rsidRPr="004B6F92">
        <w:rPr>
          <w:rFonts w:ascii="Arial" w:hAnsi="Arial" w:cs="Arial"/>
          <w:sz w:val="20"/>
          <w:szCs w:val="20"/>
        </w:rPr>
        <w:t xml:space="preserve"> o posečkání úhrady odvodu / penále</w:t>
      </w:r>
      <w:r w:rsidR="0086742D">
        <w:rPr>
          <w:rFonts w:ascii="Arial" w:hAnsi="Arial" w:cs="Arial"/>
          <w:sz w:val="20"/>
          <w:szCs w:val="20"/>
        </w:rPr>
        <w:t xml:space="preserve"> nebo </w:t>
      </w:r>
      <w:r w:rsidR="00036226">
        <w:rPr>
          <w:rFonts w:ascii="Arial" w:hAnsi="Arial" w:cs="Arial"/>
          <w:sz w:val="20"/>
          <w:szCs w:val="20"/>
        </w:rPr>
        <w:t>rozložení úhrady odvodu/penále na splátky</w:t>
      </w:r>
      <w:r w:rsidRPr="004B6F92">
        <w:rPr>
          <w:rFonts w:ascii="Arial" w:hAnsi="Arial" w:cs="Arial"/>
          <w:sz w:val="20"/>
          <w:szCs w:val="20"/>
        </w:rPr>
        <w:t xml:space="preserve">. </w:t>
      </w:r>
    </w:p>
    <w:p w14:paraId="3E8E9E49" w14:textId="704ED72D" w:rsidR="0086742D" w:rsidRPr="00B8739A" w:rsidRDefault="0086742D" w:rsidP="0086742D">
      <w:pPr>
        <w:spacing w:before="200"/>
        <w:jc w:val="both"/>
        <w:rPr>
          <w:rFonts w:ascii="Arial" w:hAnsi="Arial" w:cs="Arial"/>
          <w:sz w:val="20"/>
          <w:szCs w:val="20"/>
        </w:rPr>
      </w:pPr>
      <w:r>
        <w:rPr>
          <w:rFonts w:ascii="Arial" w:hAnsi="Arial" w:cs="Arial"/>
          <w:sz w:val="20"/>
          <w:szCs w:val="20"/>
        </w:rPr>
        <w:t xml:space="preserve">Přijetí žádosti o povolení posečkání příslušenství daně nebo </w:t>
      </w:r>
      <w:r w:rsidR="00036226">
        <w:rPr>
          <w:rFonts w:ascii="Arial" w:hAnsi="Arial" w:cs="Arial"/>
          <w:sz w:val="20"/>
          <w:szCs w:val="20"/>
        </w:rPr>
        <w:t xml:space="preserve">přijetí </w:t>
      </w:r>
      <w:r>
        <w:rPr>
          <w:rFonts w:ascii="Arial" w:hAnsi="Arial" w:cs="Arial"/>
          <w:sz w:val="20"/>
          <w:szCs w:val="20"/>
        </w:rPr>
        <w:t>žádost</w:t>
      </w:r>
      <w:r w:rsidR="00036226">
        <w:rPr>
          <w:rFonts w:ascii="Arial" w:hAnsi="Arial" w:cs="Arial"/>
          <w:sz w:val="20"/>
          <w:szCs w:val="20"/>
        </w:rPr>
        <w:t xml:space="preserve">i o povolení </w:t>
      </w:r>
      <w:r>
        <w:rPr>
          <w:rFonts w:ascii="Arial" w:hAnsi="Arial" w:cs="Arial"/>
          <w:sz w:val="20"/>
          <w:szCs w:val="20"/>
        </w:rPr>
        <w:t xml:space="preserve">zaplacení </w:t>
      </w:r>
      <w:r w:rsidR="00036226">
        <w:rPr>
          <w:rFonts w:ascii="Arial" w:hAnsi="Arial" w:cs="Arial"/>
          <w:sz w:val="20"/>
          <w:szCs w:val="20"/>
        </w:rPr>
        <w:t xml:space="preserve">příslušenství daně </w:t>
      </w:r>
      <w:r>
        <w:rPr>
          <w:rFonts w:ascii="Arial" w:hAnsi="Arial" w:cs="Arial"/>
          <w:sz w:val="20"/>
          <w:szCs w:val="20"/>
        </w:rPr>
        <w:t xml:space="preserve">ve splátkách dle </w:t>
      </w:r>
      <w:r w:rsidR="00036226">
        <w:rPr>
          <w:rFonts w:ascii="Arial" w:hAnsi="Arial" w:cs="Arial"/>
          <w:sz w:val="20"/>
          <w:szCs w:val="20"/>
        </w:rPr>
        <w:t xml:space="preserve">přílohy v části I, Položka 1, odst. 1d) </w:t>
      </w:r>
      <w:r>
        <w:rPr>
          <w:rFonts w:ascii="Arial" w:hAnsi="Arial" w:cs="Arial"/>
          <w:sz w:val="20"/>
          <w:szCs w:val="20"/>
        </w:rPr>
        <w:t xml:space="preserve">zákona č. </w:t>
      </w:r>
      <w:r w:rsidR="00036226" w:rsidRPr="00C56197">
        <w:rPr>
          <w:rFonts w:ascii="Arial" w:hAnsi="Arial" w:cs="Arial"/>
          <w:sz w:val="20"/>
          <w:szCs w:val="20"/>
        </w:rPr>
        <w:t>634/2004 Sb., o</w:t>
      </w:r>
      <w:r w:rsidR="00036226">
        <w:rPr>
          <w:rFonts w:ascii="Arial" w:hAnsi="Arial" w:cs="Arial"/>
          <w:sz w:val="20"/>
          <w:szCs w:val="20"/>
        </w:rPr>
        <w:t> </w:t>
      </w:r>
      <w:r w:rsidR="00036226" w:rsidRPr="00C56197">
        <w:rPr>
          <w:rFonts w:ascii="Arial" w:hAnsi="Arial" w:cs="Arial"/>
          <w:sz w:val="20"/>
          <w:szCs w:val="20"/>
        </w:rPr>
        <w:t>správních poplatcích, ve znění pozdějších předpisů</w:t>
      </w:r>
      <w:r w:rsidR="00036226">
        <w:rPr>
          <w:rFonts w:ascii="Arial" w:hAnsi="Arial" w:cs="Arial"/>
          <w:sz w:val="20"/>
          <w:szCs w:val="20"/>
        </w:rPr>
        <w:t xml:space="preserve"> </w:t>
      </w:r>
      <w:r>
        <w:rPr>
          <w:rFonts w:ascii="Arial" w:hAnsi="Arial" w:cs="Arial"/>
          <w:sz w:val="20"/>
          <w:szCs w:val="20"/>
        </w:rPr>
        <w:t>podléhá správnímu poplatku ve výši 400 Kč</w:t>
      </w:r>
      <w:r w:rsidR="004E20C4">
        <w:rPr>
          <w:rStyle w:val="Znakapoznpodarou"/>
          <w:rFonts w:ascii="Arial" w:hAnsi="Arial" w:cs="Arial"/>
          <w:sz w:val="20"/>
          <w:szCs w:val="20"/>
        </w:rPr>
        <w:footnoteReference w:id="4"/>
      </w:r>
      <w:r>
        <w:rPr>
          <w:rFonts w:ascii="Arial" w:hAnsi="Arial" w:cs="Arial"/>
          <w:sz w:val="20"/>
          <w:szCs w:val="20"/>
        </w:rPr>
        <w:t>.</w:t>
      </w:r>
    </w:p>
    <w:p w14:paraId="1D6B8286" w14:textId="0A841389" w:rsidR="006D6037" w:rsidRPr="004B6F92" w:rsidRDefault="006D6037">
      <w:pPr>
        <w:jc w:val="both"/>
        <w:rPr>
          <w:rFonts w:ascii="Arial" w:hAnsi="Arial" w:cs="Arial"/>
          <w:sz w:val="20"/>
          <w:szCs w:val="20"/>
        </w:rPr>
      </w:pPr>
      <w:r w:rsidRPr="004B6F92">
        <w:rPr>
          <w:rFonts w:ascii="Arial" w:hAnsi="Arial" w:cs="Arial"/>
          <w:sz w:val="20"/>
          <w:szCs w:val="20"/>
        </w:rPr>
        <w:t>Podle</w:t>
      </w:r>
      <w:r w:rsidR="0015379B">
        <w:rPr>
          <w:rFonts w:ascii="Arial" w:hAnsi="Arial" w:cs="Arial"/>
          <w:sz w:val="20"/>
          <w:szCs w:val="20"/>
        </w:rPr>
        <w:t xml:space="preserve"> ust. § </w:t>
      </w:r>
      <w:r w:rsidRPr="004B6F92">
        <w:rPr>
          <w:rFonts w:ascii="Arial" w:hAnsi="Arial" w:cs="Arial"/>
          <w:sz w:val="20"/>
          <w:szCs w:val="20"/>
        </w:rPr>
        <w:t>156</w:t>
      </w:r>
      <w:r w:rsidR="00036226">
        <w:rPr>
          <w:rFonts w:ascii="Arial" w:hAnsi="Arial" w:cs="Arial"/>
          <w:sz w:val="20"/>
          <w:szCs w:val="20"/>
        </w:rPr>
        <w:t xml:space="preserve"> daňového řádu</w:t>
      </w:r>
      <w:r w:rsidRPr="004B6F92">
        <w:rPr>
          <w:rFonts w:ascii="Arial" w:hAnsi="Arial" w:cs="Arial"/>
          <w:sz w:val="20"/>
          <w:szCs w:val="20"/>
        </w:rPr>
        <w:t xml:space="preserve"> </w:t>
      </w:r>
      <w:r w:rsidR="00036226">
        <w:rPr>
          <w:rFonts w:ascii="Arial" w:hAnsi="Arial" w:cs="Arial"/>
          <w:sz w:val="20"/>
          <w:szCs w:val="20"/>
        </w:rPr>
        <w:t>lze p</w:t>
      </w:r>
      <w:r w:rsidRPr="004B6F92">
        <w:rPr>
          <w:rFonts w:ascii="Arial" w:hAnsi="Arial" w:cs="Arial"/>
          <w:sz w:val="20"/>
          <w:szCs w:val="20"/>
        </w:rPr>
        <w:t xml:space="preserve">osečkání </w:t>
      </w:r>
      <w:r w:rsidR="00036226">
        <w:rPr>
          <w:rFonts w:ascii="Arial" w:hAnsi="Arial" w:cs="Arial"/>
          <w:sz w:val="20"/>
          <w:szCs w:val="20"/>
        </w:rPr>
        <w:t xml:space="preserve">úhrady odvodu/penále </w:t>
      </w:r>
      <w:r w:rsidRPr="004B6F92">
        <w:rPr>
          <w:rFonts w:ascii="Arial" w:hAnsi="Arial" w:cs="Arial"/>
          <w:sz w:val="20"/>
          <w:szCs w:val="20"/>
        </w:rPr>
        <w:t xml:space="preserve">povolit nejdříve ode dne splatnosti odvodu či penále, a to i zpětně. </w:t>
      </w:r>
    </w:p>
    <w:p w14:paraId="4EA35570" w14:textId="55E9C9FF" w:rsidR="006D6037" w:rsidRPr="004B6F92" w:rsidRDefault="006D6037" w:rsidP="00E0376A">
      <w:pPr>
        <w:jc w:val="both"/>
        <w:rPr>
          <w:rFonts w:ascii="Arial" w:hAnsi="Arial" w:cs="Arial"/>
          <w:sz w:val="20"/>
          <w:szCs w:val="20"/>
        </w:rPr>
      </w:pPr>
      <w:r w:rsidRPr="004B6F92">
        <w:rPr>
          <w:rFonts w:ascii="Arial" w:hAnsi="Arial" w:cs="Arial"/>
          <w:sz w:val="20"/>
          <w:szCs w:val="20"/>
        </w:rPr>
        <w:t xml:space="preserve">Po dobu posečkání úhrady odvodu / penále nevzniká příjemci podpory povinnost uhradit úrok z prodlení, vzniká mu však povinnost uhradit </w:t>
      </w:r>
      <w:r w:rsidRPr="004B6F92">
        <w:rPr>
          <w:rFonts w:ascii="Arial" w:hAnsi="Arial" w:cs="Arial"/>
          <w:b/>
          <w:sz w:val="20"/>
          <w:szCs w:val="20"/>
        </w:rPr>
        <w:t>úrok z posečkané částky</w:t>
      </w:r>
      <w:r w:rsidRPr="004B6F92">
        <w:rPr>
          <w:rFonts w:ascii="Arial" w:hAnsi="Arial" w:cs="Arial"/>
          <w:sz w:val="20"/>
          <w:szCs w:val="20"/>
        </w:rPr>
        <w:t xml:space="preserve"> (ve smyslu</w:t>
      </w:r>
      <w:r w:rsidR="0015379B">
        <w:rPr>
          <w:rFonts w:ascii="Arial" w:hAnsi="Arial" w:cs="Arial"/>
          <w:sz w:val="20"/>
          <w:szCs w:val="20"/>
        </w:rPr>
        <w:t xml:space="preserve"> ust. § </w:t>
      </w:r>
      <w:r w:rsidRPr="004B6F92">
        <w:rPr>
          <w:rFonts w:ascii="Arial" w:hAnsi="Arial" w:cs="Arial"/>
          <w:sz w:val="20"/>
          <w:szCs w:val="20"/>
        </w:rPr>
        <w:t xml:space="preserve">157 daňového řádu). Poskytovatel </w:t>
      </w:r>
      <w:r w:rsidRPr="004B6F92">
        <w:rPr>
          <w:rFonts w:ascii="Arial" w:hAnsi="Arial" w:cs="Arial"/>
          <w:b/>
          <w:sz w:val="20"/>
          <w:szCs w:val="20"/>
        </w:rPr>
        <w:t>může upustit od předepsání úroku z posečkání</w:t>
      </w:r>
      <w:r w:rsidRPr="004B6F92">
        <w:rPr>
          <w:rFonts w:ascii="Arial" w:hAnsi="Arial" w:cs="Arial"/>
          <w:sz w:val="20"/>
          <w:szCs w:val="20"/>
        </w:rPr>
        <w:t xml:space="preserve"> (v souladu s</w:t>
      </w:r>
      <w:r w:rsidR="0015379B">
        <w:rPr>
          <w:rFonts w:ascii="Arial" w:hAnsi="Arial" w:cs="Arial"/>
          <w:sz w:val="20"/>
          <w:szCs w:val="20"/>
        </w:rPr>
        <w:t xml:space="preserve"> ust. § </w:t>
      </w:r>
      <w:r w:rsidRPr="004B6F92">
        <w:rPr>
          <w:rFonts w:ascii="Arial" w:hAnsi="Arial" w:cs="Arial"/>
          <w:sz w:val="20"/>
          <w:szCs w:val="20"/>
        </w:rPr>
        <w:t xml:space="preserve">157 odst. 7 daňového řádu) </w:t>
      </w:r>
      <w:r w:rsidRPr="004B6F92">
        <w:rPr>
          <w:rFonts w:ascii="Arial" w:hAnsi="Arial" w:cs="Arial"/>
          <w:b/>
          <w:sz w:val="20"/>
          <w:szCs w:val="20"/>
        </w:rPr>
        <w:t>pokud by šlo o tvrdost uplatněného nároku (pro ekonomické nebo sociální poměry příjemce) z moci úřední</w:t>
      </w:r>
      <w:r w:rsidRPr="004B6F92">
        <w:rPr>
          <w:rFonts w:ascii="Arial" w:hAnsi="Arial" w:cs="Arial"/>
          <w:sz w:val="20"/>
          <w:szCs w:val="20"/>
        </w:rPr>
        <w:t xml:space="preserve">. </w:t>
      </w:r>
    </w:p>
    <w:p w14:paraId="4404BA77" w14:textId="77777777" w:rsidR="006D6037" w:rsidRPr="00A83D90" w:rsidRDefault="006D6037" w:rsidP="006D6037">
      <w:pPr>
        <w:pStyle w:val="Default"/>
        <w:rPr>
          <w:b/>
          <w:sz w:val="20"/>
          <w:szCs w:val="20"/>
        </w:rPr>
      </w:pPr>
    </w:p>
    <w:p w14:paraId="047244F8" w14:textId="77777777" w:rsidR="006D6037" w:rsidRPr="000D35F3" w:rsidRDefault="006D6037" w:rsidP="006D6037">
      <w:pPr>
        <w:pStyle w:val="Nadpis1"/>
      </w:pPr>
      <w:bookmarkStart w:id="16" w:name="_Toc452644790"/>
      <w:r w:rsidRPr="000D35F3">
        <w:lastRenderedPageBreak/>
        <w:t>Odvolací řízení</w:t>
      </w:r>
      <w:bookmarkEnd w:id="16"/>
      <w:r w:rsidRPr="000D35F3">
        <w:t xml:space="preserve"> </w:t>
      </w:r>
    </w:p>
    <w:p w14:paraId="2ECC9A7D" w14:textId="1F4EC14C" w:rsidR="006D6037" w:rsidRPr="004B6F92" w:rsidRDefault="006D6037" w:rsidP="006D6037">
      <w:pPr>
        <w:jc w:val="both"/>
        <w:rPr>
          <w:rFonts w:ascii="Arial" w:hAnsi="Arial" w:cs="Arial"/>
          <w:sz w:val="20"/>
          <w:szCs w:val="20"/>
        </w:rPr>
      </w:pPr>
      <w:r w:rsidRPr="004B6F92">
        <w:rPr>
          <w:rFonts w:ascii="Arial" w:hAnsi="Arial" w:cs="Arial"/>
          <w:sz w:val="20"/>
          <w:szCs w:val="20"/>
        </w:rPr>
        <w:t>Součástí všech vydaných rozhodnutí je</w:t>
      </w:r>
      <w:r w:rsidR="00036226">
        <w:rPr>
          <w:rFonts w:ascii="Arial" w:hAnsi="Arial" w:cs="Arial"/>
          <w:sz w:val="20"/>
          <w:szCs w:val="20"/>
        </w:rPr>
        <w:t xml:space="preserve"> v souladu s</w:t>
      </w:r>
      <w:r w:rsidR="0015379B">
        <w:rPr>
          <w:rFonts w:ascii="Arial" w:hAnsi="Arial" w:cs="Arial"/>
          <w:sz w:val="20"/>
          <w:szCs w:val="20"/>
        </w:rPr>
        <w:t xml:space="preserve"> ust. § </w:t>
      </w:r>
      <w:r w:rsidR="00495BAB">
        <w:rPr>
          <w:rFonts w:ascii="Arial" w:hAnsi="Arial" w:cs="Arial"/>
          <w:sz w:val="20"/>
          <w:szCs w:val="20"/>
        </w:rPr>
        <w:t>102 daňového řádu</w:t>
      </w:r>
      <w:r w:rsidRPr="004B6F92">
        <w:rPr>
          <w:rFonts w:ascii="Arial" w:hAnsi="Arial" w:cs="Arial"/>
          <w:sz w:val="20"/>
          <w:szCs w:val="20"/>
        </w:rPr>
        <w:t xml:space="preserve"> poučení o odvolání</w:t>
      </w:r>
      <w:r w:rsidR="00036226">
        <w:rPr>
          <w:rFonts w:ascii="Arial" w:hAnsi="Arial" w:cs="Arial"/>
          <w:sz w:val="20"/>
          <w:szCs w:val="20"/>
        </w:rPr>
        <w:t xml:space="preserve">. </w:t>
      </w:r>
      <w:r w:rsidRPr="004B6F92">
        <w:rPr>
          <w:rFonts w:ascii="Arial" w:hAnsi="Arial" w:cs="Arial"/>
          <w:sz w:val="20"/>
          <w:szCs w:val="20"/>
        </w:rPr>
        <w:t>Příjemce může za dodržení podmínek stanovených v ust.</w:t>
      </w:r>
      <w:r w:rsidR="0015379B">
        <w:rPr>
          <w:rFonts w:ascii="Arial" w:hAnsi="Arial" w:cs="Arial"/>
          <w:sz w:val="20"/>
          <w:szCs w:val="20"/>
        </w:rPr>
        <w:t xml:space="preserve"> § </w:t>
      </w:r>
      <w:r w:rsidRPr="004B6F92">
        <w:rPr>
          <w:rFonts w:ascii="Arial" w:hAnsi="Arial" w:cs="Arial"/>
          <w:sz w:val="20"/>
          <w:szCs w:val="20"/>
        </w:rPr>
        <w:t xml:space="preserve">109 a násl. daňového řádu do třiceti dnů ode dne doručení rozhodnutí/platebního výměru (a to i před doručením tohoto rozhodnutí) podat </w:t>
      </w:r>
      <w:r w:rsidRPr="004B6F92">
        <w:rPr>
          <w:rFonts w:ascii="Arial" w:hAnsi="Arial" w:cs="Arial"/>
          <w:b/>
          <w:bCs/>
          <w:sz w:val="20"/>
          <w:szCs w:val="20"/>
        </w:rPr>
        <w:t>odvolání proti tomuto rozhodnutí</w:t>
      </w:r>
      <w:r w:rsidR="00495BAB">
        <w:rPr>
          <w:rFonts w:ascii="Arial" w:hAnsi="Arial" w:cs="Arial"/>
          <w:b/>
          <w:bCs/>
          <w:sz w:val="20"/>
          <w:szCs w:val="20"/>
        </w:rPr>
        <w:t>.</w:t>
      </w:r>
    </w:p>
    <w:p w14:paraId="7A4F7051" w14:textId="6A6F3D7B" w:rsidR="006D6037" w:rsidRPr="004B6F92" w:rsidRDefault="006D6037" w:rsidP="006D6037">
      <w:pPr>
        <w:jc w:val="both"/>
        <w:rPr>
          <w:rFonts w:ascii="Arial" w:hAnsi="Arial" w:cs="Arial"/>
          <w:sz w:val="20"/>
          <w:szCs w:val="20"/>
        </w:rPr>
      </w:pPr>
      <w:r w:rsidRPr="004B6F92">
        <w:rPr>
          <w:rFonts w:ascii="Arial" w:hAnsi="Arial" w:cs="Arial"/>
          <w:sz w:val="20"/>
          <w:szCs w:val="20"/>
        </w:rPr>
        <w:t>Po obdržení odvolání poskytovatel odvolání přezkoumá v souladu se všemi postupy a povinnostmi vyplývajícími z ust.</w:t>
      </w:r>
      <w:r w:rsidR="0015379B">
        <w:rPr>
          <w:rFonts w:ascii="Arial" w:hAnsi="Arial" w:cs="Arial"/>
          <w:sz w:val="20"/>
          <w:szCs w:val="20"/>
        </w:rPr>
        <w:t xml:space="preserve"> § </w:t>
      </w:r>
      <w:r w:rsidRPr="004B6F92">
        <w:rPr>
          <w:rFonts w:ascii="Arial" w:hAnsi="Arial" w:cs="Arial"/>
          <w:sz w:val="20"/>
          <w:szCs w:val="20"/>
        </w:rPr>
        <w:t>109 a násl. daňového řádu. V případě, že odvolání neobsahuje požadované náležitosti, je příjemce bez zbytečného odkladu vyzván k doplnění svého odvolání s poučením, v jakém směru musí být doplněno. V odvolání je pro doplnění stanovena přiměřená lhůta, která nesmí být kratší než 15 dnů. Pokud poskytovatel, jehož rozhodnutí je odvoláním napadeno, o odvolání nerozhodne sám dle ust.</w:t>
      </w:r>
      <w:r w:rsidR="0015379B">
        <w:rPr>
          <w:rFonts w:ascii="Arial" w:hAnsi="Arial" w:cs="Arial"/>
          <w:sz w:val="20"/>
          <w:szCs w:val="20"/>
        </w:rPr>
        <w:t xml:space="preserve"> § </w:t>
      </w:r>
      <w:r w:rsidRPr="004B6F92">
        <w:rPr>
          <w:rFonts w:ascii="Arial" w:hAnsi="Arial" w:cs="Arial"/>
          <w:sz w:val="20"/>
          <w:szCs w:val="20"/>
        </w:rPr>
        <w:t>113 daňového řádu (v rámci autoremedury</w:t>
      </w:r>
      <w:r w:rsidR="00495BAB">
        <w:rPr>
          <w:rFonts w:ascii="Arial" w:hAnsi="Arial" w:cs="Arial"/>
          <w:sz w:val="20"/>
          <w:szCs w:val="20"/>
        </w:rPr>
        <w:t xml:space="preserve"> nebo částečné autoremedury</w:t>
      </w:r>
      <w:r w:rsidRPr="004B6F92">
        <w:rPr>
          <w:rFonts w:ascii="Arial" w:hAnsi="Arial" w:cs="Arial"/>
          <w:sz w:val="20"/>
          <w:szCs w:val="20"/>
        </w:rPr>
        <w:t>), postoupí odvolání s příslušnou částí spisu a se svým stanoviskem bez zbytečného odkladu odvolacímu orgánu,</w:t>
      </w:r>
      <w:r w:rsidR="00495BAB">
        <w:rPr>
          <w:rFonts w:ascii="Arial" w:hAnsi="Arial" w:cs="Arial"/>
          <w:sz w:val="20"/>
          <w:szCs w:val="20"/>
        </w:rPr>
        <w:t xml:space="preserve"> </w:t>
      </w:r>
      <w:r w:rsidRPr="004B6F92">
        <w:rPr>
          <w:rFonts w:ascii="Arial" w:hAnsi="Arial" w:cs="Arial"/>
          <w:sz w:val="20"/>
          <w:szCs w:val="20"/>
        </w:rPr>
        <w:t>Ministerstvu financí ČR</w:t>
      </w:r>
      <w:r w:rsidR="00495BAB">
        <w:rPr>
          <w:rFonts w:ascii="Arial" w:hAnsi="Arial" w:cs="Arial"/>
          <w:sz w:val="20"/>
          <w:szCs w:val="20"/>
        </w:rPr>
        <w:t>. Podle</w:t>
      </w:r>
      <w:r w:rsidR="0015379B">
        <w:rPr>
          <w:rFonts w:ascii="Arial" w:hAnsi="Arial" w:cs="Arial"/>
          <w:sz w:val="20"/>
          <w:szCs w:val="20"/>
        </w:rPr>
        <w:t xml:space="preserve"> ust. § </w:t>
      </w:r>
      <w:r w:rsidR="00495BAB">
        <w:rPr>
          <w:rFonts w:ascii="Arial" w:hAnsi="Arial" w:cs="Arial"/>
          <w:sz w:val="20"/>
          <w:szCs w:val="20"/>
        </w:rPr>
        <w:t>116, odst. 4 daňového řádu se proti rozhodnutí odvolacího orgánu již nelze dále odvolat.</w:t>
      </w:r>
    </w:p>
    <w:p w14:paraId="3B56C65D" w14:textId="6C7DF444" w:rsidR="006D6037" w:rsidRDefault="006D6037" w:rsidP="006D6037">
      <w:pPr>
        <w:pStyle w:val="Default"/>
        <w:jc w:val="both"/>
        <w:rPr>
          <w:b/>
        </w:rPr>
      </w:pPr>
      <w:r>
        <w:rPr>
          <w:b/>
        </w:rPr>
        <w:t xml:space="preserve">Veškeré žádosti příjemce </w:t>
      </w:r>
      <w:r w:rsidRPr="00A83D90">
        <w:rPr>
          <w:b/>
        </w:rPr>
        <w:t>(o prominutí / posečkání / rozlože</w:t>
      </w:r>
      <w:r>
        <w:rPr>
          <w:b/>
        </w:rPr>
        <w:t>ní splátek a</w:t>
      </w:r>
      <w:r w:rsidRPr="00A83D90">
        <w:rPr>
          <w:b/>
        </w:rPr>
        <w:t>d.) musí být vždy řádně odůvodněné</w:t>
      </w:r>
      <w:r>
        <w:rPr>
          <w:b/>
        </w:rPr>
        <w:t xml:space="preserve"> a splňovat předepsané náležitosti</w:t>
      </w:r>
      <w:r w:rsidRPr="00A83D90">
        <w:rPr>
          <w:b/>
        </w:rPr>
        <w:t>.</w:t>
      </w:r>
    </w:p>
    <w:p w14:paraId="55ACF0B2" w14:textId="77777777" w:rsidR="00495BAB" w:rsidRDefault="00495BAB" w:rsidP="006D6037">
      <w:pPr>
        <w:pStyle w:val="Default"/>
        <w:jc w:val="both"/>
        <w:rPr>
          <w:b/>
        </w:rPr>
      </w:pPr>
    </w:p>
    <w:p w14:paraId="669AB8E6" w14:textId="77777777" w:rsidR="00495BAB" w:rsidRDefault="00495BAB" w:rsidP="006D6037">
      <w:pPr>
        <w:pStyle w:val="Default"/>
        <w:jc w:val="both"/>
        <w:rPr>
          <w:b/>
        </w:rPr>
      </w:pPr>
    </w:p>
    <w:p w14:paraId="0B04B288" w14:textId="77777777" w:rsidR="006D6037" w:rsidRDefault="006D6037" w:rsidP="006D6037">
      <w:pPr>
        <w:pStyle w:val="Nadpis1"/>
      </w:pPr>
      <w:bookmarkStart w:id="17" w:name="_Toc452644791"/>
      <w:r w:rsidRPr="001E1C9F">
        <w:t>Přílohy</w:t>
      </w:r>
      <w:bookmarkEnd w:id="17"/>
      <w:r w:rsidRPr="001E1C9F">
        <w:t xml:space="preserve"> </w:t>
      </w:r>
    </w:p>
    <w:p w14:paraId="4DC5B8EF" w14:textId="0F2251E0" w:rsidR="006D6037" w:rsidRPr="00E0376A" w:rsidRDefault="006D6037" w:rsidP="006D6037">
      <w:pPr>
        <w:rPr>
          <w:rFonts w:ascii="Arial" w:hAnsi="Arial" w:cs="Arial"/>
          <w:sz w:val="20"/>
          <w:szCs w:val="20"/>
        </w:rPr>
      </w:pPr>
      <w:r w:rsidRPr="00E0376A">
        <w:rPr>
          <w:rFonts w:ascii="Arial" w:hAnsi="Arial" w:cs="Arial"/>
          <w:b/>
          <w:sz w:val="20"/>
          <w:szCs w:val="20"/>
        </w:rPr>
        <w:t xml:space="preserve">Příloha č. </w:t>
      </w:r>
      <w:r w:rsidR="004E20C4">
        <w:rPr>
          <w:rFonts w:ascii="Arial" w:hAnsi="Arial" w:cs="Arial"/>
          <w:b/>
          <w:sz w:val="20"/>
          <w:szCs w:val="20"/>
        </w:rPr>
        <w:t>1</w:t>
      </w:r>
      <w:r w:rsidR="004E20C4" w:rsidRPr="00E0376A">
        <w:rPr>
          <w:rFonts w:ascii="Arial" w:hAnsi="Arial" w:cs="Arial"/>
          <w:sz w:val="20"/>
          <w:szCs w:val="20"/>
        </w:rPr>
        <w:t xml:space="preserve"> </w:t>
      </w:r>
      <w:r w:rsidRPr="00E0376A">
        <w:rPr>
          <w:rFonts w:ascii="Arial" w:hAnsi="Arial" w:cs="Arial"/>
          <w:sz w:val="20"/>
          <w:szCs w:val="20"/>
        </w:rPr>
        <w:t xml:space="preserve">– Přehled typů pochybení, jež zakládají porušení rozpočtové kázně, a k nim stanovený nižší odvod </w:t>
      </w:r>
    </w:p>
    <w:p w14:paraId="0656633C" w14:textId="77777777" w:rsidR="006D6037" w:rsidRDefault="006D6037" w:rsidP="006D6037">
      <w:pPr>
        <w:rPr>
          <w:b/>
          <w:bCs/>
        </w:rPr>
      </w:pPr>
    </w:p>
    <w:p w14:paraId="3B29AE7E" w14:textId="77777777" w:rsidR="00C920D5" w:rsidRDefault="00C920D5" w:rsidP="006D6037">
      <w:pPr>
        <w:pStyle w:val="Nadpis1"/>
        <w:numPr>
          <w:ilvl w:val="0"/>
          <w:numId w:val="0"/>
        </w:numPr>
        <w:rPr>
          <w:highlight w:val="yellow"/>
        </w:rPr>
        <w:sectPr w:rsidR="00C920D5" w:rsidSect="00632EAB">
          <w:headerReference w:type="default" r:id="rId8"/>
          <w:footerReference w:type="default" r:id="rId9"/>
          <w:pgSz w:w="11906" w:h="16838"/>
          <w:pgMar w:top="1417" w:right="1417" w:bottom="1417" w:left="1417" w:header="708" w:footer="708" w:gutter="0"/>
          <w:cols w:space="708"/>
          <w:docGrid w:linePitch="360"/>
        </w:sectPr>
      </w:pPr>
    </w:p>
    <w:p w14:paraId="5713EAAB" w14:textId="678E1341" w:rsidR="006D6037" w:rsidRDefault="006D6037" w:rsidP="006D6037">
      <w:pPr>
        <w:pStyle w:val="Nadpis1"/>
        <w:numPr>
          <w:ilvl w:val="0"/>
          <w:numId w:val="0"/>
        </w:numPr>
      </w:pPr>
      <w:bookmarkStart w:id="18" w:name="_Toc452644792"/>
      <w:r>
        <w:lastRenderedPageBreak/>
        <w:t xml:space="preserve">Příloha č. </w:t>
      </w:r>
      <w:r w:rsidR="004E20C4">
        <w:t xml:space="preserve">1 </w:t>
      </w:r>
      <w:r>
        <w:t xml:space="preserve">- </w:t>
      </w:r>
      <w:r w:rsidRPr="0031720F">
        <w:t>Přehled typů pochyb</w:t>
      </w:r>
      <w:r>
        <w:t>e</w:t>
      </w:r>
      <w:r w:rsidR="00632EAB">
        <w:t>ní</w:t>
      </w:r>
      <w:r w:rsidRPr="0031720F">
        <w:t xml:space="preserve"> a k nim stanovený </w:t>
      </w:r>
      <w:r>
        <w:t xml:space="preserve">snížený </w:t>
      </w:r>
      <w:r w:rsidRPr="0031720F">
        <w:t>odvod</w:t>
      </w:r>
      <w:r>
        <w:rPr>
          <w:rStyle w:val="Znakapoznpodarou"/>
          <w:rFonts w:cs="Arial"/>
          <w:b w:val="0"/>
          <w:bCs w:val="0"/>
        </w:rPr>
        <w:footnoteReference w:id="5"/>
      </w:r>
      <w:bookmarkEnd w:id="18"/>
    </w:p>
    <w:p w14:paraId="321E9669" w14:textId="77777777" w:rsidR="006D6037" w:rsidRDefault="006D6037" w:rsidP="006D6037">
      <w:pPr>
        <w:pStyle w:val="Zkladntext"/>
        <w:widowControl/>
        <w:autoSpaceDE/>
        <w:autoSpaceDN/>
        <w:adjustRightInd/>
        <w:spacing w:after="0"/>
        <w:rPr>
          <w:rFonts w:cs="Arial"/>
          <w:b/>
          <w:bCs/>
          <w:szCs w:val="20"/>
        </w:rPr>
      </w:pPr>
    </w:p>
    <w:p w14:paraId="5A7D1063" w14:textId="77777777" w:rsidR="006D6037" w:rsidRPr="00EB7FBE" w:rsidRDefault="006D6037" w:rsidP="006D6037">
      <w:pPr>
        <w:pStyle w:val="INAtext"/>
        <w:rPr>
          <w:rFonts w:cs="Arial"/>
          <w:szCs w:val="20"/>
        </w:rPr>
      </w:pPr>
    </w:p>
    <w:p w14:paraId="0AEA826E" w14:textId="77777777" w:rsidR="006D6037" w:rsidRPr="00EB7FBE" w:rsidRDefault="006D6037" w:rsidP="006D6037">
      <w:pPr>
        <w:pStyle w:val="Zkladntext"/>
        <w:widowControl/>
        <w:autoSpaceDE/>
        <w:autoSpaceDN/>
        <w:adjustRightInd/>
        <w:spacing w:after="0"/>
        <w:rPr>
          <w:rFonts w:cs="Arial"/>
          <w:b/>
          <w:color w:val="000000"/>
          <w:szCs w:val="20"/>
        </w:rPr>
      </w:pPr>
      <w:r w:rsidRPr="00EB7FBE">
        <w:rPr>
          <w:rFonts w:cs="Arial"/>
          <w:b/>
          <w:color w:val="000000"/>
          <w:szCs w:val="20"/>
        </w:rPr>
        <w:t>Sazba nižšího odvodu</w:t>
      </w:r>
    </w:p>
    <w:p w14:paraId="619A6EFB" w14:textId="7899AF44" w:rsidR="006D6037" w:rsidRPr="000C623B" w:rsidRDefault="006D6037" w:rsidP="006D6037">
      <w:pPr>
        <w:jc w:val="both"/>
        <w:rPr>
          <w:rFonts w:ascii="Arial" w:hAnsi="Arial" w:cs="Arial"/>
          <w:sz w:val="20"/>
          <w:szCs w:val="20"/>
        </w:rPr>
      </w:pPr>
      <w:r w:rsidRPr="000C623B">
        <w:rPr>
          <w:rFonts w:ascii="Arial" w:hAnsi="Arial" w:cs="Arial"/>
          <w:color w:val="000000"/>
          <w:sz w:val="20"/>
          <w:szCs w:val="20"/>
        </w:rPr>
        <w:t>Příjemci za méně závažné porušení je stanoven snížený odvod v souladu s</w:t>
      </w:r>
      <w:r w:rsidR="0015379B">
        <w:rPr>
          <w:rFonts w:ascii="Arial" w:hAnsi="Arial" w:cs="Arial"/>
          <w:color w:val="000000"/>
          <w:sz w:val="20"/>
          <w:szCs w:val="20"/>
        </w:rPr>
        <w:t xml:space="preserve"> ust. § </w:t>
      </w:r>
      <w:r w:rsidRPr="000C623B">
        <w:rPr>
          <w:rFonts w:ascii="Arial" w:hAnsi="Arial" w:cs="Arial"/>
          <w:color w:val="000000"/>
          <w:sz w:val="20"/>
          <w:szCs w:val="20"/>
        </w:rPr>
        <w:t xml:space="preserve">22 odst. 5 zákona č. 250/2000 Sb. a uzavřenou </w:t>
      </w:r>
      <w:r w:rsidR="00CB5213">
        <w:rPr>
          <w:rFonts w:ascii="Arial" w:hAnsi="Arial" w:cs="Arial"/>
          <w:sz w:val="20"/>
          <w:szCs w:val="20"/>
        </w:rPr>
        <w:t>s</w:t>
      </w:r>
      <w:r w:rsidR="00CB5213" w:rsidRPr="000C623B">
        <w:rPr>
          <w:rFonts w:ascii="Arial" w:hAnsi="Arial" w:cs="Arial"/>
          <w:sz w:val="20"/>
          <w:szCs w:val="20"/>
        </w:rPr>
        <w:t>mlouvou</w:t>
      </w:r>
      <w:r w:rsidR="00CB5213">
        <w:rPr>
          <w:rFonts w:ascii="Arial" w:hAnsi="Arial" w:cs="Arial"/>
          <w:sz w:val="20"/>
          <w:szCs w:val="20"/>
        </w:rPr>
        <w:t>,</w:t>
      </w:r>
      <w:r w:rsidR="00CB5213" w:rsidRPr="000C623B">
        <w:rPr>
          <w:rFonts w:ascii="Arial" w:hAnsi="Arial" w:cs="Arial"/>
          <w:color w:val="000000"/>
          <w:sz w:val="20"/>
          <w:szCs w:val="20"/>
        </w:rPr>
        <w:t xml:space="preserve"> </w:t>
      </w:r>
      <w:r w:rsidRPr="000C623B">
        <w:rPr>
          <w:rFonts w:ascii="Arial" w:hAnsi="Arial" w:cs="Arial"/>
          <w:color w:val="000000"/>
          <w:sz w:val="20"/>
          <w:szCs w:val="20"/>
        </w:rPr>
        <w:t>a jeho výše odpovídá finanční opravě uvedené v posledním sloupci tabulky.</w:t>
      </w:r>
    </w:p>
    <w:p w14:paraId="7BEFF9DD" w14:textId="4674AF10" w:rsidR="006D6037" w:rsidRPr="0005569A" w:rsidRDefault="006D6037" w:rsidP="00B45A8B">
      <w:pPr>
        <w:jc w:val="both"/>
        <w:rPr>
          <w:rFonts w:ascii="Arial" w:hAnsi="Arial" w:cs="Arial"/>
          <w:sz w:val="20"/>
          <w:szCs w:val="20"/>
        </w:rPr>
      </w:pPr>
      <w:r w:rsidRPr="000C623B">
        <w:rPr>
          <w:rFonts w:ascii="Arial" w:hAnsi="Arial" w:cs="Arial"/>
          <w:sz w:val="20"/>
          <w:szCs w:val="20"/>
        </w:rPr>
        <w:t>V případě uděleného nižšího odvodu nelze žádat o prominutí nebo o částečné prominutí sníženého odvodu, protože nižší odvod nelze prominout, s výjimkou případů, kdy k porušení rozpočtové kázně na straně příjemce dojde v důsledku prokázané chyby či nesoučinnosti poskytovatele, z důvodu živelné katas</w:t>
      </w:r>
      <w:r w:rsidR="0005569A">
        <w:rPr>
          <w:rFonts w:ascii="Arial" w:hAnsi="Arial" w:cs="Arial"/>
          <w:sz w:val="20"/>
          <w:szCs w:val="20"/>
        </w:rPr>
        <w:t>trofy či státem změněné situace.</w:t>
      </w:r>
    </w:p>
    <w:tbl>
      <w:tblPr>
        <w:tblpPr w:leftFromText="142" w:rightFromText="142" w:topFromText="958" w:horzAnchor="margin" w:tblpYSpec="center"/>
        <w:tblW w:w="5000" w:type="pct"/>
        <w:tblLayout w:type="fixed"/>
        <w:tblCellMar>
          <w:left w:w="70" w:type="dxa"/>
          <w:right w:w="70" w:type="dxa"/>
        </w:tblCellMar>
        <w:tblLook w:val="04A0" w:firstRow="1" w:lastRow="0" w:firstColumn="1" w:lastColumn="0" w:noHBand="0" w:noVBand="1"/>
      </w:tblPr>
      <w:tblGrid>
        <w:gridCol w:w="761"/>
        <w:gridCol w:w="5616"/>
        <w:gridCol w:w="4823"/>
        <w:gridCol w:w="1947"/>
        <w:gridCol w:w="857"/>
      </w:tblGrid>
      <w:tr w:rsidR="00B45A8B" w14:paraId="34F58B1D" w14:textId="77777777" w:rsidTr="003E158D">
        <w:trPr>
          <w:trHeight w:val="406"/>
          <w:tblHeader/>
        </w:trPr>
        <w:tc>
          <w:tcPr>
            <w:tcW w:w="5000" w:type="pct"/>
            <w:gridSpan w:val="5"/>
            <w:tcBorders>
              <w:bottom w:val="single" w:sz="4" w:space="0" w:color="auto"/>
            </w:tcBorders>
            <w:shd w:val="clear" w:color="auto" w:fill="auto"/>
            <w:vAlign w:val="center"/>
          </w:tcPr>
          <w:p w14:paraId="62AD7F32" w14:textId="5483C1D0" w:rsidR="00B45A8B" w:rsidRDefault="00B45A8B" w:rsidP="003E158D">
            <w:pPr>
              <w:spacing w:after="0" w:line="240" w:lineRule="auto"/>
              <w:rPr>
                <w:rFonts w:ascii="Arial" w:eastAsia="Times New Roman" w:hAnsi="Arial" w:cs="Arial"/>
                <w:b/>
                <w:bCs/>
                <w:color w:val="000000"/>
                <w:sz w:val="20"/>
                <w:szCs w:val="20"/>
                <w:lang w:eastAsia="cs-CZ"/>
              </w:rPr>
            </w:pPr>
            <w:r w:rsidRPr="0005569A">
              <w:rPr>
                <w:rFonts w:ascii="Arial" w:eastAsia="Times New Roman" w:hAnsi="Arial" w:cs="Arial"/>
                <w:b/>
                <w:bCs/>
                <w:color w:val="000000"/>
                <w:lang w:eastAsia="cs-CZ"/>
              </w:rPr>
              <w:lastRenderedPageBreak/>
              <w:t>1. Nezpůsobilé výdaje</w:t>
            </w:r>
          </w:p>
        </w:tc>
      </w:tr>
      <w:tr w:rsidR="00BB149F" w14:paraId="2AE6E437" w14:textId="77777777" w:rsidTr="003E158D">
        <w:trPr>
          <w:trHeight w:val="406"/>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19450" w14:textId="77777777" w:rsidR="006D6037" w:rsidRPr="0005569A" w:rsidRDefault="006D6037" w:rsidP="003E158D">
            <w:pPr>
              <w:keepNext/>
              <w:spacing w:after="0" w:line="240" w:lineRule="auto"/>
              <w:jc w:val="both"/>
              <w:rPr>
                <w:rFonts w:ascii="Arial" w:eastAsia="Times New Roman" w:hAnsi="Arial" w:cs="Arial"/>
                <w:b/>
                <w:bCs/>
                <w:color w:val="000000"/>
                <w:sz w:val="18"/>
                <w:szCs w:val="18"/>
                <w:lang w:eastAsia="cs-CZ"/>
              </w:rPr>
            </w:pPr>
            <w:bookmarkStart w:id="19" w:name="RANGE!B4:E224"/>
            <w:r w:rsidRPr="0005569A">
              <w:rPr>
                <w:rFonts w:ascii="Arial" w:eastAsia="Times New Roman" w:hAnsi="Arial" w:cs="Arial"/>
                <w:b/>
                <w:bCs/>
                <w:color w:val="000000"/>
                <w:sz w:val="18"/>
                <w:szCs w:val="18"/>
                <w:lang w:eastAsia="cs-CZ"/>
              </w:rPr>
              <w:t xml:space="preserve">Č. </w:t>
            </w:r>
            <w:bookmarkEnd w:id="19"/>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392D0" w14:textId="77777777" w:rsidR="006D6037" w:rsidRPr="0005569A" w:rsidRDefault="006D6037" w:rsidP="003E158D">
            <w:pPr>
              <w:keepNext/>
              <w:spacing w:after="0" w:line="240" w:lineRule="auto"/>
              <w:jc w:val="both"/>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Typ pochybení</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EF8F" w14:textId="77777777" w:rsidR="006D6037" w:rsidRPr="0005569A" w:rsidRDefault="006D6037" w:rsidP="003E158D">
            <w:pPr>
              <w:keepNext/>
              <w:spacing w:after="0" w:line="240" w:lineRule="auto"/>
              <w:jc w:val="both"/>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 xml:space="preserve">Vymezení výše odvodu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A0B0E" w14:textId="77777777" w:rsidR="006D6037" w:rsidRPr="0005569A" w:rsidRDefault="006D6037" w:rsidP="003E158D">
            <w:pPr>
              <w:keepNext/>
              <w:spacing w:after="0" w:line="240" w:lineRule="auto"/>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Nižší odvod</w:t>
            </w:r>
          </w:p>
        </w:tc>
      </w:tr>
      <w:tr w:rsidR="00BB149F" w14:paraId="17D57C88"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6CDDA6F"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1.1</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5241C6F7"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či část výdaje hrazená souběžně ze dvou zdrojů financování či opakovaně hrazený z téhož zdroje financování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4161F767" w14:textId="577EFE7E"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na výdaje či části výdaje opakovaně hrazené ze zdroje krytého podporou OPPPR, popř. hrazené ze zdroje krytého podporou OPPPR pokud byl výdaj či část výdaje již kryta podporou z jiného dotačního titulu a nemůže tak být kryta podporou OPPPR.</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5CF951" w14:textId="48BD36E4" w:rsidR="006D6037" w:rsidRPr="0005569A" w:rsidRDefault="0005569A"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375F4FEC"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4173AA8"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3A322349"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nesplňuje dostatečně kritérium dokladové způsobilosti (není dostatečně podložen přijatelnými doklady, chybí auditní stopa)</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308082DC"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na výdaje či části výdaje nesplňující dokladovou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28F582"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43A57028"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E89E673"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1.3</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B5AC22F"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nesplňuje kritéria hospodárnosti a účelnosti nakládání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13D8814F"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na výdaje či části výdaje nesplňující kritéria hospodárnosti a účelnosti nakládání, tj. části výdaje přesahující stanovenou výši hospodárného a účelného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3E56D77"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4780675A"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CCC872C"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1.4</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D6A7842"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se nevztahuje k projektu (výdaj nesplňuje pravidla věcné a územní způsobilosti)</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48942436"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v poskytnuté finanční podpory na výdaje či části výdaje nesplňující věcnou či územní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3E1A35"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622E62D3"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409CA87"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1.5</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26AB66ED"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nesplňuje kritéria časové způsobilosti</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18984953"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na výdaje či části výdaje nesplňující časovou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41A39C"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5976059E"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tcPr>
          <w:p w14:paraId="2892199C"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07ED512A"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Výdaj nesplňuje stanové limity na úrovni schváleného rozpočtu, kapitol rozpočtu nebo položek rozpočtu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364F636B"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částky poskytnuté finanční podpory překračující stanovený limit.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1EA5CB54"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3EE718DD" w14:textId="77777777" w:rsidTr="003E158D">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FC26FC4"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1.7</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146853A"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Ostatní nezpůsobilé výdaje dle Pravidel OPPPR</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0971BF71" w14:textId="3F70F270"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na nezpůsobilé výdaje</w:t>
            </w:r>
            <w:r w:rsidR="00B45A8B" w:rsidRPr="0005569A">
              <w:rPr>
                <w:rFonts w:ascii="Arial" w:eastAsia="Times New Roman" w:hAnsi="Arial" w:cs="Arial"/>
                <w:sz w:val="18"/>
                <w:szCs w:val="18"/>
                <w:lang w:eastAsia="cs-CZ"/>
              </w:rPr>
              <w: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C9FC76"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10A1D0EF" w14:textId="77777777" w:rsidTr="003E158D">
        <w:trPr>
          <w:trHeight w:val="78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2B1BE5C"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1.8</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37E0B4BA"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Nedodržení povinnosti financování vyplývající ze smlouvy (např. nedodržení podílů spolufinancování, překročení max. podílu poskytnutých veřejných prostředků)</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42820D3A" w14:textId="77777777"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 xml:space="preserve">Odvod poskytnuté finanční podpory ve výši výdajů nenaplněného spolufinancování stanoveného ve smlouvě.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4232C1"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6CCEF720" w14:textId="77777777" w:rsidTr="003E158D">
        <w:trPr>
          <w:trHeight w:val="454"/>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AD92ADB" w14:textId="77777777" w:rsidR="006D6037" w:rsidRPr="0005569A" w:rsidRDefault="006D6037" w:rsidP="003E158D">
            <w:pPr>
              <w:spacing w:after="0" w:line="240" w:lineRule="auto"/>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1.9</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84DD8B7" w14:textId="2E7451C0" w:rsidR="006D6037" w:rsidRPr="0005569A" w:rsidRDefault="006D6037" w:rsidP="003E158D">
            <w:pPr>
              <w:spacing w:after="0" w:line="240" w:lineRule="auto"/>
              <w:rPr>
                <w:rFonts w:ascii="Arial" w:eastAsia="Times New Roman" w:hAnsi="Arial" w:cs="Arial"/>
                <w:sz w:val="18"/>
                <w:szCs w:val="18"/>
                <w:lang w:eastAsia="cs-CZ"/>
              </w:rPr>
            </w:pPr>
            <w:r w:rsidRPr="0005569A">
              <w:rPr>
                <w:rFonts w:ascii="Arial" w:eastAsia="Times New Roman" w:hAnsi="Arial" w:cs="Arial"/>
                <w:sz w:val="18"/>
                <w:szCs w:val="18"/>
                <w:lang w:eastAsia="cs-CZ"/>
              </w:rPr>
              <w:t>Úhrada způsobilého výdaje z bankovního účtu, který není bankovním účtem příjemce nebo partner</w:t>
            </w:r>
            <w:r w:rsidR="00B45A8B" w:rsidRPr="0005569A">
              <w:rPr>
                <w:rFonts w:ascii="Arial" w:eastAsia="Times New Roman" w:hAnsi="Arial" w:cs="Arial"/>
                <w:sz w:val="18"/>
                <w:szCs w:val="18"/>
                <w:lang w:eastAsia="cs-CZ"/>
              </w:rPr>
              <w:t>a projektu s finančním podílem.</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7C781622" w14:textId="3B0C7039" w:rsidR="006D6037" w:rsidRPr="0005569A" w:rsidRDefault="006D6037" w:rsidP="003E158D">
            <w:pPr>
              <w:rPr>
                <w:rFonts w:ascii="Arial" w:eastAsia="Times New Roman" w:hAnsi="Arial" w:cs="Arial"/>
                <w:sz w:val="18"/>
                <w:szCs w:val="18"/>
                <w:lang w:eastAsia="cs-CZ"/>
              </w:rPr>
            </w:pPr>
            <w:r w:rsidRPr="0005569A">
              <w:rPr>
                <w:rFonts w:ascii="Arial" w:eastAsia="Times New Roman" w:hAnsi="Arial" w:cs="Arial"/>
                <w:sz w:val="18"/>
                <w:szCs w:val="18"/>
                <w:lang w:eastAsia="cs-CZ"/>
              </w:rPr>
              <w:t>Odvod ve výši poskytnuté finanční podpory výdaje uskutečněného z  bankovního účtu, který není bankovním účtem příjemce nebo partnera projektu s finančním podílem.</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F616A1" w14:textId="77777777" w:rsidR="006D6037" w:rsidRPr="0005569A" w:rsidRDefault="006D6037" w:rsidP="003E158D">
            <w:pPr>
              <w:spacing w:after="0" w:line="240" w:lineRule="auto"/>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2EA31CCA" w14:textId="77777777" w:rsidTr="003E158D">
        <w:trPr>
          <w:trHeight w:val="255"/>
        </w:trPr>
        <w:tc>
          <w:tcPr>
            <w:tcW w:w="272" w:type="pct"/>
            <w:tcBorders>
              <w:top w:val="single" w:sz="4" w:space="0" w:color="auto"/>
              <w:left w:val="nil"/>
              <w:bottom w:val="nil"/>
              <w:right w:val="nil"/>
            </w:tcBorders>
            <w:shd w:val="clear" w:color="auto" w:fill="auto"/>
            <w:noWrap/>
            <w:vAlign w:val="bottom"/>
            <w:hideMark/>
          </w:tcPr>
          <w:p w14:paraId="5AEB8241"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2005" w:type="pct"/>
            <w:tcBorders>
              <w:top w:val="single" w:sz="4" w:space="0" w:color="auto"/>
              <w:left w:val="nil"/>
              <w:bottom w:val="nil"/>
              <w:right w:val="nil"/>
            </w:tcBorders>
            <w:shd w:val="clear" w:color="auto" w:fill="auto"/>
            <w:noWrap/>
            <w:vAlign w:val="bottom"/>
            <w:hideMark/>
          </w:tcPr>
          <w:p w14:paraId="17F0ECBB" w14:textId="77777777" w:rsidR="006D6037" w:rsidRDefault="006D6037" w:rsidP="003E158D">
            <w:pPr>
              <w:spacing w:after="0" w:line="240" w:lineRule="auto"/>
              <w:rPr>
                <w:rFonts w:ascii="Arial" w:eastAsia="Times New Roman" w:hAnsi="Arial" w:cs="Arial"/>
                <w:color w:val="000000"/>
                <w:sz w:val="20"/>
                <w:szCs w:val="20"/>
                <w:lang w:eastAsia="cs-CZ"/>
              </w:rPr>
            </w:pPr>
          </w:p>
          <w:p w14:paraId="10B671BE" w14:textId="77777777" w:rsidR="00E0376A" w:rsidRDefault="00E0376A" w:rsidP="003E158D">
            <w:pPr>
              <w:spacing w:after="0" w:line="240" w:lineRule="auto"/>
              <w:rPr>
                <w:rFonts w:ascii="Arial" w:eastAsia="Times New Roman" w:hAnsi="Arial" w:cs="Arial"/>
                <w:color w:val="000000"/>
                <w:sz w:val="20"/>
                <w:szCs w:val="20"/>
                <w:lang w:eastAsia="cs-CZ"/>
              </w:rPr>
            </w:pPr>
          </w:p>
          <w:p w14:paraId="42363527" w14:textId="77777777" w:rsidR="00E0376A" w:rsidRDefault="00E0376A" w:rsidP="003E158D">
            <w:pPr>
              <w:spacing w:after="0" w:line="240" w:lineRule="auto"/>
              <w:rPr>
                <w:rFonts w:ascii="Arial" w:eastAsia="Times New Roman" w:hAnsi="Arial" w:cs="Arial"/>
                <w:color w:val="000000"/>
                <w:sz w:val="20"/>
                <w:szCs w:val="20"/>
                <w:lang w:eastAsia="cs-CZ"/>
              </w:rPr>
            </w:pPr>
          </w:p>
          <w:p w14:paraId="34A1FCAC" w14:textId="77777777" w:rsidR="00E0376A" w:rsidRDefault="00E0376A" w:rsidP="003E158D">
            <w:pPr>
              <w:spacing w:after="0" w:line="240" w:lineRule="auto"/>
              <w:rPr>
                <w:rFonts w:ascii="Arial" w:eastAsia="Times New Roman" w:hAnsi="Arial" w:cs="Arial"/>
                <w:color w:val="000000"/>
                <w:sz w:val="20"/>
                <w:szCs w:val="20"/>
                <w:lang w:eastAsia="cs-CZ"/>
              </w:rPr>
            </w:pPr>
          </w:p>
          <w:p w14:paraId="456734B7" w14:textId="77777777" w:rsidR="00944E67" w:rsidRDefault="00944E67" w:rsidP="003E158D">
            <w:pPr>
              <w:spacing w:after="0" w:line="240" w:lineRule="auto"/>
              <w:rPr>
                <w:rFonts w:ascii="Arial" w:eastAsia="Times New Roman" w:hAnsi="Arial" w:cs="Arial"/>
                <w:color w:val="000000"/>
                <w:sz w:val="20"/>
                <w:szCs w:val="20"/>
                <w:lang w:eastAsia="cs-CZ"/>
              </w:rPr>
            </w:pPr>
          </w:p>
          <w:p w14:paraId="235E2F57" w14:textId="77777777" w:rsidR="00E0376A" w:rsidRDefault="00E0376A" w:rsidP="003E158D">
            <w:pPr>
              <w:spacing w:after="0" w:line="240" w:lineRule="auto"/>
              <w:rPr>
                <w:rFonts w:ascii="Arial" w:eastAsia="Times New Roman" w:hAnsi="Arial" w:cs="Arial"/>
                <w:color w:val="000000"/>
                <w:sz w:val="20"/>
                <w:szCs w:val="20"/>
                <w:lang w:eastAsia="cs-CZ"/>
              </w:rPr>
            </w:pPr>
          </w:p>
        </w:tc>
        <w:tc>
          <w:tcPr>
            <w:tcW w:w="1721" w:type="pct"/>
            <w:tcBorders>
              <w:top w:val="single" w:sz="4" w:space="0" w:color="auto"/>
              <w:left w:val="nil"/>
              <w:bottom w:val="nil"/>
              <w:right w:val="nil"/>
            </w:tcBorders>
            <w:shd w:val="clear" w:color="auto" w:fill="auto"/>
            <w:noWrap/>
            <w:vAlign w:val="bottom"/>
            <w:hideMark/>
          </w:tcPr>
          <w:p w14:paraId="6F4AF4CB"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001" w:type="pct"/>
            <w:gridSpan w:val="2"/>
            <w:tcBorders>
              <w:top w:val="single" w:sz="4" w:space="0" w:color="auto"/>
              <w:left w:val="nil"/>
              <w:bottom w:val="nil"/>
              <w:right w:val="nil"/>
            </w:tcBorders>
            <w:shd w:val="clear" w:color="auto" w:fill="auto"/>
            <w:noWrap/>
            <w:vAlign w:val="bottom"/>
            <w:hideMark/>
          </w:tcPr>
          <w:p w14:paraId="299E07EF" w14:textId="77777777" w:rsidR="006D6037" w:rsidRDefault="006D6037" w:rsidP="003E158D">
            <w:pPr>
              <w:spacing w:after="0" w:line="240" w:lineRule="auto"/>
              <w:rPr>
                <w:rFonts w:ascii="Arial" w:eastAsia="Times New Roman" w:hAnsi="Arial" w:cs="Arial"/>
                <w:color w:val="000000"/>
                <w:sz w:val="20"/>
                <w:szCs w:val="20"/>
                <w:lang w:eastAsia="cs-CZ"/>
              </w:rPr>
            </w:pPr>
          </w:p>
        </w:tc>
      </w:tr>
      <w:tr w:rsidR="00B45A8B" w14:paraId="24CAB673" w14:textId="77777777" w:rsidTr="003E158D">
        <w:trPr>
          <w:trHeight w:val="600"/>
        </w:trPr>
        <w:tc>
          <w:tcPr>
            <w:tcW w:w="5000" w:type="pct"/>
            <w:gridSpan w:val="5"/>
            <w:tcBorders>
              <w:top w:val="nil"/>
              <w:left w:val="nil"/>
              <w:bottom w:val="nil"/>
              <w:right w:val="nil"/>
            </w:tcBorders>
            <w:shd w:val="clear" w:color="auto" w:fill="auto"/>
            <w:noWrap/>
            <w:vAlign w:val="center"/>
            <w:hideMark/>
          </w:tcPr>
          <w:p w14:paraId="3FD335FB" w14:textId="2CD04104" w:rsidR="00B45A8B" w:rsidRDefault="00B45A8B" w:rsidP="003E158D">
            <w:pPr>
              <w:spacing w:after="0" w:line="240" w:lineRule="auto"/>
              <w:rPr>
                <w:rFonts w:ascii="Arial" w:eastAsia="Times New Roman" w:hAnsi="Arial" w:cs="Arial"/>
                <w:color w:val="000000"/>
                <w:sz w:val="20"/>
                <w:szCs w:val="20"/>
                <w:lang w:eastAsia="cs-CZ"/>
              </w:rPr>
            </w:pPr>
            <w:r>
              <w:rPr>
                <w:rFonts w:ascii="Arial" w:eastAsia="Times New Roman" w:hAnsi="Arial" w:cs="Arial"/>
                <w:b/>
                <w:bCs/>
                <w:color w:val="000000"/>
                <w:lang w:eastAsia="cs-CZ"/>
              </w:rPr>
              <w:lastRenderedPageBreak/>
              <w:t>2.  Nenaplnění monitorovacích indikátorů (dále jen „MI“)</w:t>
            </w:r>
          </w:p>
        </w:tc>
      </w:tr>
      <w:tr w:rsidR="00E0376A" w14:paraId="6AEE928E" w14:textId="77777777" w:rsidTr="003E158D">
        <w:trPr>
          <w:trHeight w:val="705"/>
        </w:trPr>
        <w:tc>
          <w:tcPr>
            <w:tcW w:w="5000" w:type="pct"/>
            <w:gridSpan w:val="5"/>
            <w:tcBorders>
              <w:top w:val="nil"/>
              <w:left w:val="nil"/>
              <w:bottom w:val="nil"/>
              <w:right w:val="nil"/>
            </w:tcBorders>
            <w:shd w:val="clear" w:color="auto" w:fill="auto"/>
            <w:noWrap/>
            <w:vAlign w:val="center"/>
            <w:hideMark/>
          </w:tcPr>
          <w:p w14:paraId="418EC7E2" w14:textId="77777777" w:rsidR="00E0376A" w:rsidRPr="004D3F5B" w:rsidRDefault="00E0376A" w:rsidP="003E158D">
            <w:pPr>
              <w:autoSpaceDE w:val="0"/>
              <w:autoSpaceDN w:val="0"/>
              <w:adjustRightInd w:val="0"/>
              <w:spacing w:after="0" w:line="240" w:lineRule="auto"/>
              <w:jc w:val="both"/>
              <w:rPr>
                <w:rFonts w:ascii="Arial" w:hAnsi="Arial" w:cs="Arial"/>
                <w:sz w:val="20"/>
                <w:szCs w:val="20"/>
              </w:rPr>
            </w:pPr>
            <w:r w:rsidRPr="004D3F5B">
              <w:rPr>
                <w:rFonts w:ascii="Arial" w:hAnsi="Arial" w:cs="Arial"/>
                <w:sz w:val="20"/>
                <w:szCs w:val="20"/>
              </w:rPr>
              <w:t>Příjemce je povinen naplnit cílové hodnoty monitorovacích „indikátorů k naplnění“ (dále „MI“) v rozsahu a typu dle uzavřené Smlouvy</w:t>
            </w:r>
            <w:r>
              <w:rPr>
                <w:rFonts w:ascii="Arial" w:hAnsi="Arial" w:cs="Arial"/>
                <w:sz w:val="20"/>
                <w:szCs w:val="20"/>
              </w:rPr>
              <w:t xml:space="preserve"> </w:t>
            </w:r>
            <w:r w:rsidRPr="004D3F5B">
              <w:rPr>
                <w:rFonts w:ascii="Arial" w:hAnsi="Arial" w:cs="Arial"/>
                <w:sz w:val="20"/>
                <w:szCs w:val="20"/>
              </w:rPr>
              <w:t>(případně ve znění dodatku). Dosažení cílových hodnot MI je nutnou (avšak nikoliv postačující) podmínkou pro dosa</w:t>
            </w:r>
            <w:r>
              <w:rPr>
                <w:rFonts w:ascii="Arial" w:hAnsi="Arial" w:cs="Arial"/>
                <w:sz w:val="20"/>
                <w:szCs w:val="20"/>
              </w:rPr>
              <w:t xml:space="preserve">žení cílů </w:t>
            </w:r>
            <w:r w:rsidRPr="004D3F5B">
              <w:rPr>
                <w:rFonts w:ascii="Arial" w:hAnsi="Arial" w:cs="Arial"/>
                <w:sz w:val="20"/>
                <w:szCs w:val="20"/>
              </w:rPr>
              <w:t>projektu. V případě, že výsledná hodnota ukazatelů nedosáhne závazku příjem</w:t>
            </w:r>
            <w:r>
              <w:rPr>
                <w:rFonts w:ascii="Arial" w:hAnsi="Arial" w:cs="Arial"/>
                <w:sz w:val="20"/>
                <w:szCs w:val="20"/>
              </w:rPr>
              <w:t xml:space="preserve">ce dle Smlouvy, je hl. m. Praha </w:t>
            </w:r>
            <w:r w:rsidRPr="004D3F5B">
              <w:rPr>
                <w:rFonts w:ascii="Arial" w:hAnsi="Arial" w:cs="Arial"/>
                <w:sz w:val="20"/>
                <w:szCs w:val="20"/>
              </w:rPr>
              <w:t>oprávněno přiměřeně snížit podporu projektu. Pokud bude nesplnění monitorovacích ukazatelů</w:t>
            </w:r>
            <w:r>
              <w:rPr>
                <w:rFonts w:ascii="Arial" w:hAnsi="Arial" w:cs="Arial"/>
                <w:sz w:val="20"/>
                <w:szCs w:val="20"/>
              </w:rPr>
              <w:t xml:space="preserve"> identifikováno až po schválení </w:t>
            </w:r>
            <w:r w:rsidRPr="004D3F5B">
              <w:rPr>
                <w:rFonts w:ascii="Arial" w:hAnsi="Arial" w:cs="Arial"/>
                <w:sz w:val="20"/>
                <w:szCs w:val="20"/>
              </w:rPr>
              <w:t>závěrečné monitorovací zprávy projektu, je relevantním postupem rozhodnutí o porušení rozpo</w:t>
            </w:r>
            <w:r>
              <w:rPr>
                <w:rFonts w:ascii="Arial" w:hAnsi="Arial" w:cs="Arial"/>
                <w:sz w:val="20"/>
                <w:szCs w:val="20"/>
              </w:rPr>
              <w:t xml:space="preserve">čtové kázně a následné vyměření </w:t>
            </w:r>
            <w:r w:rsidRPr="004D3F5B">
              <w:rPr>
                <w:rFonts w:ascii="Arial" w:hAnsi="Arial" w:cs="Arial"/>
                <w:sz w:val="20"/>
                <w:szCs w:val="20"/>
              </w:rPr>
              <w:t>nižšího odvodu dle níže uvedené tabulky.</w:t>
            </w:r>
          </w:p>
          <w:p w14:paraId="1D96EF76" w14:textId="77777777" w:rsidR="00E0376A" w:rsidRPr="004D3F5B" w:rsidRDefault="00E0376A" w:rsidP="003E158D">
            <w:pPr>
              <w:autoSpaceDE w:val="0"/>
              <w:autoSpaceDN w:val="0"/>
              <w:adjustRightInd w:val="0"/>
              <w:spacing w:after="0" w:line="240" w:lineRule="auto"/>
              <w:jc w:val="both"/>
              <w:rPr>
                <w:rFonts w:ascii="Arial" w:hAnsi="Arial" w:cs="Arial"/>
                <w:sz w:val="20"/>
                <w:szCs w:val="20"/>
              </w:rPr>
            </w:pPr>
          </w:p>
          <w:p w14:paraId="426D4AD9" w14:textId="77777777" w:rsidR="00E0376A" w:rsidRPr="004D3F5B" w:rsidRDefault="00E0376A" w:rsidP="003E158D">
            <w:pPr>
              <w:autoSpaceDE w:val="0"/>
              <w:autoSpaceDN w:val="0"/>
              <w:adjustRightInd w:val="0"/>
              <w:spacing w:after="0" w:line="240" w:lineRule="auto"/>
              <w:jc w:val="both"/>
              <w:rPr>
                <w:rFonts w:ascii="Arial" w:hAnsi="Arial" w:cs="Arial"/>
                <w:sz w:val="20"/>
                <w:szCs w:val="20"/>
              </w:rPr>
            </w:pPr>
            <w:r w:rsidRPr="004D3F5B">
              <w:rPr>
                <w:rFonts w:ascii="Arial" w:hAnsi="Arial" w:cs="Arial"/>
                <w:sz w:val="20"/>
                <w:szCs w:val="20"/>
              </w:rPr>
              <w:t xml:space="preserve">Vyhodnocení naplnění MI probíhá samostatně pro indikátory plněné v době realizace, a to v okamžiku schválení závěrečné zprávy o realizaci, a samostatně pro indikátory plněné v době udržitelnosti v cyklech stanovených Smlouvou. </w:t>
            </w:r>
          </w:p>
          <w:p w14:paraId="75DD3D85" w14:textId="77777777" w:rsidR="00E0376A" w:rsidRPr="004D3F5B" w:rsidRDefault="00E0376A" w:rsidP="003E158D">
            <w:pPr>
              <w:autoSpaceDE w:val="0"/>
              <w:autoSpaceDN w:val="0"/>
              <w:adjustRightInd w:val="0"/>
              <w:spacing w:after="0" w:line="240" w:lineRule="auto"/>
              <w:jc w:val="both"/>
              <w:rPr>
                <w:rFonts w:ascii="Arial" w:hAnsi="Arial" w:cs="Arial"/>
                <w:sz w:val="20"/>
                <w:szCs w:val="20"/>
              </w:rPr>
            </w:pPr>
          </w:p>
          <w:p w14:paraId="438E1D97" w14:textId="77777777" w:rsidR="00E0376A" w:rsidRPr="004D3F5B" w:rsidRDefault="00E0376A" w:rsidP="003E158D">
            <w:pPr>
              <w:autoSpaceDE w:val="0"/>
              <w:autoSpaceDN w:val="0"/>
              <w:adjustRightInd w:val="0"/>
              <w:spacing w:after="0" w:line="240" w:lineRule="auto"/>
              <w:jc w:val="both"/>
              <w:rPr>
                <w:rFonts w:ascii="Arial" w:eastAsia="Times New Roman" w:hAnsi="Arial" w:cs="Arial"/>
                <w:iCs/>
                <w:sz w:val="20"/>
                <w:szCs w:val="20"/>
                <w:lang w:eastAsia="cs-CZ"/>
              </w:rPr>
            </w:pPr>
            <w:r w:rsidRPr="004D3F5B">
              <w:rPr>
                <w:rFonts w:ascii="Arial" w:hAnsi="Arial" w:cs="Arial"/>
                <w:sz w:val="20"/>
                <w:szCs w:val="20"/>
              </w:rPr>
              <w:t xml:space="preserve">Celková míra splnění indikátorů plněných </w:t>
            </w:r>
            <w:r w:rsidRPr="004D3F5B">
              <w:rPr>
                <w:rFonts w:ascii="Arial" w:hAnsi="Arial" w:cs="Arial"/>
                <w:sz w:val="20"/>
                <w:szCs w:val="20"/>
                <w:u w:val="single"/>
              </w:rPr>
              <w:t>v době realizace</w:t>
            </w:r>
            <w:r w:rsidRPr="004D3F5B">
              <w:rPr>
                <w:rFonts w:ascii="Arial" w:hAnsi="Arial" w:cs="Arial"/>
                <w:sz w:val="20"/>
                <w:szCs w:val="20"/>
              </w:rPr>
              <w:t xml:space="preserve"> je vyhodnocena jako aritmetický průměr splnění závazku jednotlivých MI v době realizace, se zaokrouhlením na celá procenta. Do výpočtu procentuálního splnění závazku MI se zohledňuje míra splnění jednotlivého závazku maximálně však do hodnoty 120 % (vyšší převis skutečnosti nad závazkem není pro výpočet celkového procentuálního splnění MI v době realizace brán v potaz). </w:t>
            </w:r>
            <w:r w:rsidRPr="004D3F5B">
              <w:rPr>
                <w:rFonts w:ascii="Arial" w:eastAsia="Times New Roman" w:hAnsi="Arial" w:cs="Arial"/>
                <w:iCs/>
                <w:sz w:val="20"/>
                <w:szCs w:val="20"/>
                <w:lang w:eastAsia="cs-CZ"/>
              </w:rPr>
              <w:t xml:space="preserve">Nedosáhne-li projekt hodnot MI v době realizace stanovených ve Smlouvě, je vyměřen odvod nebo nižší odvod podle bodů 2.1 až 2.6. </w:t>
            </w:r>
          </w:p>
          <w:p w14:paraId="3E11F083" w14:textId="77777777" w:rsidR="00E0376A" w:rsidRPr="004D3F5B" w:rsidRDefault="00E0376A" w:rsidP="003E158D">
            <w:pPr>
              <w:autoSpaceDE w:val="0"/>
              <w:autoSpaceDN w:val="0"/>
              <w:adjustRightInd w:val="0"/>
              <w:spacing w:after="0" w:line="240" w:lineRule="auto"/>
              <w:jc w:val="both"/>
              <w:rPr>
                <w:rFonts w:ascii="Arial" w:eastAsia="Times New Roman" w:hAnsi="Arial" w:cs="Arial"/>
                <w:iCs/>
                <w:sz w:val="20"/>
                <w:szCs w:val="20"/>
                <w:lang w:eastAsia="cs-CZ"/>
              </w:rPr>
            </w:pPr>
          </w:p>
          <w:p w14:paraId="5144B671" w14:textId="77777777" w:rsidR="00E0376A" w:rsidRPr="004D3F5B" w:rsidRDefault="00E0376A" w:rsidP="003E158D">
            <w:pPr>
              <w:autoSpaceDE w:val="0"/>
              <w:autoSpaceDN w:val="0"/>
              <w:adjustRightInd w:val="0"/>
              <w:spacing w:after="0" w:line="240" w:lineRule="auto"/>
              <w:jc w:val="both"/>
              <w:rPr>
                <w:rFonts w:ascii="Arial" w:eastAsia="Times New Roman" w:hAnsi="Arial" w:cs="Arial"/>
                <w:iCs/>
                <w:sz w:val="20"/>
                <w:szCs w:val="20"/>
                <w:lang w:eastAsia="cs-CZ"/>
              </w:rPr>
            </w:pPr>
            <w:r w:rsidRPr="004D3F5B">
              <w:rPr>
                <w:rFonts w:ascii="Arial" w:hAnsi="Arial" w:cs="Arial"/>
                <w:sz w:val="20"/>
                <w:szCs w:val="20"/>
              </w:rPr>
              <w:t xml:space="preserve">MI plněné </w:t>
            </w:r>
            <w:r w:rsidRPr="004D3F5B">
              <w:rPr>
                <w:rFonts w:ascii="Arial" w:hAnsi="Arial" w:cs="Arial"/>
                <w:sz w:val="20"/>
                <w:szCs w:val="20"/>
                <w:u w:val="single"/>
              </w:rPr>
              <w:t>v době udržitelnosti</w:t>
            </w:r>
            <w:r w:rsidRPr="004D3F5B">
              <w:rPr>
                <w:rFonts w:ascii="Arial" w:hAnsi="Arial" w:cs="Arial"/>
                <w:sz w:val="20"/>
                <w:szCs w:val="20"/>
              </w:rPr>
              <w:t xml:space="preserve"> jsou vyhodnocování jednotlivě v cyklech předem stanovených Smlouvou.</w:t>
            </w:r>
            <w:r>
              <w:rPr>
                <w:rFonts w:ascii="Arial" w:hAnsi="Arial" w:cs="Arial"/>
                <w:sz w:val="20"/>
                <w:szCs w:val="20"/>
              </w:rPr>
              <w:t xml:space="preserve"> </w:t>
            </w:r>
            <w:r w:rsidRPr="004D3F5B">
              <w:rPr>
                <w:rFonts w:ascii="Arial" w:hAnsi="Arial" w:cs="Arial"/>
                <w:sz w:val="20"/>
                <w:szCs w:val="20"/>
              </w:rPr>
              <w:t xml:space="preserve">Za nenaplnění MI v době udržitelnosti je vyměřen nižší odvod podle bodů 2.1 až 2.6, přičemž platí, že v případě bodů 2.1 až 2.5 je výše odvodu vydělena celkovým počtem MI v době udržitelnosti a počtem cyklů vyhodnocení příslušného MI a v případě bodu 2.6 je vyměřen odvod v plné výši. </w:t>
            </w:r>
          </w:p>
          <w:p w14:paraId="5417F99F" w14:textId="77777777" w:rsidR="00E0376A" w:rsidRPr="004D3F5B" w:rsidRDefault="00E0376A" w:rsidP="003E158D">
            <w:pPr>
              <w:autoSpaceDE w:val="0"/>
              <w:autoSpaceDN w:val="0"/>
              <w:adjustRightInd w:val="0"/>
              <w:spacing w:after="0" w:line="240" w:lineRule="auto"/>
              <w:jc w:val="both"/>
              <w:rPr>
                <w:rFonts w:ascii="Arial" w:hAnsi="Arial" w:cs="Arial"/>
                <w:sz w:val="20"/>
                <w:szCs w:val="20"/>
              </w:rPr>
            </w:pPr>
          </w:p>
          <w:p w14:paraId="36D02A2B" w14:textId="77777777" w:rsidR="00E0376A" w:rsidRPr="004D3F5B" w:rsidRDefault="00E0376A" w:rsidP="003E158D">
            <w:pPr>
              <w:autoSpaceDE w:val="0"/>
              <w:autoSpaceDN w:val="0"/>
              <w:adjustRightInd w:val="0"/>
              <w:spacing w:after="0" w:line="240" w:lineRule="auto"/>
              <w:jc w:val="both"/>
              <w:rPr>
                <w:rFonts w:ascii="Arial" w:eastAsia="Times New Roman" w:hAnsi="Arial" w:cs="Arial"/>
                <w:i/>
                <w:iCs/>
                <w:sz w:val="20"/>
                <w:szCs w:val="20"/>
                <w:lang w:eastAsia="cs-CZ"/>
              </w:rPr>
            </w:pPr>
            <w:r w:rsidRPr="004D3F5B">
              <w:rPr>
                <w:rFonts w:ascii="Arial" w:eastAsia="Times New Roman" w:hAnsi="Arial" w:cs="Arial"/>
                <w:iCs/>
                <w:sz w:val="20"/>
                <w:szCs w:val="20"/>
                <w:lang w:eastAsia="cs-CZ"/>
              </w:rPr>
              <w:t>Nedosáhne-li projekt hodnot MI stanovených ve Smlouvě o financování/schválené projektové žádosti, vždy dojde ke zhodnocení vlivu na výsledné hodnocení projektu. V případě, že projekt nedosáhne limitní bodové hranice pro schválení projektu, bude vyměřen odvod ve výši 100 % skutečně poskytnuté podpory. V případě, že projekt dosáhne limitní bodové hranice pro schválení projektu, postup viz níže.</w:t>
            </w:r>
          </w:p>
        </w:tc>
      </w:tr>
      <w:tr w:rsidR="00BB149F" w14:paraId="35217203" w14:textId="77777777" w:rsidTr="003E158D">
        <w:trPr>
          <w:trHeight w:val="255"/>
        </w:trPr>
        <w:tc>
          <w:tcPr>
            <w:tcW w:w="272" w:type="pct"/>
            <w:tcBorders>
              <w:top w:val="nil"/>
              <w:left w:val="nil"/>
              <w:bottom w:val="nil"/>
              <w:right w:val="nil"/>
            </w:tcBorders>
            <w:shd w:val="clear" w:color="auto" w:fill="auto"/>
            <w:vAlign w:val="center"/>
            <w:hideMark/>
          </w:tcPr>
          <w:p w14:paraId="5D7930BE" w14:textId="77777777" w:rsidR="006D6037" w:rsidRDefault="006D6037" w:rsidP="003E158D">
            <w:pPr>
              <w:spacing w:after="0" w:line="240" w:lineRule="auto"/>
              <w:jc w:val="both"/>
              <w:rPr>
                <w:rFonts w:ascii="Arial" w:eastAsia="Times New Roman" w:hAnsi="Arial" w:cs="Arial"/>
                <w:color w:val="000000"/>
                <w:sz w:val="20"/>
                <w:szCs w:val="20"/>
                <w:lang w:eastAsia="cs-CZ"/>
              </w:rPr>
            </w:pPr>
          </w:p>
          <w:p w14:paraId="0D4FDD3E" w14:textId="77777777" w:rsidR="00E0376A" w:rsidRDefault="00E0376A" w:rsidP="003E158D">
            <w:pPr>
              <w:spacing w:after="0" w:line="240" w:lineRule="auto"/>
              <w:jc w:val="both"/>
              <w:rPr>
                <w:rFonts w:ascii="Arial" w:eastAsia="Times New Roman" w:hAnsi="Arial" w:cs="Arial"/>
                <w:color w:val="000000"/>
                <w:sz w:val="20"/>
                <w:szCs w:val="20"/>
                <w:lang w:eastAsia="cs-CZ"/>
              </w:rPr>
            </w:pPr>
          </w:p>
        </w:tc>
        <w:tc>
          <w:tcPr>
            <w:tcW w:w="2005" w:type="pct"/>
            <w:tcBorders>
              <w:top w:val="nil"/>
              <w:left w:val="nil"/>
              <w:bottom w:val="nil"/>
              <w:right w:val="nil"/>
            </w:tcBorders>
            <w:shd w:val="clear" w:color="auto" w:fill="auto"/>
            <w:vAlign w:val="center"/>
            <w:hideMark/>
          </w:tcPr>
          <w:p w14:paraId="4BE73C6F"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721" w:type="pct"/>
            <w:tcBorders>
              <w:top w:val="nil"/>
              <w:left w:val="nil"/>
              <w:bottom w:val="nil"/>
              <w:right w:val="nil"/>
            </w:tcBorders>
            <w:shd w:val="clear" w:color="auto" w:fill="auto"/>
            <w:vAlign w:val="center"/>
            <w:hideMark/>
          </w:tcPr>
          <w:p w14:paraId="01064EE9"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001" w:type="pct"/>
            <w:gridSpan w:val="2"/>
            <w:tcBorders>
              <w:top w:val="nil"/>
              <w:left w:val="nil"/>
              <w:bottom w:val="nil"/>
              <w:right w:val="nil"/>
            </w:tcBorders>
            <w:shd w:val="clear" w:color="auto" w:fill="auto"/>
            <w:vAlign w:val="center"/>
            <w:hideMark/>
          </w:tcPr>
          <w:p w14:paraId="6A0DF94A" w14:textId="77777777" w:rsidR="006D6037" w:rsidRDefault="006D6037" w:rsidP="003E158D">
            <w:pPr>
              <w:spacing w:after="0" w:line="240" w:lineRule="auto"/>
              <w:jc w:val="both"/>
              <w:rPr>
                <w:rFonts w:ascii="Arial" w:eastAsia="Times New Roman" w:hAnsi="Arial" w:cs="Arial"/>
                <w:color w:val="000000"/>
                <w:sz w:val="20"/>
                <w:szCs w:val="20"/>
                <w:lang w:eastAsia="cs-CZ"/>
              </w:rPr>
            </w:pPr>
          </w:p>
        </w:tc>
      </w:tr>
      <w:tr w:rsidR="00E0376A" w14:paraId="13CBB146" w14:textId="77777777" w:rsidTr="003E158D">
        <w:trPr>
          <w:trHeight w:val="315"/>
        </w:trPr>
        <w:tc>
          <w:tcPr>
            <w:tcW w:w="3999" w:type="pct"/>
            <w:gridSpan w:val="3"/>
            <w:tcBorders>
              <w:top w:val="nil"/>
              <w:left w:val="nil"/>
              <w:bottom w:val="single" w:sz="4" w:space="0" w:color="auto"/>
              <w:right w:val="nil"/>
            </w:tcBorders>
            <w:shd w:val="clear" w:color="auto" w:fill="auto"/>
            <w:vAlign w:val="center"/>
            <w:hideMark/>
          </w:tcPr>
          <w:p w14:paraId="5F1FB222" w14:textId="5DAB87BB" w:rsidR="00E0376A" w:rsidRPr="00944E67" w:rsidRDefault="00E0376A" w:rsidP="003E158D">
            <w:pPr>
              <w:spacing w:after="0" w:line="240" w:lineRule="auto"/>
              <w:rPr>
                <w:rFonts w:ascii="Arial" w:eastAsia="Times New Roman" w:hAnsi="Arial" w:cs="Arial"/>
                <w:b/>
                <w:bCs/>
                <w:color w:val="000000"/>
                <w:lang w:eastAsia="cs-CZ"/>
              </w:rPr>
            </w:pPr>
            <w:r w:rsidRPr="00944E67">
              <w:rPr>
                <w:rFonts w:ascii="Arial" w:eastAsia="Times New Roman" w:hAnsi="Arial" w:cs="Arial"/>
                <w:b/>
                <w:bCs/>
                <w:color w:val="000000"/>
                <w:lang w:eastAsia="cs-CZ"/>
              </w:rPr>
              <w:t>MI a EK plněné v realizaci projektu (vykazované v ZoR a Informaci o pokroku)</w:t>
            </w:r>
          </w:p>
          <w:p w14:paraId="5E01A268" w14:textId="77777777" w:rsidR="00E0376A" w:rsidRPr="00944E67" w:rsidRDefault="00E0376A" w:rsidP="003E158D">
            <w:pPr>
              <w:spacing w:after="0" w:line="240" w:lineRule="auto"/>
              <w:rPr>
                <w:rFonts w:ascii="Arial" w:eastAsia="Times New Roman" w:hAnsi="Arial" w:cs="Arial"/>
                <w:b/>
                <w:color w:val="000000"/>
                <w:sz w:val="20"/>
                <w:szCs w:val="20"/>
                <w:lang w:eastAsia="cs-CZ"/>
              </w:rPr>
            </w:pPr>
          </w:p>
        </w:tc>
        <w:tc>
          <w:tcPr>
            <w:tcW w:w="1001" w:type="pct"/>
            <w:gridSpan w:val="2"/>
            <w:tcBorders>
              <w:top w:val="nil"/>
              <w:left w:val="nil"/>
              <w:bottom w:val="single" w:sz="4" w:space="0" w:color="auto"/>
              <w:right w:val="nil"/>
            </w:tcBorders>
            <w:shd w:val="clear" w:color="auto" w:fill="auto"/>
            <w:vAlign w:val="center"/>
            <w:hideMark/>
          </w:tcPr>
          <w:p w14:paraId="7FC06ABC" w14:textId="77777777" w:rsidR="00E0376A" w:rsidRPr="00944E67" w:rsidRDefault="00E0376A" w:rsidP="003E158D">
            <w:pPr>
              <w:spacing w:after="0" w:line="240" w:lineRule="auto"/>
              <w:jc w:val="both"/>
              <w:rPr>
                <w:rFonts w:ascii="Arial" w:eastAsia="Times New Roman" w:hAnsi="Arial" w:cs="Arial"/>
                <w:b/>
                <w:color w:val="000000"/>
                <w:sz w:val="20"/>
                <w:szCs w:val="20"/>
                <w:lang w:eastAsia="cs-CZ"/>
              </w:rPr>
            </w:pPr>
          </w:p>
        </w:tc>
      </w:tr>
      <w:tr w:rsidR="00BB149F" w14:paraId="183D3AA4" w14:textId="77777777" w:rsidTr="003E158D">
        <w:trPr>
          <w:trHeight w:val="397"/>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AFED877"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 </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DC2FC0F" w14:textId="77777777" w:rsidR="006D6037" w:rsidRPr="0005569A" w:rsidRDefault="006D6037" w:rsidP="003E158D">
            <w:pPr>
              <w:spacing w:after="0" w:line="240" w:lineRule="auto"/>
              <w:ind w:left="-13"/>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Typ pochybení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6C4CB971" w14:textId="77777777" w:rsidR="006D6037" w:rsidRPr="0005569A" w:rsidRDefault="006D6037" w:rsidP="003E158D">
            <w:pPr>
              <w:spacing w:after="0" w:line="240" w:lineRule="auto"/>
              <w:ind w:left="-13"/>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Vymezení výše odvodu</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7316C4" w14:textId="77777777" w:rsidR="006D6037" w:rsidRPr="0005569A" w:rsidRDefault="006D6037" w:rsidP="000E3A77">
            <w:pPr>
              <w:spacing w:after="0" w:line="240" w:lineRule="auto"/>
              <w:ind w:left="-13"/>
              <w:jc w:val="center"/>
              <w:rPr>
                <w:rFonts w:ascii="Arial" w:eastAsia="Times New Roman" w:hAnsi="Arial" w:cs="Arial"/>
                <w:b/>
                <w:bCs/>
                <w:color w:val="000000"/>
                <w:sz w:val="18"/>
                <w:szCs w:val="18"/>
                <w:lang w:eastAsia="cs-CZ"/>
              </w:rPr>
            </w:pPr>
            <w:r w:rsidRPr="0005569A">
              <w:rPr>
                <w:rFonts w:ascii="Arial" w:eastAsia="Times New Roman" w:hAnsi="Arial" w:cs="Arial"/>
                <w:b/>
                <w:bCs/>
                <w:color w:val="000000"/>
                <w:sz w:val="18"/>
                <w:szCs w:val="18"/>
                <w:lang w:eastAsia="cs-CZ"/>
              </w:rPr>
              <w:t>Nižší odvod</w:t>
            </w:r>
          </w:p>
        </w:tc>
      </w:tr>
      <w:tr w:rsidR="00BB149F" w14:paraId="1D035A23"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FFF6C75"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2.1</w:t>
            </w:r>
          </w:p>
        </w:tc>
        <w:tc>
          <w:tcPr>
            <w:tcW w:w="2005" w:type="pct"/>
            <w:tcBorders>
              <w:top w:val="single" w:sz="4" w:space="0" w:color="auto"/>
              <w:left w:val="nil"/>
              <w:bottom w:val="single" w:sz="4" w:space="0" w:color="auto"/>
              <w:right w:val="single" w:sz="4" w:space="0" w:color="auto"/>
            </w:tcBorders>
            <w:shd w:val="clear" w:color="auto" w:fill="auto"/>
            <w:hideMark/>
          </w:tcPr>
          <w:p w14:paraId="04F0BE44" w14:textId="75C54DF0"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 xml:space="preserve">Nenaplnění plánovaných </w:t>
            </w:r>
            <w:r w:rsidR="004E6DF2" w:rsidRPr="0005569A">
              <w:rPr>
                <w:rFonts w:ascii="Arial" w:eastAsia="Times New Roman" w:hAnsi="Arial" w:cs="Arial"/>
                <w:color w:val="000000"/>
                <w:sz w:val="18"/>
                <w:szCs w:val="18"/>
                <w:lang w:eastAsia="cs-CZ"/>
              </w:rPr>
              <w:t>MI v rozsahu</w:t>
            </w:r>
            <w:r w:rsidRPr="0005569A">
              <w:rPr>
                <w:rFonts w:ascii="Arial" w:eastAsia="Times New Roman" w:hAnsi="Arial" w:cs="Arial"/>
                <w:color w:val="000000"/>
                <w:sz w:val="18"/>
                <w:szCs w:val="18"/>
                <w:lang w:eastAsia="cs-CZ"/>
              </w:rPr>
              <w:t xml:space="preserve"> menším nebo rovném 15 % závazku</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BFF0A0" w14:textId="6739FE11"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 xml:space="preserve">V případě MI v době realizace, pokud je vyměřen odvod v plné výši, tj. pokud je vyměřen odvod podle bodu 2.5, je to ve výši skutečně vyplacené podpory a pokud jsou naplněny podmínky v bodech 2.1 až 2.4, je odvod vyměřen ve výši záporného rozdílu celkové schválené podpory projektu snížené o sazbu sníženého odvodu a nároku na podporu na základě prokázaných způsobilých nákladů projektu. Je-li takto vypočtený rozdíl kladný (tj. </w:t>
            </w:r>
            <w:r w:rsidRPr="0005569A">
              <w:rPr>
                <w:rFonts w:ascii="Arial" w:eastAsia="Times New Roman" w:hAnsi="Arial" w:cs="Arial"/>
                <w:color w:val="000000"/>
                <w:sz w:val="18"/>
                <w:szCs w:val="18"/>
                <w:lang w:eastAsia="cs-CZ"/>
              </w:rPr>
              <w:lastRenderedPageBreak/>
              <w:t xml:space="preserve">pokud příjemce dotace prokazuje náklady a požaduje podporu nižší než je maximální možná podpora ze smlouvy upravená o sazbu sníženého odvodu), je vyměřen odvod ve výši 0 Kč a nejedná se o porušení pravidel smlouvy. </w:t>
            </w:r>
          </w:p>
          <w:p w14:paraId="387EED43"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p>
          <w:p w14:paraId="7860F396"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 xml:space="preserve">V případě MI v době udržitelnosti je vyměřen odvod ve výši poskytnuté podpory, popř. ve výši nižšího odvodu při naplnění podmínek 2.1 až 2.4, a dále </w:t>
            </w:r>
            <w:r w:rsidRPr="0005569A">
              <w:rPr>
                <w:rFonts w:ascii="Arial" w:hAnsi="Arial" w:cs="Arial"/>
                <w:sz w:val="18"/>
                <w:szCs w:val="18"/>
              </w:rPr>
              <w:t>vydělené celkovým počtem MI v době udržitelnosti a počtem cyklů vyhodnocení příslušného MI.</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6DAFF0" w14:textId="77777777" w:rsidR="006D6037" w:rsidRPr="0005569A" w:rsidRDefault="006D6037" w:rsidP="003E158D">
            <w:pPr>
              <w:spacing w:after="0" w:line="240" w:lineRule="auto"/>
              <w:ind w:left="-13"/>
              <w:jc w:val="center"/>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lastRenderedPageBreak/>
              <w:t>0%</w:t>
            </w:r>
          </w:p>
        </w:tc>
      </w:tr>
      <w:tr w:rsidR="00BB149F" w14:paraId="25FC33D6"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4A5C34A"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2.2</w:t>
            </w:r>
          </w:p>
        </w:tc>
        <w:tc>
          <w:tcPr>
            <w:tcW w:w="2005" w:type="pct"/>
            <w:tcBorders>
              <w:top w:val="single" w:sz="4" w:space="0" w:color="auto"/>
              <w:left w:val="nil"/>
              <w:bottom w:val="single" w:sz="4" w:space="0" w:color="auto"/>
              <w:right w:val="single" w:sz="4" w:space="0" w:color="auto"/>
            </w:tcBorders>
            <w:shd w:val="clear" w:color="auto" w:fill="auto"/>
            <w:hideMark/>
          </w:tcPr>
          <w:p w14:paraId="0641A7CE"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Nenaplnění plánovaných MI v rozsahu spadajícím do intervalu 15 % &lt; X ≤ 30 % závazku</w:t>
            </w:r>
          </w:p>
        </w:tc>
        <w:tc>
          <w:tcPr>
            <w:tcW w:w="1721" w:type="pct"/>
            <w:vMerge/>
            <w:tcBorders>
              <w:top w:val="single" w:sz="4" w:space="0" w:color="auto"/>
              <w:left w:val="single" w:sz="4" w:space="0" w:color="auto"/>
              <w:bottom w:val="single" w:sz="4" w:space="0" w:color="auto"/>
              <w:right w:val="single" w:sz="4" w:space="0" w:color="auto"/>
            </w:tcBorders>
            <w:hideMark/>
          </w:tcPr>
          <w:p w14:paraId="1FCF4CF9"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EC8BCB4" w14:textId="77777777" w:rsidR="006D6037" w:rsidRPr="0005569A" w:rsidRDefault="006D6037" w:rsidP="003E158D">
            <w:pPr>
              <w:spacing w:after="0" w:line="240" w:lineRule="auto"/>
              <w:ind w:left="-13"/>
              <w:jc w:val="center"/>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15%</w:t>
            </w:r>
          </w:p>
        </w:tc>
      </w:tr>
      <w:tr w:rsidR="00BB149F" w14:paraId="36E9C0A3"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75D68B1"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2.3</w:t>
            </w:r>
          </w:p>
        </w:tc>
        <w:tc>
          <w:tcPr>
            <w:tcW w:w="2005" w:type="pct"/>
            <w:tcBorders>
              <w:top w:val="single" w:sz="4" w:space="0" w:color="auto"/>
              <w:left w:val="nil"/>
              <w:bottom w:val="single" w:sz="4" w:space="0" w:color="auto"/>
              <w:right w:val="single" w:sz="4" w:space="0" w:color="auto"/>
            </w:tcBorders>
            <w:shd w:val="clear" w:color="auto" w:fill="auto"/>
            <w:hideMark/>
          </w:tcPr>
          <w:p w14:paraId="358620DF"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Nenaplnění plánovaných MI v rozsahu spadajícím do intervalu 30 % &lt; X ≤ 45 % závazku</w:t>
            </w:r>
          </w:p>
        </w:tc>
        <w:tc>
          <w:tcPr>
            <w:tcW w:w="1721" w:type="pct"/>
            <w:vMerge/>
            <w:tcBorders>
              <w:top w:val="single" w:sz="4" w:space="0" w:color="auto"/>
              <w:left w:val="single" w:sz="4" w:space="0" w:color="auto"/>
              <w:bottom w:val="single" w:sz="4" w:space="0" w:color="auto"/>
              <w:right w:val="single" w:sz="4" w:space="0" w:color="auto"/>
            </w:tcBorders>
            <w:hideMark/>
          </w:tcPr>
          <w:p w14:paraId="75A7EB4B"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FA85BF" w14:textId="77777777" w:rsidR="006D6037" w:rsidRPr="0005569A" w:rsidRDefault="006D6037" w:rsidP="003E158D">
            <w:pPr>
              <w:spacing w:after="0" w:line="240" w:lineRule="auto"/>
              <w:ind w:left="-13"/>
              <w:jc w:val="center"/>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20%</w:t>
            </w:r>
          </w:p>
        </w:tc>
      </w:tr>
      <w:tr w:rsidR="00BB149F" w14:paraId="5E9950AD"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08FF54C"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2.4</w:t>
            </w:r>
          </w:p>
        </w:tc>
        <w:tc>
          <w:tcPr>
            <w:tcW w:w="2005" w:type="pct"/>
            <w:tcBorders>
              <w:top w:val="single" w:sz="4" w:space="0" w:color="auto"/>
              <w:left w:val="nil"/>
              <w:bottom w:val="single" w:sz="4" w:space="0" w:color="auto"/>
              <w:right w:val="single" w:sz="4" w:space="0" w:color="auto"/>
            </w:tcBorders>
            <w:shd w:val="clear" w:color="auto" w:fill="auto"/>
            <w:hideMark/>
          </w:tcPr>
          <w:p w14:paraId="6DC23468"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Nenaplnění plánovaných MI v rozsahu spadajícím do intervalu 45 % &lt; X ≤ 60 % závazku</w:t>
            </w:r>
          </w:p>
        </w:tc>
        <w:tc>
          <w:tcPr>
            <w:tcW w:w="1721" w:type="pct"/>
            <w:vMerge/>
            <w:tcBorders>
              <w:top w:val="single" w:sz="4" w:space="0" w:color="auto"/>
              <w:left w:val="single" w:sz="4" w:space="0" w:color="auto"/>
              <w:bottom w:val="single" w:sz="4" w:space="0" w:color="auto"/>
              <w:right w:val="single" w:sz="4" w:space="0" w:color="auto"/>
            </w:tcBorders>
            <w:hideMark/>
          </w:tcPr>
          <w:p w14:paraId="4E6164C7"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640ED2" w14:textId="77777777" w:rsidR="006D6037" w:rsidRPr="0005569A" w:rsidRDefault="006D6037" w:rsidP="003E158D">
            <w:pPr>
              <w:spacing w:after="0" w:line="240" w:lineRule="auto"/>
              <w:ind w:left="-13"/>
              <w:jc w:val="center"/>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30%</w:t>
            </w:r>
          </w:p>
        </w:tc>
      </w:tr>
      <w:tr w:rsidR="00BB149F" w14:paraId="3C3FC9D7"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AB8D424"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lastRenderedPageBreak/>
              <w:t>2.5</w:t>
            </w:r>
          </w:p>
        </w:tc>
        <w:tc>
          <w:tcPr>
            <w:tcW w:w="2005" w:type="pct"/>
            <w:tcBorders>
              <w:top w:val="single" w:sz="4" w:space="0" w:color="auto"/>
              <w:left w:val="nil"/>
              <w:bottom w:val="single" w:sz="4" w:space="0" w:color="auto"/>
              <w:right w:val="single" w:sz="4" w:space="0" w:color="auto"/>
            </w:tcBorders>
            <w:shd w:val="clear" w:color="auto" w:fill="auto"/>
            <w:hideMark/>
          </w:tcPr>
          <w:p w14:paraId="5FAF3401"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Nenaplnění plánovaných MI v rozsahu větším než 60 % závazku</w:t>
            </w:r>
          </w:p>
        </w:tc>
        <w:tc>
          <w:tcPr>
            <w:tcW w:w="1721" w:type="pct"/>
            <w:vMerge/>
            <w:tcBorders>
              <w:top w:val="single" w:sz="4" w:space="0" w:color="auto"/>
              <w:left w:val="single" w:sz="4" w:space="0" w:color="auto"/>
              <w:bottom w:val="single" w:sz="4" w:space="0" w:color="auto"/>
              <w:right w:val="single" w:sz="4" w:space="0" w:color="auto"/>
            </w:tcBorders>
            <w:hideMark/>
          </w:tcPr>
          <w:p w14:paraId="5F6AFCC7"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704625" w14:textId="77777777" w:rsidR="006D6037" w:rsidRPr="0005569A" w:rsidRDefault="006D6037" w:rsidP="003E158D">
            <w:pPr>
              <w:spacing w:after="0" w:line="240" w:lineRule="auto"/>
              <w:ind w:left="-13"/>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327CEA57" w14:textId="77777777" w:rsidTr="003E158D">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tcPr>
          <w:p w14:paraId="762F131F"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2.6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06FD7A2F"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Nenaplnění plánovaných MI v jakémkoliv rozsahu, které má za následek nesplnění účelu projektu dle bodu 4.2, nebo jehož nenaplnění by mělo rozhodující vliv při výběru projektu k realizaci.</w:t>
            </w:r>
          </w:p>
        </w:tc>
        <w:tc>
          <w:tcPr>
            <w:tcW w:w="1721" w:type="pct"/>
            <w:tcBorders>
              <w:top w:val="single" w:sz="4" w:space="0" w:color="auto"/>
              <w:left w:val="single" w:sz="4" w:space="0" w:color="auto"/>
              <w:bottom w:val="single" w:sz="4" w:space="0" w:color="auto"/>
              <w:right w:val="single" w:sz="4" w:space="0" w:color="auto"/>
            </w:tcBorders>
          </w:tcPr>
          <w:p w14:paraId="45452288" w14:textId="77777777" w:rsidR="006D6037" w:rsidRPr="0005569A" w:rsidRDefault="006D6037" w:rsidP="003E158D">
            <w:pPr>
              <w:spacing w:after="0" w:line="240" w:lineRule="auto"/>
              <w:ind w:left="-13"/>
              <w:rPr>
                <w:rFonts w:ascii="Arial" w:eastAsia="Times New Roman" w:hAnsi="Arial" w:cs="Arial"/>
                <w:color w:val="000000"/>
                <w:sz w:val="18"/>
                <w:szCs w:val="18"/>
                <w:lang w:eastAsia="cs-CZ"/>
              </w:rPr>
            </w:pPr>
            <w:r w:rsidRPr="0005569A">
              <w:rPr>
                <w:rFonts w:ascii="Arial" w:eastAsia="Times New Roman" w:hAnsi="Arial" w:cs="Arial"/>
                <w:color w:val="000000"/>
                <w:sz w:val="18"/>
                <w:szCs w:val="18"/>
                <w:lang w:eastAsia="cs-CZ"/>
              </w:rPr>
              <w:t>Odvod ve výši poskytnuté finanční podpory</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084AA3DC" w14:textId="77777777" w:rsidR="006D6037" w:rsidRPr="0005569A" w:rsidRDefault="006D6037" w:rsidP="003E158D">
            <w:pPr>
              <w:spacing w:after="0" w:line="240" w:lineRule="auto"/>
              <w:ind w:left="-13"/>
              <w:jc w:val="center"/>
              <w:rPr>
                <w:rFonts w:ascii="Arial" w:eastAsia="Times New Roman" w:hAnsi="Arial" w:cs="Arial"/>
                <w:sz w:val="18"/>
                <w:szCs w:val="18"/>
                <w:lang w:eastAsia="cs-CZ"/>
              </w:rPr>
            </w:pPr>
            <w:r w:rsidRPr="0005569A">
              <w:rPr>
                <w:rFonts w:ascii="Arial" w:eastAsia="Times New Roman" w:hAnsi="Arial" w:cs="Arial"/>
                <w:sz w:val="18"/>
                <w:szCs w:val="18"/>
                <w:lang w:eastAsia="cs-CZ"/>
              </w:rPr>
              <w:t>-</w:t>
            </w:r>
          </w:p>
        </w:tc>
      </w:tr>
      <w:tr w:rsidR="00BB149F" w14:paraId="012E9369" w14:textId="77777777" w:rsidTr="003E158D">
        <w:trPr>
          <w:trHeight w:val="405"/>
        </w:trPr>
        <w:tc>
          <w:tcPr>
            <w:tcW w:w="272" w:type="pct"/>
            <w:tcBorders>
              <w:top w:val="single" w:sz="4" w:space="0" w:color="auto"/>
            </w:tcBorders>
            <w:shd w:val="clear" w:color="auto" w:fill="auto"/>
            <w:vAlign w:val="center"/>
          </w:tcPr>
          <w:p w14:paraId="7D36E704" w14:textId="77777777" w:rsidR="006D6037" w:rsidRDefault="006D6037" w:rsidP="003E158D">
            <w:pPr>
              <w:spacing w:after="0" w:line="240" w:lineRule="auto"/>
              <w:jc w:val="both"/>
              <w:rPr>
                <w:rFonts w:ascii="Arial" w:eastAsia="Times New Roman" w:hAnsi="Arial" w:cs="Arial"/>
                <w:color w:val="000000"/>
                <w:sz w:val="20"/>
                <w:szCs w:val="20"/>
                <w:lang w:eastAsia="cs-CZ"/>
              </w:rPr>
            </w:pPr>
          </w:p>
        </w:tc>
        <w:tc>
          <w:tcPr>
            <w:tcW w:w="2005" w:type="pct"/>
            <w:tcBorders>
              <w:top w:val="single" w:sz="4" w:space="0" w:color="auto"/>
            </w:tcBorders>
            <w:shd w:val="clear" w:color="auto" w:fill="auto"/>
            <w:vAlign w:val="center"/>
          </w:tcPr>
          <w:p w14:paraId="3E49755F"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721" w:type="pct"/>
            <w:tcBorders>
              <w:top w:val="single" w:sz="4" w:space="0" w:color="auto"/>
            </w:tcBorders>
            <w:vAlign w:val="center"/>
          </w:tcPr>
          <w:p w14:paraId="23288D2A"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001" w:type="pct"/>
            <w:gridSpan w:val="2"/>
            <w:tcBorders>
              <w:top w:val="single" w:sz="4" w:space="0" w:color="auto"/>
            </w:tcBorders>
            <w:shd w:val="clear" w:color="auto" w:fill="auto"/>
            <w:vAlign w:val="center"/>
          </w:tcPr>
          <w:p w14:paraId="65BC3AF4" w14:textId="77777777" w:rsidR="006D6037" w:rsidRDefault="006D6037" w:rsidP="003E158D">
            <w:pPr>
              <w:spacing w:after="0" w:line="240" w:lineRule="auto"/>
              <w:jc w:val="center"/>
              <w:rPr>
                <w:rFonts w:ascii="Arial" w:eastAsia="Times New Roman" w:hAnsi="Arial" w:cs="Arial"/>
                <w:sz w:val="20"/>
                <w:szCs w:val="20"/>
                <w:lang w:eastAsia="cs-CZ"/>
              </w:rPr>
            </w:pPr>
          </w:p>
        </w:tc>
      </w:tr>
      <w:tr w:rsidR="00B45A8B" w14:paraId="0E3C66FC" w14:textId="77777777" w:rsidTr="003E158D">
        <w:trPr>
          <w:trHeight w:val="315"/>
        </w:trPr>
        <w:tc>
          <w:tcPr>
            <w:tcW w:w="5000" w:type="pct"/>
            <w:gridSpan w:val="5"/>
            <w:tcBorders>
              <w:left w:val="nil"/>
              <w:bottom w:val="nil"/>
              <w:right w:val="nil"/>
            </w:tcBorders>
            <w:shd w:val="clear" w:color="auto" w:fill="auto"/>
            <w:noWrap/>
            <w:vAlign w:val="center"/>
            <w:hideMark/>
          </w:tcPr>
          <w:p w14:paraId="7BEEABA9" w14:textId="6465E27A" w:rsidR="00B45A8B" w:rsidRDefault="00B45A8B" w:rsidP="003E158D">
            <w:pPr>
              <w:spacing w:after="0" w:line="240" w:lineRule="auto"/>
              <w:rPr>
                <w:rFonts w:ascii="Arial" w:eastAsia="Times New Roman" w:hAnsi="Arial" w:cs="Arial"/>
                <w:color w:val="000000"/>
                <w:sz w:val="20"/>
                <w:szCs w:val="20"/>
                <w:lang w:eastAsia="cs-CZ"/>
              </w:rPr>
            </w:pPr>
            <w:r>
              <w:rPr>
                <w:rFonts w:ascii="Arial" w:eastAsia="Times New Roman" w:hAnsi="Arial" w:cs="Arial"/>
                <w:b/>
                <w:bCs/>
                <w:color w:val="000000"/>
                <w:lang w:eastAsia="cs-CZ"/>
              </w:rPr>
              <w:t>3.  Neplnění povinností týkajících se majetku pořízeného z finanční podpory</w:t>
            </w:r>
          </w:p>
        </w:tc>
      </w:tr>
      <w:tr w:rsidR="00BB149F" w14:paraId="3FEB53B2"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568DE626"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1CC33140"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Typ pochybení</w:t>
            </w:r>
          </w:p>
        </w:tc>
        <w:tc>
          <w:tcPr>
            <w:tcW w:w="1721" w:type="pct"/>
            <w:tcBorders>
              <w:top w:val="single" w:sz="8" w:space="0" w:color="auto"/>
              <w:left w:val="nil"/>
              <w:bottom w:val="single" w:sz="8" w:space="0" w:color="auto"/>
              <w:right w:val="single" w:sz="8" w:space="0" w:color="auto"/>
            </w:tcBorders>
            <w:shd w:val="clear" w:color="auto" w:fill="auto"/>
            <w:hideMark/>
          </w:tcPr>
          <w:p w14:paraId="074517E1"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00B1CBFD" w14:textId="77777777" w:rsidR="006D6037" w:rsidRPr="003E158D" w:rsidRDefault="006D6037" w:rsidP="003E158D">
            <w:pPr>
              <w:spacing w:after="0" w:line="240" w:lineRule="auto"/>
              <w:jc w:val="center"/>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Nižší odvod</w:t>
            </w:r>
          </w:p>
        </w:tc>
      </w:tr>
      <w:tr w:rsidR="00BB149F" w14:paraId="7AA8CE88" w14:textId="77777777" w:rsidTr="003E158D">
        <w:trPr>
          <w:trHeight w:val="255"/>
        </w:trPr>
        <w:tc>
          <w:tcPr>
            <w:tcW w:w="272"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41F6A2A4"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3.1</w:t>
            </w:r>
          </w:p>
        </w:tc>
        <w:tc>
          <w:tcPr>
            <w:tcW w:w="2005"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2DCA3DC1"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Zřízení věcného břemene nebo zástavního práva na majetku pořízeném z finanční podpory. </w:t>
            </w:r>
          </w:p>
        </w:tc>
        <w:tc>
          <w:tcPr>
            <w:tcW w:w="1721" w:type="pct"/>
            <w:vMerge w:val="restart"/>
            <w:tcBorders>
              <w:top w:val="nil"/>
              <w:left w:val="single" w:sz="8" w:space="0" w:color="auto"/>
              <w:bottom w:val="single" w:sz="8" w:space="0" w:color="000000"/>
              <w:right w:val="single" w:sz="8" w:space="0" w:color="auto"/>
            </w:tcBorders>
            <w:shd w:val="clear" w:color="auto" w:fill="auto"/>
            <w:hideMark/>
          </w:tcPr>
          <w:p w14:paraId="42AFD63A"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částky finanční podpory vyplacené na pořízení tohoto majetku</w:t>
            </w:r>
            <w:r w:rsidRPr="003E158D">
              <w:rPr>
                <w:rFonts w:ascii="Arial" w:eastAsia="Times New Roman" w:hAnsi="Arial" w:cs="Arial"/>
                <w:strike/>
                <w:sz w:val="18"/>
                <w:szCs w:val="18"/>
                <w:lang w:eastAsia="cs-CZ"/>
              </w:rPr>
              <w:t xml:space="preserve"> </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6EBA42FD"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72D4525E" w14:textId="77777777" w:rsidTr="003E158D">
        <w:trPr>
          <w:trHeight w:val="509"/>
        </w:trPr>
        <w:tc>
          <w:tcPr>
            <w:tcW w:w="272" w:type="pct"/>
            <w:vMerge/>
            <w:tcBorders>
              <w:top w:val="single" w:sz="8" w:space="0" w:color="auto"/>
              <w:left w:val="single" w:sz="8" w:space="0" w:color="auto"/>
              <w:bottom w:val="single" w:sz="4" w:space="0" w:color="auto"/>
              <w:right w:val="single" w:sz="8" w:space="0" w:color="auto"/>
            </w:tcBorders>
            <w:hideMark/>
          </w:tcPr>
          <w:p w14:paraId="39082387" w14:textId="77777777" w:rsidR="006D6037" w:rsidRPr="003E158D" w:rsidRDefault="006D6037" w:rsidP="003E158D">
            <w:pPr>
              <w:spacing w:after="0" w:line="240" w:lineRule="auto"/>
              <w:rPr>
                <w:rFonts w:ascii="Arial" w:eastAsia="Times New Roman" w:hAnsi="Arial" w:cs="Arial"/>
                <w:sz w:val="18"/>
                <w:szCs w:val="18"/>
                <w:lang w:eastAsia="cs-CZ"/>
              </w:rPr>
            </w:pPr>
          </w:p>
        </w:tc>
        <w:tc>
          <w:tcPr>
            <w:tcW w:w="2005" w:type="pct"/>
            <w:vMerge/>
            <w:tcBorders>
              <w:top w:val="single" w:sz="8" w:space="0" w:color="auto"/>
              <w:left w:val="single" w:sz="8" w:space="0" w:color="auto"/>
              <w:bottom w:val="single" w:sz="4" w:space="0" w:color="auto"/>
              <w:right w:val="single" w:sz="8" w:space="0" w:color="auto"/>
            </w:tcBorders>
            <w:hideMark/>
          </w:tcPr>
          <w:p w14:paraId="0847D015" w14:textId="77777777" w:rsidR="006D6037" w:rsidRPr="003E158D" w:rsidRDefault="006D6037" w:rsidP="003E158D">
            <w:pPr>
              <w:spacing w:after="0" w:line="240" w:lineRule="auto"/>
              <w:rPr>
                <w:rFonts w:ascii="Arial" w:eastAsia="Times New Roman" w:hAnsi="Arial" w:cs="Arial"/>
                <w:sz w:val="18"/>
                <w:szCs w:val="18"/>
                <w:lang w:eastAsia="cs-CZ"/>
              </w:rPr>
            </w:pPr>
          </w:p>
        </w:tc>
        <w:tc>
          <w:tcPr>
            <w:tcW w:w="1721" w:type="pct"/>
            <w:vMerge/>
            <w:tcBorders>
              <w:top w:val="nil"/>
              <w:left w:val="single" w:sz="8" w:space="0" w:color="auto"/>
              <w:bottom w:val="single" w:sz="8" w:space="0" w:color="000000"/>
              <w:right w:val="single" w:sz="8" w:space="0" w:color="auto"/>
            </w:tcBorders>
            <w:hideMark/>
          </w:tcPr>
          <w:p w14:paraId="46066788" w14:textId="77777777" w:rsidR="006D6037" w:rsidRPr="003E158D" w:rsidRDefault="006D6037" w:rsidP="003E158D">
            <w:pPr>
              <w:spacing w:after="0" w:line="240" w:lineRule="auto"/>
              <w:rPr>
                <w:rFonts w:ascii="Arial" w:eastAsia="Times New Roman" w:hAnsi="Arial" w:cs="Arial"/>
                <w:sz w:val="18"/>
                <w:szCs w:val="18"/>
                <w:lang w:eastAsia="cs-CZ"/>
              </w:rPr>
            </w:pPr>
          </w:p>
        </w:tc>
        <w:tc>
          <w:tcPr>
            <w:tcW w:w="1001" w:type="pct"/>
            <w:gridSpan w:val="2"/>
            <w:vMerge/>
            <w:tcBorders>
              <w:top w:val="nil"/>
              <w:left w:val="single" w:sz="8" w:space="0" w:color="auto"/>
              <w:bottom w:val="single" w:sz="8" w:space="0" w:color="000000"/>
              <w:right w:val="single" w:sz="8" w:space="0" w:color="auto"/>
            </w:tcBorders>
            <w:hideMark/>
          </w:tcPr>
          <w:p w14:paraId="7EBEA531" w14:textId="77777777" w:rsidR="006D6037" w:rsidRPr="003E158D" w:rsidRDefault="006D6037" w:rsidP="003E158D">
            <w:pPr>
              <w:spacing w:after="0" w:line="240" w:lineRule="auto"/>
              <w:jc w:val="center"/>
              <w:rPr>
                <w:rFonts w:ascii="Arial" w:eastAsia="Times New Roman" w:hAnsi="Arial" w:cs="Arial"/>
                <w:sz w:val="18"/>
                <w:szCs w:val="18"/>
                <w:lang w:eastAsia="cs-CZ"/>
              </w:rPr>
            </w:pPr>
          </w:p>
        </w:tc>
      </w:tr>
      <w:tr w:rsidR="00BB149F" w14:paraId="4E694270" w14:textId="77777777" w:rsidTr="003E158D">
        <w:trPr>
          <w:trHeight w:val="525"/>
        </w:trPr>
        <w:tc>
          <w:tcPr>
            <w:tcW w:w="272" w:type="pct"/>
            <w:tcBorders>
              <w:top w:val="single" w:sz="4" w:space="0" w:color="auto"/>
              <w:left w:val="single" w:sz="8" w:space="0" w:color="auto"/>
              <w:bottom w:val="nil"/>
              <w:right w:val="single" w:sz="8" w:space="0" w:color="auto"/>
            </w:tcBorders>
            <w:shd w:val="clear" w:color="auto" w:fill="auto"/>
            <w:hideMark/>
          </w:tcPr>
          <w:p w14:paraId="5668CCDE"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3.2</w:t>
            </w:r>
          </w:p>
        </w:tc>
        <w:tc>
          <w:tcPr>
            <w:tcW w:w="2005" w:type="pct"/>
            <w:tcBorders>
              <w:top w:val="single" w:sz="4" w:space="0" w:color="auto"/>
              <w:left w:val="nil"/>
              <w:bottom w:val="nil"/>
              <w:right w:val="nil"/>
            </w:tcBorders>
            <w:shd w:val="clear" w:color="auto" w:fill="auto"/>
            <w:noWrap/>
            <w:hideMark/>
          </w:tcPr>
          <w:p w14:paraId="0D885012"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Zřízení služebnosti na majetku pořízeného z finanční podpory pro potřeby vedení inženýrských sítí bez předchozího souhlasu ředitele FON MHMP.</w:t>
            </w:r>
          </w:p>
        </w:tc>
        <w:tc>
          <w:tcPr>
            <w:tcW w:w="1721" w:type="pct"/>
            <w:tcBorders>
              <w:top w:val="nil"/>
              <w:left w:val="single" w:sz="8" w:space="0" w:color="auto"/>
              <w:bottom w:val="nil"/>
              <w:right w:val="single" w:sz="8" w:space="0" w:color="auto"/>
            </w:tcBorders>
            <w:shd w:val="clear" w:color="auto" w:fill="auto"/>
            <w:hideMark/>
          </w:tcPr>
          <w:p w14:paraId="417479D6"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částky finanční podpory vyplacené na pořízení tohoto majetku</w:t>
            </w:r>
            <w:r w:rsidRPr="003E158D">
              <w:rPr>
                <w:rFonts w:ascii="Arial" w:eastAsia="Times New Roman" w:hAnsi="Arial" w:cs="Arial"/>
                <w:strike/>
                <w:sz w:val="18"/>
                <w:szCs w:val="18"/>
                <w:lang w:eastAsia="cs-CZ"/>
              </w:rPr>
              <w:t xml:space="preserve"> </w:t>
            </w:r>
            <w:r w:rsidRPr="003E158D">
              <w:rPr>
                <w:rFonts w:ascii="Arial" w:eastAsia="Times New Roman" w:hAnsi="Arial" w:cs="Arial"/>
                <w:sz w:val="18"/>
                <w:szCs w:val="18"/>
                <w:lang w:eastAsia="cs-CZ"/>
              </w:rPr>
              <w:t>(bez dodatečného souhlasu).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2C72E288"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43088AD0" w14:textId="77777777" w:rsidTr="003E158D">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3726A405"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3.2</w:t>
            </w:r>
          </w:p>
        </w:tc>
        <w:tc>
          <w:tcPr>
            <w:tcW w:w="2005" w:type="pct"/>
            <w:tcBorders>
              <w:top w:val="single" w:sz="8" w:space="0" w:color="auto"/>
              <w:left w:val="nil"/>
              <w:bottom w:val="nil"/>
              <w:right w:val="single" w:sz="8" w:space="0" w:color="auto"/>
            </w:tcBorders>
            <w:shd w:val="clear" w:color="auto" w:fill="auto"/>
            <w:hideMark/>
          </w:tcPr>
          <w:p w14:paraId="606F2BC8"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Převedení vlastnického práva k majetku pořízeného z finanční podpory v době realizace projektu či v době udržitelnosti projektu.</w:t>
            </w:r>
          </w:p>
        </w:tc>
        <w:tc>
          <w:tcPr>
            <w:tcW w:w="1721" w:type="pct"/>
            <w:tcBorders>
              <w:top w:val="nil"/>
              <w:left w:val="nil"/>
              <w:bottom w:val="single" w:sz="8" w:space="0" w:color="auto"/>
              <w:right w:val="single" w:sz="8" w:space="0" w:color="auto"/>
            </w:tcBorders>
            <w:shd w:val="clear" w:color="auto" w:fill="auto"/>
            <w:hideMark/>
          </w:tcPr>
          <w:p w14:paraId="23EF7AF0"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částky finanční podpory vyplacené na pořízení tohoto majetku</w:t>
            </w:r>
          </w:p>
        </w:tc>
        <w:tc>
          <w:tcPr>
            <w:tcW w:w="1001" w:type="pct"/>
            <w:gridSpan w:val="2"/>
            <w:vMerge/>
            <w:tcBorders>
              <w:top w:val="nil"/>
              <w:left w:val="single" w:sz="8" w:space="0" w:color="auto"/>
              <w:bottom w:val="single" w:sz="8" w:space="0" w:color="000000"/>
              <w:right w:val="single" w:sz="8" w:space="0" w:color="auto"/>
            </w:tcBorders>
            <w:hideMark/>
          </w:tcPr>
          <w:p w14:paraId="354C1684" w14:textId="77777777" w:rsidR="006D6037" w:rsidRPr="003E158D" w:rsidRDefault="006D6037" w:rsidP="003E158D">
            <w:pPr>
              <w:spacing w:after="0" w:line="240" w:lineRule="auto"/>
              <w:jc w:val="center"/>
              <w:rPr>
                <w:rFonts w:ascii="Arial" w:eastAsia="Times New Roman" w:hAnsi="Arial" w:cs="Arial"/>
                <w:sz w:val="18"/>
                <w:szCs w:val="18"/>
                <w:lang w:eastAsia="cs-CZ"/>
              </w:rPr>
            </w:pPr>
          </w:p>
        </w:tc>
      </w:tr>
      <w:tr w:rsidR="00BB149F" w14:paraId="38D1CA36" w14:textId="77777777" w:rsidTr="003E158D">
        <w:trPr>
          <w:trHeight w:val="13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39C224A1"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3.3</w:t>
            </w:r>
          </w:p>
        </w:tc>
        <w:tc>
          <w:tcPr>
            <w:tcW w:w="2005" w:type="pct"/>
            <w:tcBorders>
              <w:top w:val="single" w:sz="8" w:space="0" w:color="auto"/>
              <w:left w:val="nil"/>
              <w:bottom w:val="single" w:sz="4" w:space="0" w:color="auto"/>
              <w:right w:val="single" w:sz="8" w:space="0" w:color="auto"/>
            </w:tcBorders>
            <w:shd w:val="clear" w:color="auto" w:fill="auto"/>
            <w:hideMark/>
          </w:tcPr>
          <w:p w14:paraId="680410DF"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Využívání majetku pořízeného z finanční podpory i k jiným účelům než je stanoveno ve Smlouvě/Podmínkách v době realizace projektu či v době udržitelnosti projektu. </w:t>
            </w:r>
          </w:p>
        </w:tc>
        <w:tc>
          <w:tcPr>
            <w:tcW w:w="1721" w:type="pct"/>
            <w:tcBorders>
              <w:top w:val="nil"/>
              <w:left w:val="nil"/>
              <w:bottom w:val="single" w:sz="4" w:space="0" w:color="auto"/>
              <w:right w:val="single" w:sz="8" w:space="0" w:color="auto"/>
            </w:tcBorders>
            <w:shd w:val="clear" w:color="auto" w:fill="auto"/>
            <w:hideMark/>
          </w:tcPr>
          <w:p w14:paraId="7F0839C9"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Odvod ve výši částky finanční podpory vyplacené na pořízení tohoto majetku. </w:t>
            </w:r>
          </w:p>
        </w:tc>
        <w:tc>
          <w:tcPr>
            <w:tcW w:w="1001" w:type="pct"/>
            <w:gridSpan w:val="2"/>
            <w:tcBorders>
              <w:top w:val="nil"/>
              <w:left w:val="nil"/>
              <w:bottom w:val="single" w:sz="4" w:space="0" w:color="auto"/>
              <w:right w:val="single" w:sz="8" w:space="0" w:color="auto"/>
            </w:tcBorders>
            <w:shd w:val="clear" w:color="auto" w:fill="auto"/>
            <w:hideMark/>
          </w:tcPr>
          <w:p w14:paraId="799DE11B" w14:textId="7BC4585B"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Sazba odpovídající % nevyužití majetku pořízeného z dotace.</w:t>
            </w:r>
          </w:p>
        </w:tc>
      </w:tr>
      <w:tr w:rsidR="00BB149F" w14:paraId="774046A7" w14:textId="77777777" w:rsidTr="003E158D">
        <w:trPr>
          <w:trHeight w:val="1395"/>
        </w:trPr>
        <w:tc>
          <w:tcPr>
            <w:tcW w:w="272" w:type="pct"/>
            <w:tcBorders>
              <w:top w:val="single" w:sz="4" w:space="0" w:color="auto"/>
              <w:left w:val="single" w:sz="8" w:space="0" w:color="auto"/>
              <w:bottom w:val="nil"/>
              <w:right w:val="single" w:sz="8" w:space="0" w:color="auto"/>
            </w:tcBorders>
            <w:shd w:val="clear" w:color="auto" w:fill="auto"/>
          </w:tcPr>
          <w:p w14:paraId="634747C4"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3.4</w:t>
            </w:r>
          </w:p>
        </w:tc>
        <w:tc>
          <w:tcPr>
            <w:tcW w:w="2005" w:type="pct"/>
            <w:tcBorders>
              <w:top w:val="single" w:sz="4" w:space="0" w:color="auto"/>
              <w:left w:val="nil"/>
              <w:bottom w:val="nil"/>
              <w:right w:val="single" w:sz="8" w:space="0" w:color="auto"/>
            </w:tcBorders>
            <w:shd w:val="clear" w:color="auto" w:fill="auto"/>
          </w:tcPr>
          <w:p w14:paraId="4099155A"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Využití majetku pořízeného z finanční podpory, na jehož pořízení bylo využito 60 a více % z celkové poskytnuté podpory, které bylo v souladu s cílem a účelem projektu v době realizace projektu či v době udržitelnosti projektu jen z 60 a méně %.</w:t>
            </w:r>
          </w:p>
        </w:tc>
        <w:tc>
          <w:tcPr>
            <w:tcW w:w="1721" w:type="pct"/>
            <w:tcBorders>
              <w:top w:val="single" w:sz="4" w:space="0" w:color="auto"/>
              <w:left w:val="nil"/>
              <w:bottom w:val="nil"/>
              <w:right w:val="single" w:sz="8" w:space="0" w:color="auto"/>
            </w:tcBorders>
            <w:shd w:val="clear" w:color="auto" w:fill="auto"/>
          </w:tcPr>
          <w:p w14:paraId="4BD4EDCB"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Odvod ve výši částky poskytnuté finanční podpory. </w:t>
            </w:r>
          </w:p>
        </w:tc>
        <w:tc>
          <w:tcPr>
            <w:tcW w:w="1001" w:type="pct"/>
            <w:gridSpan w:val="2"/>
            <w:tcBorders>
              <w:top w:val="single" w:sz="4" w:space="0" w:color="auto"/>
              <w:left w:val="nil"/>
              <w:bottom w:val="nil"/>
              <w:right w:val="single" w:sz="8" w:space="0" w:color="auto"/>
            </w:tcBorders>
            <w:shd w:val="clear" w:color="auto" w:fill="auto"/>
          </w:tcPr>
          <w:p w14:paraId="42B36541"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5734FCF0" w14:textId="77777777" w:rsidTr="003E158D">
        <w:trPr>
          <w:trHeight w:val="270"/>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7E35EEA"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3.5</w:t>
            </w:r>
          </w:p>
        </w:tc>
        <w:tc>
          <w:tcPr>
            <w:tcW w:w="2005"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68BD26B9"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Nesplnění povinnosti pojistit veškerý majetek pořízený z finanční podpory v rámci EFRR. </w:t>
            </w:r>
          </w:p>
        </w:tc>
        <w:tc>
          <w:tcPr>
            <w:tcW w:w="172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B8380D1"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Odvod ve výši částky finanční podpory vyplacené na pořízení tohoto majetku.  V případě dodatečného naplnění této povinnosti v rámci nápravných opatření se nejedná o porušení povinnosti. </w:t>
            </w:r>
          </w:p>
        </w:tc>
        <w:tc>
          <w:tcPr>
            <w:tcW w:w="1001"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3EF1A433"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0AA03ECA" w14:textId="77777777" w:rsidTr="003E158D">
        <w:trPr>
          <w:trHeight w:val="509"/>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26D856CF" w14:textId="77777777" w:rsidR="006D6037" w:rsidRDefault="006D6037" w:rsidP="003E158D">
            <w:pPr>
              <w:spacing w:after="0" w:line="240" w:lineRule="auto"/>
              <w:rPr>
                <w:rFonts w:ascii="Arial" w:eastAsia="Times New Roman" w:hAnsi="Arial" w:cs="Arial"/>
                <w:sz w:val="20"/>
                <w:szCs w:val="20"/>
                <w:lang w:eastAsia="cs-CZ"/>
              </w:rPr>
            </w:pPr>
          </w:p>
        </w:tc>
        <w:tc>
          <w:tcPr>
            <w:tcW w:w="2005" w:type="pct"/>
            <w:vMerge/>
            <w:tcBorders>
              <w:top w:val="single" w:sz="8" w:space="0" w:color="auto"/>
              <w:left w:val="single" w:sz="8" w:space="0" w:color="auto"/>
              <w:bottom w:val="single" w:sz="8" w:space="0" w:color="auto"/>
              <w:right w:val="single" w:sz="8" w:space="0" w:color="auto"/>
            </w:tcBorders>
            <w:vAlign w:val="center"/>
            <w:hideMark/>
          </w:tcPr>
          <w:p w14:paraId="548711F3" w14:textId="77777777" w:rsidR="006D6037" w:rsidRDefault="006D6037" w:rsidP="003E158D">
            <w:pPr>
              <w:spacing w:after="0" w:line="240" w:lineRule="auto"/>
              <w:rPr>
                <w:rFonts w:ascii="Arial" w:eastAsia="Times New Roman" w:hAnsi="Arial" w:cs="Arial"/>
                <w:sz w:val="20"/>
                <w:szCs w:val="20"/>
                <w:lang w:eastAsia="cs-CZ"/>
              </w:rPr>
            </w:pPr>
          </w:p>
        </w:tc>
        <w:tc>
          <w:tcPr>
            <w:tcW w:w="1721" w:type="pct"/>
            <w:vMerge/>
            <w:tcBorders>
              <w:top w:val="single" w:sz="8" w:space="0" w:color="auto"/>
              <w:left w:val="single" w:sz="8" w:space="0" w:color="auto"/>
              <w:bottom w:val="single" w:sz="8" w:space="0" w:color="000000"/>
              <w:right w:val="single" w:sz="8" w:space="0" w:color="auto"/>
            </w:tcBorders>
            <w:vAlign w:val="center"/>
            <w:hideMark/>
          </w:tcPr>
          <w:p w14:paraId="5CC86D72" w14:textId="77777777" w:rsidR="006D6037" w:rsidRDefault="006D6037" w:rsidP="003E158D">
            <w:pPr>
              <w:spacing w:after="0" w:line="240" w:lineRule="auto"/>
              <w:rPr>
                <w:rFonts w:ascii="Arial" w:eastAsia="Times New Roman" w:hAnsi="Arial" w:cs="Arial"/>
                <w:sz w:val="20"/>
                <w:szCs w:val="20"/>
                <w:lang w:eastAsia="cs-CZ"/>
              </w:rPr>
            </w:pPr>
          </w:p>
        </w:tc>
        <w:tc>
          <w:tcPr>
            <w:tcW w:w="1001" w:type="pct"/>
            <w:gridSpan w:val="2"/>
            <w:vMerge/>
            <w:tcBorders>
              <w:top w:val="single" w:sz="8" w:space="0" w:color="auto"/>
              <w:left w:val="single" w:sz="8" w:space="0" w:color="auto"/>
              <w:bottom w:val="single" w:sz="8" w:space="0" w:color="auto"/>
              <w:right w:val="single" w:sz="8" w:space="0" w:color="auto"/>
            </w:tcBorders>
            <w:vAlign w:val="center"/>
            <w:hideMark/>
          </w:tcPr>
          <w:p w14:paraId="101B83E9" w14:textId="77777777" w:rsidR="006D6037" w:rsidRDefault="006D6037" w:rsidP="003E158D">
            <w:pPr>
              <w:spacing w:after="0" w:line="240" w:lineRule="auto"/>
              <w:rPr>
                <w:rFonts w:ascii="Arial" w:eastAsia="Times New Roman" w:hAnsi="Arial" w:cs="Arial"/>
                <w:sz w:val="20"/>
                <w:szCs w:val="20"/>
                <w:lang w:eastAsia="cs-CZ"/>
              </w:rPr>
            </w:pPr>
          </w:p>
        </w:tc>
      </w:tr>
      <w:tr w:rsidR="00BB149F" w14:paraId="50499DA2" w14:textId="77777777" w:rsidTr="003E158D">
        <w:trPr>
          <w:trHeight w:val="255"/>
        </w:trPr>
        <w:tc>
          <w:tcPr>
            <w:tcW w:w="272" w:type="pct"/>
            <w:tcBorders>
              <w:top w:val="nil"/>
              <w:left w:val="nil"/>
              <w:bottom w:val="nil"/>
              <w:right w:val="nil"/>
            </w:tcBorders>
            <w:shd w:val="clear" w:color="auto" w:fill="auto"/>
            <w:noWrap/>
            <w:vAlign w:val="bottom"/>
            <w:hideMark/>
          </w:tcPr>
          <w:p w14:paraId="40958740"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2005" w:type="pct"/>
            <w:tcBorders>
              <w:top w:val="nil"/>
              <w:left w:val="nil"/>
              <w:bottom w:val="nil"/>
              <w:right w:val="nil"/>
            </w:tcBorders>
            <w:shd w:val="clear" w:color="auto" w:fill="auto"/>
            <w:noWrap/>
            <w:vAlign w:val="bottom"/>
            <w:hideMark/>
          </w:tcPr>
          <w:p w14:paraId="4372811C"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721" w:type="pct"/>
            <w:tcBorders>
              <w:top w:val="nil"/>
              <w:left w:val="nil"/>
              <w:bottom w:val="nil"/>
              <w:right w:val="nil"/>
            </w:tcBorders>
            <w:shd w:val="clear" w:color="auto" w:fill="auto"/>
            <w:noWrap/>
            <w:vAlign w:val="bottom"/>
            <w:hideMark/>
          </w:tcPr>
          <w:p w14:paraId="1ACFE75D"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001" w:type="pct"/>
            <w:gridSpan w:val="2"/>
            <w:tcBorders>
              <w:top w:val="nil"/>
              <w:left w:val="nil"/>
              <w:bottom w:val="nil"/>
              <w:right w:val="nil"/>
            </w:tcBorders>
            <w:shd w:val="clear" w:color="auto" w:fill="auto"/>
            <w:noWrap/>
            <w:vAlign w:val="bottom"/>
            <w:hideMark/>
          </w:tcPr>
          <w:p w14:paraId="34EBAC9C" w14:textId="77777777" w:rsidR="006D6037" w:rsidRDefault="006D6037" w:rsidP="003E158D">
            <w:pPr>
              <w:spacing w:after="0" w:line="240" w:lineRule="auto"/>
              <w:rPr>
                <w:rFonts w:ascii="Arial" w:eastAsia="Times New Roman" w:hAnsi="Arial" w:cs="Arial"/>
                <w:color w:val="000000"/>
                <w:sz w:val="20"/>
                <w:szCs w:val="20"/>
                <w:lang w:eastAsia="cs-CZ"/>
              </w:rPr>
            </w:pPr>
          </w:p>
        </w:tc>
      </w:tr>
      <w:tr w:rsidR="00001725" w14:paraId="3F0D7259" w14:textId="77777777" w:rsidTr="003E158D">
        <w:trPr>
          <w:trHeight w:val="615"/>
        </w:trPr>
        <w:tc>
          <w:tcPr>
            <w:tcW w:w="5000" w:type="pct"/>
            <w:gridSpan w:val="5"/>
            <w:tcBorders>
              <w:top w:val="nil"/>
              <w:left w:val="nil"/>
              <w:bottom w:val="nil"/>
              <w:right w:val="nil"/>
            </w:tcBorders>
            <w:shd w:val="clear" w:color="auto" w:fill="auto"/>
            <w:noWrap/>
            <w:vAlign w:val="center"/>
            <w:hideMark/>
          </w:tcPr>
          <w:p w14:paraId="1639B625" w14:textId="70C20291" w:rsidR="00001725" w:rsidRDefault="00001725" w:rsidP="003E158D">
            <w:pPr>
              <w:spacing w:after="0" w:line="240" w:lineRule="auto"/>
              <w:rPr>
                <w:rFonts w:ascii="Arial" w:eastAsia="Times New Roman" w:hAnsi="Arial" w:cs="Arial"/>
                <w:color w:val="000000"/>
                <w:sz w:val="20"/>
                <w:szCs w:val="20"/>
                <w:lang w:eastAsia="cs-CZ"/>
              </w:rPr>
            </w:pPr>
            <w:r>
              <w:rPr>
                <w:rFonts w:ascii="Arial" w:eastAsia="Times New Roman" w:hAnsi="Arial" w:cs="Arial"/>
                <w:b/>
                <w:bCs/>
                <w:color w:val="000000"/>
                <w:lang w:eastAsia="cs-CZ"/>
              </w:rPr>
              <w:t>4.  Neudržení účelu a cíle projektu (tam, kde je to dle podmínek poskytnutí finanční podpory relevantní)</w:t>
            </w:r>
          </w:p>
        </w:tc>
      </w:tr>
      <w:tr w:rsidR="00BB149F" w14:paraId="4562C61A"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E8900F" w14:textId="77777777" w:rsidR="006D6037" w:rsidRPr="003E158D" w:rsidRDefault="006D6037" w:rsidP="003E158D">
            <w:pPr>
              <w:spacing w:after="0" w:line="240" w:lineRule="auto"/>
              <w:jc w:val="both"/>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 xml:space="preserve">Č. </w:t>
            </w:r>
          </w:p>
        </w:tc>
        <w:tc>
          <w:tcPr>
            <w:tcW w:w="2005" w:type="pct"/>
            <w:tcBorders>
              <w:top w:val="single" w:sz="8" w:space="0" w:color="auto"/>
              <w:left w:val="nil"/>
              <w:bottom w:val="single" w:sz="8" w:space="0" w:color="auto"/>
              <w:right w:val="single" w:sz="8" w:space="0" w:color="auto"/>
            </w:tcBorders>
            <w:shd w:val="clear" w:color="auto" w:fill="auto"/>
            <w:vAlign w:val="center"/>
            <w:hideMark/>
          </w:tcPr>
          <w:p w14:paraId="51EB4D1D" w14:textId="77777777" w:rsidR="006D6037" w:rsidRPr="003E158D" w:rsidRDefault="006D6037" w:rsidP="003E158D">
            <w:pPr>
              <w:spacing w:after="0" w:line="240" w:lineRule="auto"/>
              <w:jc w:val="both"/>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Typ pochybení</w:t>
            </w:r>
          </w:p>
        </w:tc>
        <w:tc>
          <w:tcPr>
            <w:tcW w:w="1721" w:type="pct"/>
            <w:tcBorders>
              <w:top w:val="single" w:sz="8" w:space="0" w:color="auto"/>
              <w:left w:val="nil"/>
              <w:bottom w:val="single" w:sz="8" w:space="0" w:color="auto"/>
              <w:right w:val="single" w:sz="8" w:space="0" w:color="auto"/>
            </w:tcBorders>
            <w:shd w:val="clear" w:color="auto" w:fill="auto"/>
            <w:vAlign w:val="center"/>
            <w:hideMark/>
          </w:tcPr>
          <w:p w14:paraId="4AFA3E2F" w14:textId="77777777" w:rsidR="006D6037" w:rsidRPr="003E158D" w:rsidRDefault="006D6037" w:rsidP="003E158D">
            <w:pPr>
              <w:spacing w:after="0" w:line="240" w:lineRule="auto"/>
              <w:jc w:val="both"/>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7D306A16" w14:textId="36D4B754" w:rsidR="006D6037" w:rsidRPr="003E158D" w:rsidRDefault="006D6037" w:rsidP="003E158D">
            <w:pPr>
              <w:spacing w:after="0" w:line="240" w:lineRule="auto"/>
              <w:jc w:val="center"/>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Nižší odvod</w:t>
            </w:r>
          </w:p>
        </w:tc>
      </w:tr>
      <w:tr w:rsidR="00BB149F" w14:paraId="5947028C" w14:textId="77777777" w:rsidTr="003E158D">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7956B3E0" w14:textId="77777777" w:rsidR="006D6037" w:rsidRPr="003E158D" w:rsidRDefault="006D6037" w:rsidP="003E158D">
            <w:pPr>
              <w:spacing w:after="0" w:line="240" w:lineRule="auto"/>
              <w:jc w:val="both"/>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4.1</w:t>
            </w:r>
          </w:p>
        </w:tc>
        <w:tc>
          <w:tcPr>
            <w:tcW w:w="2005" w:type="pct"/>
            <w:tcBorders>
              <w:top w:val="nil"/>
              <w:left w:val="nil"/>
              <w:bottom w:val="single" w:sz="8" w:space="0" w:color="auto"/>
              <w:right w:val="single" w:sz="8" w:space="0" w:color="auto"/>
            </w:tcBorders>
            <w:shd w:val="clear" w:color="auto" w:fill="auto"/>
            <w:vAlign w:val="center"/>
            <w:hideMark/>
          </w:tcPr>
          <w:p w14:paraId="0E3F8FD0" w14:textId="77777777" w:rsidR="006D6037" w:rsidRPr="003E158D" w:rsidRDefault="006D6037" w:rsidP="003E158D">
            <w:pPr>
              <w:spacing w:after="0" w:line="240" w:lineRule="auto"/>
              <w:jc w:val="both"/>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Ukončení činnosti organizace* v době realizace projektu popř. v době udržitelnost projektu</w:t>
            </w:r>
          </w:p>
        </w:tc>
        <w:tc>
          <w:tcPr>
            <w:tcW w:w="1721" w:type="pct"/>
            <w:tcBorders>
              <w:top w:val="nil"/>
              <w:left w:val="single" w:sz="8" w:space="0" w:color="auto"/>
              <w:bottom w:val="single" w:sz="8" w:space="0" w:color="auto"/>
              <w:right w:val="single" w:sz="8" w:space="0" w:color="auto"/>
            </w:tcBorders>
            <w:shd w:val="clear" w:color="auto" w:fill="auto"/>
            <w:vAlign w:val="center"/>
            <w:hideMark/>
          </w:tcPr>
          <w:p w14:paraId="377CE6B8" w14:textId="77777777" w:rsidR="006D6037" w:rsidRPr="003E158D" w:rsidRDefault="006D6037" w:rsidP="003E158D">
            <w:pPr>
              <w:spacing w:after="0" w:line="240" w:lineRule="auto"/>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 xml:space="preserve">Odvod ve výši poskytnuté finanční podpory. </w:t>
            </w:r>
          </w:p>
        </w:tc>
        <w:tc>
          <w:tcPr>
            <w:tcW w:w="1001" w:type="pct"/>
            <w:gridSpan w:val="2"/>
            <w:vMerge w:val="restart"/>
            <w:tcBorders>
              <w:top w:val="nil"/>
              <w:left w:val="single" w:sz="8" w:space="0" w:color="auto"/>
              <w:bottom w:val="single" w:sz="8" w:space="0" w:color="auto"/>
              <w:right w:val="single" w:sz="8" w:space="0" w:color="auto"/>
            </w:tcBorders>
            <w:shd w:val="clear" w:color="auto" w:fill="auto"/>
            <w:hideMark/>
          </w:tcPr>
          <w:p w14:paraId="4DABF79C" w14:textId="77777777" w:rsidR="006D6037" w:rsidRPr="003E158D" w:rsidRDefault="006D6037" w:rsidP="003E158D">
            <w:pPr>
              <w:spacing w:after="0" w:line="240" w:lineRule="auto"/>
              <w:jc w:val="cente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w:t>
            </w:r>
          </w:p>
        </w:tc>
      </w:tr>
      <w:tr w:rsidR="00BB149F" w14:paraId="77E4F877" w14:textId="77777777" w:rsidTr="003E158D">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14399DC3" w14:textId="77777777" w:rsidR="006D6037" w:rsidRPr="003E158D" w:rsidRDefault="006D6037" w:rsidP="003E158D">
            <w:pPr>
              <w:spacing w:after="0" w:line="240" w:lineRule="auto"/>
              <w:jc w:val="both"/>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4.2</w:t>
            </w:r>
          </w:p>
        </w:tc>
        <w:tc>
          <w:tcPr>
            <w:tcW w:w="2005" w:type="pct"/>
            <w:tcBorders>
              <w:top w:val="nil"/>
              <w:left w:val="nil"/>
              <w:bottom w:val="single" w:sz="8" w:space="0" w:color="auto"/>
              <w:right w:val="single" w:sz="8" w:space="0" w:color="auto"/>
            </w:tcBorders>
            <w:shd w:val="clear" w:color="auto" w:fill="auto"/>
            <w:vAlign w:val="center"/>
            <w:hideMark/>
          </w:tcPr>
          <w:p w14:paraId="016600B5" w14:textId="77777777" w:rsidR="006D6037" w:rsidRPr="003E158D" w:rsidRDefault="006D6037" w:rsidP="003E158D">
            <w:pPr>
              <w:spacing w:after="0" w:line="240" w:lineRule="auto"/>
              <w:jc w:val="both"/>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Neudržení účelu a cíle projektu</w:t>
            </w:r>
          </w:p>
        </w:tc>
        <w:tc>
          <w:tcPr>
            <w:tcW w:w="1721" w:type="pct"/>
            <w:tcBorders>
              <w:top w:val="nil"/>
              <w:left w:val="single" w:sz="8" w:space="0" w:color="auto"/>
              <w:bottom w:val="single" w:sz="8" w:space="0" w:color="auto"/>
              <w:right w:val="single" w:sz="8" w:space="0" w:color="auto"/>
            </w:tcBorders>
            <w:shd w:val="clear" w:color="auto" w:fill="auto"/>
            <w:vAlign w:val="center"/>
            <w:hideMark/>
          </w:tcPr>
          <w:p w14:paraId="4135E271" w14:textId="77777777" w:rsidR="006D6037" w:rsidRPr="003E158D" w:rsidRDefault="006D6037" w:rsidP="003E158D">
            <w:pPr>
              <w:spacing w:after="0" w:line="240" w:lineRule="auto"/>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Odvod ve výši vyplacené částky finanční podpory, která byla použita v rozporu s cíle projektu, účelem projektu nebo v rozporu s pravidly OPPPR. Popř. odvod ve výši vyplacené částky finanční podpory odpovídající ustanovením v části 2 tohoto dokumentu.</w:t>
            </w:r>
          </w:p>
        </w:tc>
        <w:tc>
          <w:tcPr>
            <w:tcW w:w="1001" w:type="pct"/>
            <w:gridSpan w:val="2"/>
            <w:vMerge/>
            <w:tcBorders>
              <w:top w:val="nil"/>
              <w:left w:val="single" w:sz="8" w:space="0" w:color="auto"/>
              <w:bottom w:val="single" w:sz="8" w:space="0" w:color="auto"/>
              <w:right w:val="single" w:sz="8" w:space="0" w:color="auto"/>
            </w:tcBorders>
            <w:vAlign w:val="center"/>
            <w:hideMark/>
          </w:tcPr>
          <w:p w14:paraId="4B3CD5DA" w14:textId="77777777" w:rsidR="006D6037" w:rsidRDefault="006D6037" w:rsidP="003E158D">
            <w:pPr>
              <w:spacing w:after="0" w:line="240" w:lineRule="auto"/>
              <w:rPr>
                <w:rFonts w:ascii="Arial" w:eastAsia="Times New Roman" w:hAnsi="Arial" w:cs="Arial"/>
                <w:color w:val="000000"/>
                <w:sz w:val="20"/>
                <w:szCs w:val="20"/>
                <w:lang w:eastAsia="cs-CZ"/>
              </w:rPr>
            </w:pPr>
          </w:p>
        </w:tc>
      </w:tr>
      <w:tr w:rsidR="006D6037" w14:paraId="321CD3A8" w14:textId="77777777" w:rsidTr="003E158D">
        <w:trPr>
          <w:trHeight w:val="255"/>
        </w:trPr>
        <w:tc>
          <w:tcPr>
            <w:tcW w:w="5000" w:type="pct"/>
            <w:gridSpan w:val="5"/>
            <w:tcBorders>
              <w:top w:val="nil"/>
              <w:left w:val="nil"/>
              <w:bottom w:val="nil"/>
              <w:right w:val="nil"/>
            </w:tcBorders>
            <w:shd w:val="clear" w:color="auto" w:fill="auto"/>
            <w:noWrap/>
            <w:vAlign w:val="bottom"/>
            <w:hideMark/>
          </w:tcPr>
          <w:p w14:paraId="261CD921" w14:textId="4577640B" w:rsidR="006D6037" w:rsidRDefault="006D6037" w:rsidP="003E158D">
            <w:pPr>
              <w:spacing w:after="0" w:line="240" w:lineRule="auto"/>
              <w:jc w:val="both"/>
            </w:pPr>
            <w:r>
              <w:t>*</w:t>
            </w:r>
            <w:r w:rsidRPr="00256D74">
              <w:rPr>
                <w:i/>
              </w:rPr>
              <w:t xml:space="preserve">změna právní formy příjemce dotace je možná, když ostatní </w:t>
            </w:r>
            <w:r w:rsidR="003E158D">
              <w:rPr>
                <w:i/>
              </w:rPr>
              <w:t xml:space="preserve">údaje zůstanou nezměněny; </w:t>
            </w:r>
            <w:r w:rsidRPr="00256D74">
              <w:rPr>
                <w:i/>
              </w:rPr>
              <w:t>přeměna obchodní společnost</w:t>
            </w:r>
            <w:r w:rsidR="003E158D">
              <w:rPr>
                <w:i/>
              </w:rPr>
              <w:t>i nebo družstva podle zákona č. </w:t>
            </w:r>
            <w:r w:rsidRPr="00256D74">
              <w:rPr>
                <w:i/>
              </w:rPr>
              <w:t>125/2008 Sb., o přeměnách obchodních společností a družstev v rozsahu stanoveném v § 14a zák</w:t>
            </w:r>
            <w:r w:rsidR="003E158D">
              <w:rPr>
                <w:i/>
              </w:rPr>
              <w:t>ona o rozpočtových pravidlech; při slučování, splývání a </w:t>
            </w:r>
            <w:r w:rsidRPr="00256D74">
              <w:rPr>
                <w:i/>
              </w:rPr>
              <w:t>rozdělování školských právnických osob ve smyslu § 14d odst. 3 záko</w:t>
            </w:r>
            <w:r w:rsidR="003E158D">
              <w:rPr>
                <w:i/>
              </w:rPr>
              <w:t xml:space="preserve">na o rozpočtových pravidlech; </w:t>
            </w:r>
            <w:r w:rsidRPr="00256D74">
              <w:rPr>
                <w:i/>
              </w:rPr>
              <w:t>změna příjemce ze zákona, kdy od určitého data dojde k jeho přejmenování či změně právní formy</w:t>
            </w:r>
            <w:r>
              <w:t>.</w:t>
            </w:r>
          </w:p>
          <w:p w14:paraId="3BC2900B" w14:textId="77777777" w:rsidR="006D6037" w:rsidRDefault="006D6037" w:rsidP="003E158D">
            <w:pPr>
              <w:spacing w:after="0" w:line="240" w:lineRule="auto"/>
              <w:rPr>
                <w:rFonts w:ascii="Arial" w:eastAsia="Times New Roman" w:hAnsi="Arial" w:cs="Arial"/>
                <w:color w:val="000000"/>
                <w:sz w:val="20"/>
                <w:szCs w:val="20"/>
                <w:lang w:eastAsia="cs-CZ"/>
              </w:rPr>
            </w:pPr>
          </w:p>
        </w:tc>
      </w:tr>
      <w:tr w:rsidR="00001725" w14:paraId="707CDA59" w14:textId="77777777" w:rsidTr="003E158D">
        <w:trPr>
          <w:trHeight w:val="315"/>
        </w:trPr>
        <w:tc>
          <w:tcPr>
            <w:tcW w:w="5000" w:type="pct"/>
            <w:gridSpan w:val="5"/>
            <w:tcBorders>
              <w:top w:val="nil"/>
              <w:left w:val="nil"/>
              <w:bottom w:val="nil"/>
              <w:right w:val="nil"/>
            </w:tcBorders>
            <w:shd w:val="clear" w:color="auto" w:fill="auto"/>
            <w:noWrap/>
            <w:vAlign w:val="center"/>
            <w:hideMark/>
          </w:tcPr>
          <w:p w14:paraId="6943FE3A" w14:textId="5FC99CD0" w:rsidR="00001725" w:rsidRDefault="00001725" w:rsidP="003E158D">
            <w:pPr>
              <w:spacing w:after="0" w:line="240" w:lineRule="auto"/>
              <w:rPr>
                <w:rFonts w:ascii="Arial" w:eastAsia="Times New Roman" w:hAnsi="Arial" w:cs="Arial"/>
                <w:color w:val="000000"/>
                <w:sz w:val="20"/>
                <w:szCs w:val="20"/>
                <w:lang w:eastAsia="cs-CZ"/>
              </w:rPr>
            </w:pPr>
            <w:r>
              <w:rPr>
                <w:rFonts w:ascii="Arial" w:eastAsia="Times New Roman" w:hAnsi="Arial" w:cs="Arial"/>
                <w:b/>
                <w:bCs/>
                <w:color w:val="000000"/>
                <w:lang w:eastAsia="cs-CZ"/>
              </w:rPr>
              <w:t>5.  Nepřiznaný příjem projektu</w:t>
            </w:r>
          </w:p>
        </w:tc>
      </w:tr>
      <w:tr w:rsidR="00BB149F" w14:paraId="75C21301"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00D17C07"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7F8FB709"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Typ pochybení</w:t>
            </w:r>
          </w:p>
        </w:tc>
        <w:tc>
          <w:tcPr>
            <w:tcW w:w="1721" w:type="pct"/>
            <w:tcBorders>
              <w:top w:val="single" w:sz="8" w:space="0" w:color="auto"/>
              <w:left w:val="nil"/>
              <w:bottom w:val="single" w:sz="8" w:space="0" w:color="auto"/>
              <w:right w:val="single" w:sz="8" w:space="0" w:color="auto"/>
            </w:tcBorders>
            <w:shd w:val="clear" w:color="auto" w:fill="auto"/>
            <w:hideMark/>
          </w:tcPr>
          <w:p w14:paraId="476DD1B3" w14:textId="77777777" w:rsidR="006D6037" w:rsidRPr="003E158D" w:rsidRDefault="006D6037" w:rsidP="003E158D">
            <w:pPr>
              <w:spacing w:after="0" w:line="240" w:lineRule="auto"/>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hideMark/>
          </w:tcPr>
          <w:p w14:paraId="5B12A7F4" w14:textId="77777777" w:rsidR="006D6037" w:rsidRPr="003E158D" w:rsidRDefault="006D6037" w:rsidP="003E158D">
            <w:pPr>
              <w:spacing w:after="0" w:line="240" w:lineRule="auto"/>
              <w:jc w:val="center"/>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Nižší odvod</w:t>
            </w:r>
          </w:p>
        </w:tc>
      </w:tr>
      <w:tr w:rsidR="00BB149F" w14:paraId="6C87DC2A" w14:textId="77777777" w:rsidTr="003E158D">
        <w:trPr>
          <w:trHeight w:val="17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316005A0"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5.1</w:t>
            </w:r>
          </w:p>
        </w:tc>
        <w:tc>
          <w:tcPr>
            <w:tcW w:w="2005" w:type="pct"/>
            <w:tcBorders>
              <w:top w:val="single" w:sz="8" w:space="0" w:color="auto"/>
              <w:left w:val="nil"/>
              <w:bottom w:val="single" w:sz="4" w:space="0" w:color="auto"/>
              <w:right w:val="single" w:sz="8" w:space="0" w:color="auto"/>
            </w:tcBorders>
            <w:shd w:val="clear" w:color="auto" w:fill="auto"/>
            <w:hideMark/>
          </w:tcPr>
          <w:p w14:paraId="4BC49321"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Nepřiznaný příjem projektu dle čl. 61, 65 Nařízení Evropského parlamentu a Rady (EU) č. 1303/2013 a projektů podléhající veřejné podpoře</w:t>
            </w:r>
          </w:p>
        </w:tc>
        <w:tc>
          <w:tcPr>
            <w:tcW w:w="1721" w:type="pct"/>
            <w:tcBorders>
              <w:top w:val="single" w:sz="8" w:space="0" w:color="auto"/>
              <w:left w:val="nil"/>
              <w:bottom w:val="single" w:sz="4" w:space="0" w:color="auto"/>
              <w:right w:val="single" w:sz="8" w:space="0" w:color="auto"/>
            </w:tcBorders>
            <w:shd w:val="clear" w:color="auto" w:fill="auto"/>
            <w:hideMark/>
          </w:tcPr>
          <w:p w14:paraId="4F4D482E"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 Odvod ve výši nepřiznaného čistého příjmu projektu. Vyměření odvodu je sankční platbou, nijak neovlivňuje povinnost příjemce dotace zahrnout příjem do zdrojů financování projektu dodatečně. </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62D6FBD4"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6E3E2772" w14:textId="77777777" w:rsidTr="003E158D">
        <w:trPr>
          <w:trHeight w:val="735"/>
        </w:trPr>
        <w:tc>
          <w:tcPr>
            <w:tcW w:w="272" w:type="pct"/>
            <w:tcBorders>
              <w:top w:val="single" w:sz="4" w:space="0" w:color="auto"/>
              <w:left w:val="single" w:sz="8" w:space="0" w:color="auto"/>
              <w:bottom w:val="single" w:sz="8" w:space="0" w:color="auto"/>
              <w:right w:val="nil"/>
            </w:tcBorders>
            <w:shd w:val="clear" w:color="auto" w:fill="auto"/>
            <w:hideMark/>
          </w:tcPr>
          <w:p w14:paraId="33162388"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5.2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31B0F79" w14:textId="6CAFC579"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Skutečné příjmy projektu přesáhly plánované příjmy (odchylka ve finanční mezeře přesahující 10 %) podle čl. 61 Nařízení, Evropského parlamentu a Rady (EU) č. 1303/2013) pokud je nevrátil v souladu se Smlouvou</w:t>
            </w:r>
          </w:p>
        </w:tc>
        <w:tc>
          <w:tcPr>
            <w:tcW w:w="1721" w:type="pct"/>
            <w:tcBorders>
              <w:top w:val="single" w:sz="4" w:space="0" w:color="auto"/>
              <w:left w:val="nil"/>
              <w:bottom w:val="single" w:sz="4" w:space="0" w:color="auto"/>
              <w:right w:val="single" w:sz="4" w:space="0" w:color="auto"/>
            </w:tcBorders>
            <w:shd w:val="clear" w:color="auto" w:fill="auto"/>
            <w:noWrap/>
            <w:hideMark/>
          </w:tcPr>
          <w:p w14:paraId="702D94DB"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rozdílu skutečných a plánovaných příjmů k finanční podpoře</w:t>
            </w:r>
          </w:p>
        </w:tc>
        <w:tc>
          <w:tcPr>
            <w:tcW w:w="1001" w:type="pct"/>
            <w:gridSpan w:val="2"/>
            <w:tcBorders>
              <w:top w:val="single" w:sz="4" w:space="0" w:color="auto"/>
              <w:left w:val="nil"/>
              <w:bottom w:val="single" w:sz="4" w:space="0" w:color="auto"/>
              <w:right w:val="single" w:sz="4" w:space="0" w:color="auto"/>
            </w:tcBorders>
            <w:shd w:val="clear" w:color="auto" w:fill="auto"/>
            <w:hideMark/>
          </w:tcPr>
          <w:p w14:paraId="1FB49829" w14:textId="77777777" w:rsidR="006D6037" w:rsidRPr="003E158D" w:rsidRDefault="006D6037"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620FC048" w14:textId="77777777" w:rsidTr="003E158D">
        <w:trPr>
          <w:trHeight w:val="255"/>
        </w:trPr>
        <w:tc>
          <w:tcPr>
            <w:tcW w:w="272" w:type="pct"/>
            <w:tcBorders>
              <w:top w:val="nil"/>
              <w:left w:val="nil"/>
              <w:bottom w:val="nil"/>
              <w:right w:val="nil"/>
            </w:tcBorders>
            <w:shd w:val="clear" w:color="auto" w:fill="auto"/>
            <w:noWrap/>
            <w:vAlign w:val="bottom"/>
            <w:hideMark/>
          </w:tcPr>
          <w:p w14:paraId="617C3659"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2005" w:type="pct"/>
            <w:tcBorders>
              <w:top w:val="nil"/>
              <w:left w:val="nil"/>
              <w:bottom w:val="nil"/>
              <w:right w:val="nil"/>
            </w:tcBorders>
            <w:shd w:val="clear" w:color="auto" w:fill="auto"/>
            <w:noWrap/>
            <w:vAlign w:val="bottom"/>
            <w:hideMark/>
          </w:tcPr>
          <w:p w14:paraId="753DF0EF"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721" w:type="pct"/>
            <w:tcBorders>
              <w:top w:val="nil"/>
              <w:left w:val="nil"/>
              <w:bottom w:val="nil"/>
              <w:right w:val="nil"/>
            </w:tcBorders>
            <w:shd w:val="clear" w:color="auto" w:fill="auto"/>
            <w:noWrap/>
            <w:vAlign w:val="bottom"/>
            <w:hideMark/>
          </w:tcPr>
          <w:p w14:paraId="645103A6" w14:textId="77777777" w:rsidR="006D6037" w:rsidRDefault="006D6037" w:rsidP="003E158D">
            <w:pPr>
              <w:spacing w:after="0" w:line="240" w:lineRule="auto"/>
              <w:rPr>
                <w:rFonts w:ascii="Arial" w:eastAsia="Times New Roman" w:hAnsi="Arial" w:cs="Arial"/>
                <w:color w:val="000000"/>
                <w:sz w:val="20"/>
                <w:szCs w:val="20"/>
                <w:lang w:eastAsia="cs-CZ"/>
              </w:rPr>
            </w:pPr>
          </w:p>
        </w:tc>
        <w:tc>
          <w:tcPr>
            <w:tcW w:w="1001" w:type="pct"/>
            <w:gridSpan w:val="2"/>
            <w:tcBorders>
              <w:top w:val="nil"/>
              <w:left w:val="nil"/>
              <w:bottom w:val="nil"/>
              <w:right w:val="nil"/>
            </w:tcBorders>
            <w:shd w:val="clear" w:color="auto" w:fill="auto"/>
            <w:noWrap/>
            <w:vAlign w:val="bottom"/>
            <w:hideMark/>
          </w:tcPr>
          <w:p w14:paraId="1305D6D7" w14:textId="77777777" w:rsidR="006D6037" w:rsidRDefault="006D6037" w:rsidP="003E158D">
            <w:pPr>
              <w:spacing w:after="0" w:line="240" w:lineRule="auto"/>
              <w:rPr>
                <w:rFonts w:ascii="Arial" w:eastAsia="Times New Roman" w:hAnsi="Arial" w:cs="Arial"/>
                <w:color w:val="000000"/>
                <w:sz w:val="20"/>
                <w:szCs w:val="20"/>
                <w:lang w:eastAsia="cs-CZ"/>
              </w:rPr>
            </w:pPr>
          </w:p>
        </w:tc>
      </w:tr>
      <w:tr w:rsidR="00001725" w:rsidRPr="0061395A" w14:paraId="49D79D26" w14:textId="77777777" w:rsidTr="003E158D">
        <w:trPr>
          <w:trHeight w:val="300"/>
        </w:trPr>
        <w:tc>
          <w:tcPr>
            <w:tcW w:w="5000" w:type="pct"/>
            <w:gridSpan w:val="5"/>
            <w:tcBorders>
              <w:top w:val="nil"/>
              <w:left w:val="nil"/>
              <w:bottom w:val="nil"/>
              <w:right w:val="nil"/>
            </w:tcBorders>
            <w:shd w:val="clear" w:color="auto" w:fill="auto"/>
            <w:vAlign w:val="bottom"/>
            <w:hideMark/>
          </w:tcPr>
          <w:p w14:paraId="7C367515" w14:textId="77777777" w:rsidR="003E158D" w:rsidRPr="0061395A" w:rsidRDefault="003E158D" w:rsidP="003E158D">
            <w:pPr>
              <w:keepNext/>
              <w:spacing w:after="0" w:line="240" w:lineRule="auto"/>
              <w:rPr>
                <w:rFonts w:ascii="Arial" w:eastAsia="Times New Roman" w:hAnsi="Arial" w:cs="Arial"/>
                <w:b/>
                <w:bCs/>
                <w:color w:val="000000"/>
                <w:lang w:eastAsia="cs-CZ"/>
              </w:rPr>
            </w:pPr>
          </w:p>
          <w:p w14:paraId="4FD994AE" w14:textId="6929B698" w:rsidR="0005569A" w:rsidRPr="0061395A" w:rsidRDefault="0005569A" w:rsidP="003E158D">
            <w:pPr>
              <w:keepNext/>
              <w:spacing w:after="0" w:line="240" w:lineRule="auto"/>
              <w:rPr>
                <w:rFonts w:ascii="Arial" w:eastAsia="Times New Roman" w:hAnsi="Arial" w:cs="Arial"/>
                <w:b/>
                <w:bCs/>
                <w:color w:val="000000"/>
                <w:lang w:eastAsia="cs-CZ"/>
              </w:rPr>
            </w:pPr>
            <w:r w:rsidRPr="0061395A">
              <w:rPr>
                <w:rFonts w:ascii="Arial" w:eastAsia="Times New Roman" w:hAnsi="Arial" w:cs="Arial"/>
                <w:b/>
                <w:bCs/>
                <w:color w:val="000000"/>
                <w:lang w:eastAsia="cs-CZ"/>
              </w:rPr>
              <w:lastRenderedPageBreak/>
              <w:t>6.</w:t>
            </w:r>
          </w:p>
          <w:p w14:paraId="7AED4CC1" w14:textId="542CA598" w:rsidR="00001725" w:rsidRPr="0061395A" w:rsidRDefault="00001725" w:rsidP="003E158D">
            <w:pPr>
              <w:keepNext/>
              <w:spacing w:after="0" w:line="240" w:lineRule="auto"/>
              <w:rPr>
                <w:rFonts w:ascii="Arial" w:eastAsia="Times New Roman" w:hAnsi="Arial" w:cs="Arial"/>
                <w:i/>
                <w:iCs/>
                <w:color w:val="000000"/>
                <w:lang w:eastAsia="cs-CZ"/>
              </w:rPr>
            </w:pPr>
            <w:r w:rsidRPr="0061395A">
              <w:rPr>
                <w:rFonts w:ascii="Arial" w:eastAsia="Times New Roman" w:hAnsi="Arial" w:cs="Arial"/>
                <w:b/>
                <w:bCs/>
                <w:color w:val="000000"/>
                <w:lang w:eastAsia="cs-CZ"/>
              </w:rPr>
              <w:t>Pochybení u povinných nástrojů publicity (MP pro publicitu)</w:t>
            </w:r>
          </w:p>
          <w:p w14:paraId="2619E0F3" w14:textId="7CA66F10" w:rsidR="00001725" w:rsidRPr="0061395A" w:rsidRDefault="00001725" w:rsidP="003E158D">
            <w:pPr>
              <w:spacing w:after="0" w:line="240" w:lineRule="auto"/>
              <w:rPr>
                <w:rFonts w:ascii="Arial" w:eastAsia="Times New Roman" w:hAnsi="Arial" w:cs="Arial"/>
                <w:color w:val="000000"/>
                <w:sz w:val="20"/>
                <w:szCs w:val="20"/>
                <w:lang w:eastAsia="cs-CZ"/>
              </w:rPr>
            </w:pPr>
            <w:r w:rsidRPr="0061395A">
              <w:rPr>
                <w:rFonts w:ascii="Arial" w:eastAsia="Times New Roman" w:hAnsi="Arial" w:cs="Arial"/>
                <w:i/>
                <w:iCs/>
                <w:color w:val="000000"/>
                <w:lang w:eastAsia="cs-CZ"/>
              </w:rPr>
              <w:t>Maximální výše všech sankcí týkajících se pochybení v oblasti publicity na jeden projekt je 1 mil. Kč, které nemají přímý vliv na cíle projektu</w:t>
            </w:r>
          </w:p>
        </w:tc>
      </w:tr>
      <w:tr w:rsidR="00BB149F" w:rsidRPr="0061395A" w14:paraId="477B8BC7" w14:textId="77777777" w:rsidTr="003E158D">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73C57E59" w14:textId="77777777" w:rsidR="00001725" w:rsidRPr="0061395A" w:rsidRDefault="00001725" w:rsidP="003E158D">
            <w:pPr>
              <w:spacing w:after="0" w:line="240" w:lineRule="auto"/>
              <w:rPr>
                <w:rFonts w:ascii="Arial" w:eastAsia="Times New Roman" w:hAnsi="Arial" w:cs="Arial"/>
                <w:color w:val="000000"/>
                <w:sz w:val="18"/>
                <w:szCs w:val="18"/>
                <w:lang w:eastAsia="cs-CZ"/>
              </w:rPr>
            </w:pPr>
            <w:r w:rsidRPr="0061395A">
              <w:rPr>
                <w:rFonts w:ascii="Arial" w:eastAsia="Times New Roman" w:hAnsi="Arial" w:cs="Arial"/>
                <w:color w:val="000000"/>
                <w:sz w:val="18"/>
                <w:szCs w:val="18"/>
                <w:lang w:eastAsia="cs-CZ"/>
              </w:rPr>
              <w:lastRenderedPageBreak/>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7A8D0AB3" w14:textId="77777777" w:rsidR="00001725" w:rsidRPr="0061395A" w:rsidRDefault="00001725" w:rsidP="003E158D">
            <w:pPr>
              <w:spacing w:after="0" w:line="240" w:lineRule="auto"/>
              <w:rPr>
                <w:rFonts w:ascii="Arial" w:eastAsia="Times New Roman" w:hAnsi="Arial" w:cs="Arial"/>
                <w:b/>
                <w:bCs/>
                <w:color w:val="000000"/>
                <w:sz w:val="18"/>
                <w:szCs w:val="18"/>
                <w:lang w:eastAsia="cs-CZ"/>
              </w:rPr>
            </w:pPr>
            <w:r w:rsidRPr="0061395A">
              <w:rPr>
                <w:rFonts w:ascii="Arial" w:eastAsia="Times New Roman" w:hAnsi="Arial" w:cs="Arial"/>
                <w:b/>
                <w:bCs/>
                <w:color w:val="000000"/>
                <w:sz w:val="18"/>
                <w:szCs w:val="18"/>
                <w:lang w:eastAsia="cs-CZ"/>
              </w:rPr>
              <w:t>Typ pochybení</w:t>
            </w:r>
          </w:p>
        </w:tc>
        <w:tc>
          <w:tcPr>
            <w:tcW w:w="1721" w:type="pct"/>
            <w:tcBorders>
              <w:top w:val="single" w:sz="8" w:space="0" w:color="auto"/>
              <w:left w:val="nil"/>
              <w:bottom w:val="single" w:sz="8" w:space="0" w:color="auto"/>
              <w:right w:val="single" w:sz="8" w:space="0" w:color="auto"/>
            </w:tcBorders>
            <w:shd w:val="clear" w:color="auto" w:fill="auto"/>
            <w:noWrap/>
            <w:hideMark/>
          </w:tcPr>
          <w:p w14:paraId="0FE0644D" w14:textId="77777777" w:rsidR="00001725" w:rsidRPr="0061395A" w:rsidRDefault="00001725" w:rsidP="003E158D">
            <w:pPr>
              <w:spacing w:after="0" w:line="240" w:lineRule="auto"/>
              <w:rPr>
                <w:rFonts w:ascii="Arial" w:eastAsia="Times New Roman" w:hAnsi="Arial" w:cs="Arial"/>
                <w:b/>
                <w:bCs/>
                <w:color w:val="000000"/>
                <w:sz w:val="18"/>
                <w:szCs w:val="18"/>
                <w:lang w:eastAsia="cs-CZ"/>
              </w:rPr>
            </w:pPr>
            <w:r w:rsidRPr="0061395A">
              <w:rPr>
                <w:rFonts w:ascii="Arial" w:eastAsia="Times New Roman" w:hAnsi="Arial" w:cs="Arial"/>
                <w:b/>
                <w:bCs/>
                <w:color w:val="000000"/>
                <w:sz w:val="18"/>
                <w:szCs w:val="18"/>
                <w:lang w:eastAsia="cs-CZ"/>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2E748769" w14:textId="77777777" w:rsidR="00001725" w:rsidRPr="0061395A" w:rsidRDefault="00001725" w:rsidP="003E158D">
            <w:pPr>
              <w:spacing w:after="0" w:line="240" w:lineRule="auto"/>
              <w:jc w:val="center"/>
              <w:rPr>
                <w:rFonts w:ascii="Arial" w:eastAsia="Times New Roman" w:hAnsi="Arial" w:cs="Arial"/>
                <w:b/>
                <w:bCs/>
                <w:color w:val="000000"/>
                <w:sz w:val="18"/>
                <w:szCs w:val="18"/>
                <w:lang w:eastAsia="cs-CZ"/>
              </w:rPr>
            </w:pPr>
            <w:r w:rsidRPr="0061395A">
              <w:rPr>
                <w:rFonts w:ascii="Arial" w:eastAsia="Times New Roman" w:hAnsi="Arial" w:cs="Arial"/>
                <w:b/>
                <w:bCs/>
                <w:color w:val="000000"/>
                <w:sz w:val="18"/>
                <w:szCs w:val="18"/>
                <w:lang w:eastAsia="cs-CZ"/>
              </w:rPr>
              <w:t>Nižší odvod</w:t>
            </w:r>
          </w:p>
        </w:tc>
      </w:tr>
      <w:tr w:rsidR="00BB149F" w:rsidRPr="0061395A" w14:paraId="334517C8" w14:textId="77777777" w:rsidTr="003E158D">
        <w:trPr>
          <w:trHeight w:val="270"/>
        </w:trPr>
        <w:tc>
          <w:tcPr>
            <w:tcW w:w="272" w:type="pct"/>
            <w:tcBorders>
              <w:top w:val="single" w:sz="8" w:space="0" w:color="auto"/>
              <w:left w:val="single" w:sz="8" w:space="0" w:color="auto"/>
              <w:bottom w:val="nil"/>
              <w:right w:val="single" w:sz="8" w:space="0" w:color="auto"/>
            </w:tcBorders>
            <w:shd w:val="clear" w:color="auto" w:fill="auto"/>
          </w:tcPr>
          <w:p w14:paraId="69AE39D1" w14:textId="77777777" w:rsidR="00001725" w:rsidRPr="0061395A" w:rsidRDefault="00001725" w:rsidP="003E158D">
            <w:pPr>
              <w:spacing w:after="0" w:line="240" w:lineRule="auto"/>
              <w:rPr>
                <w:rFonts w:ascii="Arial" w:eastAsia="Times New Roman" w:hAnsi="Arial" w:cs="Arial"/>
                <w:color w:val="000000"/>
                <w:sz w:val="18"/>
                <w:szCs w:val="18"/>
                <w:lang w:eastAsia="cs-CZ"/>
              </w:rPr>
            </w:pPr>
            <w:r w:rsidRPr="0061395A">
              <w:rPr>
                <w:rFonts w:ascii="Arial" w:eastAsia="Times New Roman" w:hAnsi="Arial" w:cs="Arial"/>
                <w:color w:val="000000"/>
                <w:sz w:val="18"/>
                <w:szCs w:val="18"/>
                <w:lang w:eastAsia="cs-CZ"/>
              </w:rPr>
              <w:t>6.1</w:t>
            </w:r>
          </w:p>
        </w:tc>
        <w:tc>
          <w:tcPr>
            <w:tcW w:w="2005" w:type="pct"/>
            <w:tcBorders>
              <w:top w:val="single" w:sz="8" w:space="0" w:color="auto"/>
              <w:left w:val="nil"/>
              <w:bottom w:val="single" w:sz="8" w:space="0" w:color="auto"/>
              <w:right w:val="single" w:sz="8" w:space="0" w:color="auto"/>
            </w:tcBorders>
            <w:shd w:val="clear" w:color="auto" w:fill="auto"/>
            <w:noWrap/>
          </w:tcPr>
          <w:p w14:paraId="5BECEFAD" w14:textId="77777777" w:rsidR="00001725" w:rsidRPr="0061395A" w:rsidRDefault="00001725" w:rsidP="003E158D">
            <w:pPr>
              <w:spacing w:after="0" w:line="240" w:lineRule="auto"/>
              <w:rPr>
                <w:rFonts w:ascii="Arial" w:eastAsia="Times New Roman" w:hAnsi="Arial" w:cs="Arial"/>
                <w:bCs/>
                <w:color w:val="000000"/>
                <w:sz w:val="18"/>
                <w:szCs w:val="18"/>
                <w:lang w:eastAsia="cs-CZ"/>
              </w:rPr>
            </w:pPr>
            <w:r w:rsidRPr="0061395A">
              <w:rPr>
                <w:rFonts w:ascii="Arial" w:eastAsia="Times New Roman" w:hAnsi="Arial" w:cs="Arial"/>
                <w:bCs/>
                <w:color w:val="000000"/>
                <w:sz w:val="18"/>
                <w:szCs w:val="18"/>
                <w:lang w:eastAsia="cs-CZ"/>
              </w:rPr>
              <w:t>Nástroj publicity vykazuje nedostatky podle bodů 6.2 – 6.4, ale příjemce dotace je na základě první výzvy k nápravě ze strany řídícího orgánu před ukončením kontroly odstranil.</w:t>
            </w:r>
          </w:p>
        </w:tc>
        <w:tc>
          <w:tcPr>
            <w:tcW w:w="1721" w:type="pct"/>
            <w:tcBorders>
              <w:top w:val="single" w:sz="8" w:space="0" w:color="auto"/>
              <w:left w:val="nil"/>
              <w:bottom w:val="single" w:sz="8" w:space="0" w:color="auto"/>
              <w:right w:val="single" w:sz="8" w:space="0" w:color="auto"/>
            </w:tcBorders>
            <w:shd w:val="clear" w:color="auto" w:fill="auto"/>
            <w:noWrap/>
          </w:tcPr>
          <w:p w14:paraId="2BB39724" w14:textId="77777777" w:rsidR="00001725" w:rsidRPr="0061395A" w:rsidRDefault="00001725" w:rsidP="003E158D">
            <w:pPr>
              <w:spacing w:after="0" w:line="240" w:lineRule="auto"/>
              <w:rPr>
                <w:rFonts w:ascii="Arial" w:eastAsia="Times New Roman" w:hAnsi="Arial" w:cs="Arial"/>
                <w:bCs/>
                <w:color w:val="000000"/>
                <w:sz w:val="18"/>
                <w:szCs w:val="18"/>
                <w:lang w:eastAsia="cs-CZ"/>
              </w:rPr>
            </w:pPr>
            <w:r w:rsidRPr="0061395A">
              <w:rPr>
                <w:rFonts w:ascii="Arial" w:eastAsia="Times New Roman" w:hAnsi="Arial" w:cs="Arial"/>
                <w:bCs/>
                <w:color w:val="000000"/>
                <w:sz w:val="18"/>
                <w:szCs w:val="18"/>
                <w:lang w:eastAsia="cs-CZ"/>
              </w:rPr>
              <w:t xml:space="preserve"> Pochybení se s ohledem na přijatá nápravná opatření nepovažuje za porušení povinností stanovených smlouvou.</w:t>
            </w:r>
          </w:p>
        </w:tc>
        <w:tc>
          <w:tcPr>
            <w:tcW w:w="1001" w:type="pct"/>
            <w:gridSpan w:val="2"/>
            <w:tcBorders>
              <w:top w:val="single" w:sz="8" w:space="0" w:color="auto"/>
              <w:left w:val="nil"/>
              <w:bottom w:val="single" w:sz="8" w:space="0" w:color="auto"/>
              <w:right w:val="single" w:sz="8" w:space="0" w:color="auto"/>
            </w:tcBorders>
            <w:shd w:val="clear" w:color="auto" w:fill="auto"/>
            <w:noWrap/>
          </w:tcPr>
          <w:p w14:paraId="23BA0B02" w14:textId="1AD5081B" w:rsidR="00001725" w:rsidRPr="0061395A" w:rsidRDefault="00001725" w:rsidP="003E158D">
            <w:pPr>
              <w:spacing w:after="0" w:line="240" w:lineRule="auto"/>
              <w:jc w:val="center"/>
              <w:rPr>
                <w:rFonts w:ascii="Arial" w:eastAsia="Times New Roman" w:hAnsi="Arial" w:cs="Arial"/>
                <w:b/>
                <w:bCs/>
                <w:color w:val="000000"/>
                <w:sz w:val="18"/>
                <w:szCs w:val="18"/>
                <w:lang w:eastAsia="cs-CZ"/>
              </w:rPr>
            </w:pPr>
            <w:r w:rsidRPr="0061395A">
              <w:rPr>
                <w:rFonts w:ascii="Arial" w:eastAsia="Times New Roman" w:hAnsi="Arial" w:cs="Arial"/>
                <w:b/>
                <w:bCs/>
                <w:color w:val="000000"/>
                <w:sz w:val="18"/>
                <w:szCs w:val="18"/>
                <w:lang w:eastAsia="cs-CZ"/>
              </w:rPr>
              <w:t>-</w:t>
            </w:r>
          </w:p>
        </w:tc>
      </w:tr>
      <w:tr w:rsidR="00BB149F" w:rsidRPr="0061395A" w14:paraId="5A4A8B59"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7CAE1524"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6.2</w:t>
            </w:r>
          </w:p>
        </w:tc>
        <w:tc>
          <w:tcPr>
            <w:tcW w:w="2005" w:type="pct"/>
            <w:tcBorders>
              <w:top w:val="nil"/>
              <w:left w:val="nil"/>
              <w:bottom w:val="single" w:sz="8" w:space="0" w:color="auto"/>
              <w:right w:val="single" w:sz="8" w:space="0" w:color="auto"/>
            </w:tcBorders>
            <w:shd w:val="clear" w:color="auto" w:fill="auto"/>
            <w:noWrap/>
            <w:hideMark/>
          </w:tcPr>
          <w:p w14:paraId="3D6DFCD7"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Nástroj publicity chybí zcela (s výjimkou 6.1)</w:t>
            </w:r>
          </w:p>
        </w:tc>
        <w:tc>
          <w:tcPr>
            <w:tcW w:w="1721" w:type="pct"/>
            <w:vMerge w:val="restart"/>
            <w:tcBorders>
              <w:top w:val="nil"/>
              <w:left w:val="single" w:sz="8" w:space="0" w:color="auto"/>
              <w:bottom w:val="single" w:sz="8" w:space="0" w:color="000000"/>
              <w:right w:val="single" w:sz="8" w:space="0" w:color="auto"/>
            </w:tcBorders>
            <w:shd w:val="clear" w:color="auto" w:fill="auto"/>
            <w:hideMark/>
          </w:tcPr>
          <w:p w14:paraId="3F899A33"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 xml:space="preserve">Odvod ve výši vyplacené finanční podpory. </w:t>
            </w:r>
          </w:p>
        </w:tc>
        <w:tc>
          <w:tcPr>
            <w:tcW w:w="1001" w:type="pct"/>
            <w:gridSpan w:val="2"/>
            <w:tcBorders>
              <w:top w:val="nil"/>
              <w:left w:val="nil"/>
              <w:bottom w:val="single" w:sz="8" w:space="0" w:color="auto"/>
              <w:right w:val="single" w:sz="8" w:space="0" w:color="auto"/>
            </w:tcBorders>
            <w:shd w:val="clear" w:color="auto" w:fill="auto"/>
            <w:noWrap/>
            <w:hideMark/>
          </w:tcPr>
          <w:p w14:paraId="1CED650E" w14:textId="79A4B751" w:rsidR="00001725" w:rsidRPr="0061395A" w:rsidRDefault="00001725" w:rsidP="003E158D">
            <w:pPr>
              <w:spacing w:after="0" w:line="240" w:lineRule="auto"/>
              <w:jc w:val="center"/>
              <w:rPr>
                <w:rFonts w:ascii="Arial" w:eastAsia="Times New Roman" w:hAnsi="Arial" w:cs="Arial"/>
                <w:sz w:val="18"/>
                <w:szCs w:val="18"/>
                <w:lang w:eastAsia="cs-CZ"/>
              </w:rPr>
            </w:pPr>
            <w:r w:rsidRPr="0061395A">
              <w:rPr>
                <w:rFonts w:ascii="Arial" w:eastAsia="Times New Roman" w:hAnsi="Arial" w:cs="Arial"/>
                <w:sz w:val="18"/>
                <w:szCs w:val="18"/>
                <w:lang w:eastAsia="cs-CZ"/>
              </w:rPr>
              <w:t>1,2%</w:t>
            </w:r>
          </w:p>
        </w:tc>
      </w:tr>
      <w:tr w:rsidR="00BB149F" w:rsidRPr="0061395A" w14:paraId="083153DE" w14:textId="77777777" w:rsidTr="003E158D">
        <w:trPr>
          <w:trHeight w:val="1035"/>
        </w:trPr>
        <w:tc>
          <w:tcPr>
            <w:tcW w:w="272" w:type="pct"/>
            <w:tcBorders>
              <w:top w:val="nil"/>
              <w:left w:val="single" w:sz="8" w:space="0" w:color="auto"/>
              <w:bottom w:val="single" w:sz="8" w:space="0" w:color="auto"/>
              <w:right w:val="single" w:sz="8" w:space="0" w:color="auto"/>
            </w:tcBorders>
            <w:shd w:val="clear" w:color="auto" w:fill="auto"/>
            <w:hideMark/>
          </w:tcPr>
          <w:p w14:paraId="78D0B72F"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6.3</w:t>
            </w:r>
          </w:p>
        </w:tc>
        <w:tc>
          <w:tcPr>
            <w:tcW w:w="2005" w:type="pct"/>
            <w:tcBorders>
              <w:top w:val="nil"/>
              <w:left w:val="nil"/>
              <w:bottom w:val="single" w:sz="8" w:space="0" w:color="auto"/>
              <w:right w:val="single" w:sz="8" w:space="0" w:color="auto"/>
            </w:tcBorders>
            <w:shd w:val="clear" w:color="auto" w:fill="auto"/>
            <w:hideMark/>
          </w:tcPr>
          <w:p w14:paraId="7A108ED1"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Na nástroji publicity chybělo nebo bylo chybně některý z povinných parametrů/prvků (s výjimkou bodu 6.1):</w:t>
            </w:r>
            <w:r w:rsidRPr="0061395A">
              <w:rPr>
                <w:rFonts w:ascii="Arial" w:eastAsia="Times New Roman" w:hAnsi="Arial" w:cs="Arial"/>
                <w:sz w:val="18"/>
                <w:szCs w:val="18"/>
                <w:lang w:eastAsia="cs-CZ"/>
              </w:rPr>
              <w:br/>
              <w:t>- Logo EU (znak EU včetně všech povinných odkazů / textů)</w:t>
            </w:r>
            <w:r w:rsidRPr="0061395A">
              <w:rPr>
                <w:rFonts w:ascii="Arial" w:eastAsia="Times New Roman" w:hAnsi="Arial" w:cs="Arial"/>
                <w:sz w:val="18"/>
                <w:szCs w:val="18"/>
                <w:lang w:eastAsia="cs-CZ"/>
              </w:rPr>
              <w:br/>
              <w:t>- Název, hlavní cíl operace a výše finanční podpory z EU</w:t>
            </w:r>
            <w:r w:rsidRPr="0061395A">
              <w:rPr>
                <w:rFonts w:ascii="Arial" w:eastAsia="Times New Roman" w:hAnsi="Arial" w:cs="Arial"/>
                <w:sz w:val="18"/>
                <w:szCs w:val="18"/>
                <w:lang w:eastAsia="cs-CZ"/>
              </w:rPr>
              <w:br/>
              <w:t>- Předepsaný rozměr nástroje publicity</w:t>
            </w:r>
          </w:p>
        </w:tc>
        <w:tc>
          <w:tcPr>
            <w:tcW w:w="1721" w:type="pct"/>
            <w:vMerge/>
            <w:tcBorders>
              <w:top w:val="nil"/>
              <w:left w:val="single" w:sz="8" w:space="0" w:color="auto"/>
              <w:bottom w:val="single" w:sz="8" w:space="0" w:color="000000"/>
              <w:right w:val="single" w:sz="8" w:space="0" w:color="auto"/>
            </w:tcBorders>
            <w:hideMark/>
          </w:tcPr>
          <w:p w14:paraId="6843D4CB" w14:textId="77777777" w:rsidR="00001725" w:rsidRPr="0061395A" w:rsidRDefault="00001725" w:rsidP="003E158D">
            <w:pPr>
              <w:spacing w:after="0" w:line="240" w:lineRule="auto"/>
              <w:rPr>
                <w:rFonts w:ascii="Arial" w:eastAsia="Times New Roman" w:hAnsi="Arial" w:cs="Arial"/>
                <w:sz w:val="18"/>
                <w:szCs w:val="18"/>
                <w:lang w:eastAsia="cs-CZ"/>
              </w:rPr>
            </w:pPr>
          </w:p>
        </w:tc>
        <w:tc>
          <w:tcPr>
            <w:tcW w:w="1001" w:type="pct"/>
            <w:gridSpan w:val="2"/>
            <w:tcBorders>
              <w:top w:val="nil"/>
              <w:left w:val="nil"/>
              <w:bottom w:val="single" w:sz="8" w:space="0" w:color="auto"/>
              <w:right w:val="single" w:sz="8" w:space="0" w:color="auto"/>
            </w:tcBorders>
            <w:shd w:val="clear" w:color="auto" w:fill="auto"/>
            <w:noWrap/>
            <w:hideMark/>
          </w:tcPr>
          <w:p w14:paraId="0D476D1B" w14:textId="77777777" w:rsidR="00001725" w:rsidRPr="0061395A" w:rsidRDefault="00001725" w:rsidP="003E158D">
            <w:pPr>
              <w:spacing w:after="0" w:line="240" w:lineRule="auto"/>
              <w:jc w:val="center"/>
              <w:rPr>
                <w:rFonts w:ascii="Arial" w:eastAsia="Times New Roman" w:hAnsi="Arial" w:cs="Arial"/>
                <w:sz w:val="18"/>
                <w:szCs w:val="18"/>
                <w:lang w:eastAsia="cs-CZ"/>
              </w:rPr>
            </w:pPr>
            <w:r w:rsidRPr="0061395A">
              <w:rPr>
                <w:rFonts w:ascii="Arial" w:eastAsia="Times New Roman" w:hAnsi="Arial" w:cs="Arial"/>
                <w:sz w:val="18"/>
                <w:szCs w:val="18"/>
                <w:lang w:eastAsia="cs-CZ"/>
              </w:rPr>
              <w:t>0,8%</w:t>
            </w:r>
          </w:p>
        </w:tc>
      </w:tr>
      <w:tr w:rsidR="00BB149F" w:rsidRPr="0061395A" w14:paraId="0AECE11C" w14:textId="77777777" w:rsidTr="003E158D">
        <w:trPr>
          <w:trHeight w:val="270"/>
        </w:trPr>
        <w:tc>
          <w:tcPr>
            <w:tcW w:w="272" w:type="pct"/>
            <w:tcBorders>
              <w:top w:val="nil"/>
              <w:left w:val="single" w:sz="8" w:space="0" w:color="auto"/>
              <w:bottom w:val="single" w:sz="8" w:space="0" w:color="auto"/>
              <w:right w:val="single" w:sz="8" w:space="0" w:color="auto"/>
            </w:tcBorders>
            <w:shd w:val="clear" w:color="auto" w:fill="auto"/>
            <w:hideMark/>
          </w:tcPr>
          <w:p w14:paraId="676B21D2"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6.4</w:t>
            </w:r>
          </w:p>
        </w:tc>
        <w:tc>
          <w:tcPr>
            <w:tcW w:w="2005" w:type="pct"/>
            <w:tcBorders>
              <w:top w:val="nil"/>
              <w:left w:val="nil"/>
              <w:bottom w:val="single" w:sz="8" w:space="0" w:color="auto"/>
              <w:right w:val="single" w:sz="8" w:space="0" w:color="auto"/>
            </w:tcBorders>
            <w:shd w:val="clear" w:color="auto" w:fill="auto"/>
            <w:noWrap/>
            <w:hideMark/>
          </w:tcPr>
          <w:p w14:paraId="13FD5BA5"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Na nástroji publicity bylo uvedeno nadbytečné logo (s výjimkou 6.1)</w:t>
            </w:r>
          </w:p>
        </w:tc>
        <w:tc>
          <w:tcPr>
            <w:tcW w:w="1721" w:type="pct"/>
            <w:vMerge/>
            <w:tcBorders>
              <w:top w:val="nil"/>
              <w:left w:val="single" w:sz="8" w:space="0" w:color="auto"/>
              <w:bottom w:val="single" w:sz="8" w:space="0" w:color="000000"/>
              <w:right w:val="single" w:sz="8" w:space="0" w:color="auto"/>
            </w:tcBorders>
            <w:hideMark/>
          </w:tcPr>
          <w:p w14:paraId="79B1810F" w14:textId="77777777" w:rsidR="00001725" w:rsidRPr="0061395A" w:rsidRDefault="00001725" w:rsidP="003E158D">
            <w:pPr>
              <w:spacing w:after="0" w:line="240" w:lineRule="auto"/>
              <w:rPr>
                <w:rFonts w:ascii="Arial" w:eastAsia="Times New Roman" w:hAnsi="Arial" w:cs="Arial"/>
                <w:sz w:val="18"/>
                <w:szCs w:val="18"/>
                <w:lang w:eastAsia="cs-CZ"/>
              </w:rPr>
            </w:pPr>
          </w:p>
        </w:tc>
        <w:tc>
          <w:tcPr>
            <w:tcW w:w="1001" w:type="pct"/>
            <w:gridSpan w:val="2"/>
            <w:tcBorders>
              <w:top w:val="nil"/>
              <w:left w:val="nil"/>
              <w:bottom w:val="single" w:sz="8" w:space="0" w:color="auto"/>
              <w:right w:val="single" w:sz="8" w:space="0" w:color="auto"/>
            </w:tcBorders>
            <w:shd w:val="clear" w:color="auto" w:fill="auto"/>
            <w:noWrap/>
            <w:hideMark/>
          </w:tcPr>
          <w:p w14:paraId="29B11E87" w14:textId="77777777" w:rsidR="00001725" w:rsidRPr="0061395A" w:rsidRDefault="00001725" w:rsidP="003E158D">
            <w:pPr>
              <w:spacing w:after="0" w:line="240" w:lineRule="auto"/>
              <w:jc w:val="center"/>
              <w:rPr>
                <w:rFonts w:ascii="Arial" w:eastAsia="Times New Roman" w:hAnsi="Arial" w:cs="Arial"/>
                <w:sz w:val="18"/>
                <w:szCs w:val="18"/>
                <w:lang w:eastAsia="cs-CZ"/>
              </w:rPr>
            </w:pPr>
            <w:r w:rsidRPr="0061395A">
              <w:rPr>
                <w:rFonts w:ascii="Arial" w:eastAsia="Times New Roman" w:hAnsi="Arial" w:cs="Arial"/>
                <w:sz w:val="18"/>
                <w:szCs w:val="18"/>
                <w:lang w:eastAsia="cs-CZ"/>
              </w:rPr>
              <w:t>0,1%</w:t>
            </w:r>
          </w:p>
        </w:tc>
      </w:tr>
      <w:tr w:rsidR="00BB149F" w:rsidRPr="0061395A" w14:paraId="2130486B" w14:textId="77777777" w:rsidTr="003E158D">
        <w:trPr>
          <w:trHeight w:val="270"/>
        </w:trPr>
        <w:tc>
          <w:tcPr>
            <w:tcW w:w="272" w:type="pct"/>
            <w:tcBorders>
              <w:top w:val="nil"/>
              <w:left w:val="single" w:sz="8" w:space="0" w:color="auto"/>
              <w:bottom w:val="single" w:sz="8" w:space="0" w:color="auto"/>
              <w:right w:val="single" w:sz="8" w:space="0" w:color="auto"/>
            </w:tcBorders>
            <w:shd w:val="clear" w:color="auto" w:fill="auto"/>
          </w:tcPr>
          <w:p w14:paraId="3C84AE43"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6.5</w:t>
            </w:r>
          </w:p>
        </w:tc>
        <w:tc>
          <w:tcPr>
            <w:tcW w:w="2005" w:type="pct"/>
            <w:tcBorders>
              <w:top w:val="nil"/>
              <w:left w:val="nil"/>
              <w:bottom w:val="single" w:sz="8" w:space="0" w:color="auto"/>
              <w:right w:val="single" w:sz="8" w:space="0" w:color="auto"/>
            </w:tcBorders>
            <w:shd w:val="clear" w:color="auto" w:fill="auto"/>
            <w:noWrap/>
          </w:tcPr>
          <w:p w14:paraId="491E17EE"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Nerespektování výzvy kontrolního orgánu k odstranění pochybení podle bodu 6.2 až 6.4 ve stanoveném termínu</w:t>
            </w:r>
          </w:p>
        </w:tc>
        <w:tc>
          <w:tcPr>
            <w:tcW w:w="1721" w:type="pct"/>
            <w:tcBorders>
              <w:top w:val="nil"/>
              <w:left w:val="single" w:sz="8" w:space="0" w:color="auto"/>
              <w:bottom w:val="single" w:sz="8" w:space="0" w:color="000000"/>
              <w:right w:val="single" w:sz="8" w:space="0" w:color="auto"/>
            </w:tcBorders>
          </w:tcPr>
          <w:p w14:paraId="2288EC44" w14:textId="77777777" w:rsidR="00001725" w:rsidRPr="0061395A" w:rsidRDefault="00001725" w:rsidP="003E158D">
            <w:pPr>
              <w:spacing w:after="0" w:line="240" w:lineRule="auto"/>
              <w:rPr>
                <w:rFonts w:ascii="Arial" w:eastAsia="Times New Roman" w:hAnsi="Arial" w:cs="Arial"/>
                <w:sz w:val="18"/>
                <w:szCs w:val="18"/>
                <w:lang w:eastAsia="cs-CZ"/>
              </w:rPr>
            </w:pPr>
            <w:r w:rsidRPr="0061395A">
              <w:rPr>
                <w:rFonts w:ascii="Arial" w:eastAsia="Times New Roman" w:hAnsi="Arial" w:cs="Arial"/>
                <w:sz w:val="18"/>
                <w:szCs w:val="18"/>
                <w:lang w:eastAsia="cs-CZ"/>
              </w:rPr>
              <w:t xml:space="preserve">Odvod ve výši vyplacené finanční podpory. </w:t>
            </w:r>
          </w:p>
        </w:tc>
        <w:tc>
          <w:tcPr>
            <w:tcW w:w="1001" w:type="pct"/>
            <w:gridSpan w:val="2"/>
            <w:tcBorders>
              <w:top w:val="nil"/>
              <w:left w:val="nil"/>
              <w:bottom w:val="single" w:sz="8" w:space="0" w:color="auto"/>
              <w:right w:val="single" w:sz="8" w:space="0" w:color="auto"/>
            </w:tcBorders>
            <w:shd w:val="clear" w:color="auto" w:fill="auto"/>
            <w:noWrap/>
          </w:tcPr>
          <w:p w14:paraId="79DCA845" w14:textId="77777777" w:rsidR="00001725" w:rsidRPr="0061395A" w:rsidRDefault="00001725" w:rsidP="003E158D">
            <w:pPr>
              <w:spacing w:after="0" w:line="240" w:lineRule="auto"/>
              <w:jc w:val="center"/>
              <w:rPr>
                <w:rFonts w:ascii="Arial" w:eastAsia="Times New Roman" w:hAnsi="Arial" w:cs="Arial"/>
                <w:sz w:val="18"/>
                <w:szCs w:val="18"/>
                <w:lang w:eastAsia="cs-CZ"/>
              </w:rPr>
            </w:pPr>
            <w:r w:rsidRPr="0061395A">
              <w:rPr>
                <w:rFonts w:ascii="Arial" w:eastAsia="Times New Roman" w:hAnsi="Arial" w:cs="Arial"/>
                <w:sz w:val="18"/>
                <w:szCs w:val="18"/>
                <w:lang w:eastAsia="cs-CZ"/>
              </w:rPr>
              <w:t>Sazba odpovídající bodu (6.2 až 6.4), ke kterému byla výzva stanovena</w:t>
            </w:r>
          </w:p>
        </w:tc>
      </w:tr>
      <w:tr w:rsidR="00BB149F" w:rsidRPr="0061395A" w14:paraId="2E6CCC29" w14:textId="77777777" w:rsidTr="003E158D">
        <w:trPr>
          <w:trHeight w:val="255"/>
        </w:trPr>
        <w:tc>
          <w:tcPr>
            <w:tcW w:w="272" w:type="pct"/>
            <w:tcBorders>
              <w:top w:val="nil"/>
              <w:left w:val="nil"/>
              <w:bottom w:val="nil"/>
              <w:right w:val="nil"/>
            </w:tcBorders>
            <w:shd w:val="clear" w:color="auto" w:fill="auto"/>
            <w:vAlign w:val="center"/>
            <w:hideMark/>
          </w:tcPr>
          <w:p w14:paraId="5456F355" w14:textId="77777777" w:rsidR="00001725" w:rsidRPr="0061395A" w:rsidRDefault="00001725" w:rsidP="003E158D">
            <w:pPr>
              <w:spacing w:after="0" w:line="240" w:lineRule="auto"/>
              <w:jc w:val="both"/>
              <w:rPr>
                <w:rFonts w:ascii="Arial" w:eastAsia="Times New Roman" w:hAnsi="Arial" w:cs="Arial"/>
                <w:color w:val="000000"/>
                <w:sz w:val="20"/>
                <w:szCs w:val="20"/>
                <w:lang w:eastAsia="cs-CZ"/>
              </w:rPr>
            </w:pPr>
          </w:p>
        </w:tc>
        <w:tc>
          <w:tcPr>
            <w:tcW w:w="2005" w:type="pct"/>
            <w:tcBorders>
              <w:top w:val="nil"/>
              <w:left w:val="nil"/>
              <w:bottom w:val="nil"/>
              <w:right w:val="nil"/>
            </w:tcBorders>
            <w:shd w:val="clear" w:color="auto" w:fill="auto"/>
            <w:noWrap/>
            <w:vAlign w:val="bottom"/>
            <w:hideMark/>
          </w:tcPr>
          <w:p w14:paraId="26C1E224" w14:textId="77777777" w:rsidR="00001725" w:rsidRPr="0061395A" w:rsidRDefault="00001725" w:rsidP="003E158D">
            <w:pPr>
              <w:spacing w:after="0" w:line="240" w:lineRule="auto"/>
              <w:rPr>
                <w:rFonts w:ascii="Arial" w:eastAsia="Times New Roman" w:hAnsi="Arial" w:cs="Arial"/>
                <w:color w:val="000000"/>
                <w:sz w:val="20"/>
                <w:szCs w:val="20"/>
                <w:lang w:eastAsia="cs-CZ"/>
              </w:rPr>
            </w:pPr>
          </w:p>
        </w:tc>
        <w:tc>
          <w:tcPr>
            <w:tcW w:w="1721" w:type="pct"/>
            <w:tcBorders>
              <w:top w:val="nil"/>
              <w:left w:val="nil"/>
              <w:bottom w:val="nil"/>
              <w:right w:val="nil"/>
            </w:tcBorders>
            <w:shd w:val="clear" w:color="auto" w:fill="auto"/>
            <w:noWrap/>
            <w:vAlign w:val="bottom"/>
            <w:hideMark/>
          </w:tcPr>
          <w:p w14:paraId="770D45E2" w14:textId="77777777" w:rsidR="00001725" w:rsidRPr="0061395A" w:rsidRDefault="00001725" w:rsidP="003E158D">
            <w:pPr>
              <w:spacing w:after="0" w:line="240" w:lineRule="auto"/>
              <w:rPr>
                <w:rFonts w:ascii="Arial" w:eastAsia="Times New Roman" w:hAnsi="Arial" w:cs="Arial"/>
                <w:color w:val="000000"/>
                <w:sz w:val="20"/>
                <w:szCs w:val="20"/>
                <w:lang w:eastAsia="cs-CZ"/>
              </w:rPr>
            </w:pPr>
          </w:p>
        </w:tc>
        <w:tc>
          <w:tcPr>
            <w:tcW w:w="1001" w:type="pct"/>
            <w:gridSpan w:val="2"/>
            <w:tcBorders>
              <w:top w:val="nil"/>
              <w:left w:val="nil"/>
              <w:bottom w:val="nil"/>
              <w:right w:val="nil"/>
            </w:tcBorders>
            <w:shd w:val="clear" w:color="auto" w:fill="auto"/>
            <w:noWrap/>
            <w:vAlign w:val="bottom"/>
            <w:hideMark/>
          </w:tcPr>
          <w:p w14:paraId="533EE1E4" w14:textId="77777777" w:rsidR="00001725" w:rsidRPr="0061395A" w:rsidRDefault="00001725" w:rsidP="003E158D">
            <w:pPr>
              <w:spacing w:after="0" w:line="240" w:lineRule="auto"/>
              <w:rPr>
                <w:rFonts w:ascii="Arial" w:eastAsia="Times New Roman" w:hAnsi="Arial" w:cs="Arial"/>
                <w:color w:val="000000"/>
                <w:sz w:val="20"/>
                <w:szCs w:val="20"/>
                <w:lang w:eastAsia="cs-CZ"/>
              </w:rPr>
            </w:pPr>
          </w:p>
        </w:tc>
      </w:tr>
      <w:tr w:rsidR="00001725" w:rsidRPr="0061395A" w14:paraId="7BDFFFF6" w14:textId="77777777" w:rsidTr="003E158D">
        <w:trPr>
          <w:trHeight w:val="315"/>
        </w:trPr>
        <w:tc>
          <w:tcPr>
            <w:tcW w:w="5000" w:type="pct"/>
            <w:gridSpan w:val="5"/>
            <w:tcBorders>
              <w:top w:val="nil"/>
              <w:left w:val="nil"/>
              <w:bottom w:val="nil"/>
              <w:right w:val="nil"/>
            </w:tcBorders>
            <w:shd w:val="clear" w:color="auto" w:fill="auto"/>
            <w:vAlign w:val="center"/>
            <w:hideMark/>
          </w:tcPr>
          <w:p w14:paraId="6A87A85C" w14:textId="77777777" w:rsidR="00001725" w:rsidRPr="0061395A" w:rsidRDefault="00001725" w:rsidP="003E158D">
            <w:pPr>
              <w:spacing w:after="0" w:line="240" w:lineRule="auto"/>
              <w:rPr>
                <w:rFonts w:ascii="Arial" w:eastAsia="Times New Roman" w:hAnsi="Arial" w:cs="Arial"/>
                <w:b/>
                <w:bCs/>
                <w:lang w:eastAsia="cs-CZ"/>
              </w:rPr>
            </w:pPr>
            <w:r w:rsidRPr="0061395A">
              <w:rPr>
                <w:rFonts w:ascii="Arial" w:eastAsia="Times New Roman" w:hAnsi="Arial" w:cs="Arial"/>
                <w:b/>
                <w:bCs/>
                <w:lang w:eastAsia="cs-CZ"/>
              </w:rPr>
              <w:t>Pochybení u nepovinných nástrojů / volitelné publicity</w:t>
            </w:r>
          </w:p>
          <w:p w14:paraId="27477854" w14:textId="7152B8D2" w:rsidR="0005569A" w:rsidRPr="0061395A" w:rsidRDefault="0005569A" w:rsidP="003E158D">
            <w:pPr>
              <w:spacing w:after="0" w:line="240" w:lineRule="auto"/>
              <w:rPr>
                <w:rFonts w:ascii="Arial" w:eastAsia="Times New Roman" w:hAnsi="Arial" w:cs="Arial"/>
                <w:color w:val="000000"/>
                <w:sz w:val="20"/>
                <w:szCs w:val="20"/>
                <w:lang w:eastAsia="cs-CZ"/>
              </w:rPr>
            </w:pPr>
            <w:r w:rsidRPr="0061395A">
              <w:rPr>
                <w:rFonts w:ascii="Arial" w:eastAsia="Times New Roman" w:hAnsi="Arial" w:cs="Arial"/>
                <w:i/>
                <w:iCs/>
                <w:color w:val="000000"/>
                <w:lang w:eastAsia="cs-CZ"/>
              </w:rPr>
              <w:t>Maximální výše všech sankcí týkajících se pochybení v oblasti publicity na jeden projekt je 1 mil. Kč, které nemají přímý vliv na cíle projektu</w:t>
            </w:r>
          </w:p>
        </w:tc>
      </w:tr>
      <w:tr w:rsidR="00BB149F" w14:paraId="349BE036" w14:textId="77777777" w:rsidTr="003E158D">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5B6B6B3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42FCF7B8"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Typ pochybení</w:t>
            </w:r>
          </w:p>
        </w:tc>
        <w:tc>
          <w:tcPr>
            <w:tcW w:w="1721" w:type="pct"/>
            <w:tcBorders>
              <w:top w:val="single" w:sz="8" w:space="0" w:color="auto"/>
              <w:left w:val="nil"/>
              <w:bottom w:val="single" w:sz="8" w:space="0" w:color="auto"/>
              <w:right w:val="single" w:sz="8" w:space="0" w:color="auto"/>
            </w:tcBorders>
            <w:shd w:val="clear" w:color="auto" w:fill="auto"/>
            <w:noWrap/>
            <w:hideMark/>
          </w:tcPr>
          <w:p w14:paraId="7DB82668"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1CA65872" w14:textId="77777777" w:rsidR="00001725" w:rsidRPr="003E158D" w:rsidRDefault="00001725" w:rsidP="003E158D">
            <w:pPr>
              <w:spacing w:after="0" w:line="240" w:lineRule="auto"/>
              <w:jc w:val="center"/>
              <w:rPr>
                <w:rFonts w:ascii="Arial" w:eastAsia="Times New Roman" w:hAnsi="Arial" w:cs="Arial"/>
                <w:b/>
                <w:bCs/>
                <w:color w:val="000000"/>
                <w:sz w:val="18"/>
                <w:szCs w:val="18"/>
                <w:lang w:eastAsia="cs-CZ"/>
              </w:rPr>
            </w:pPr>
            <w:r w:rsidRPr="003E158D">
              <w:rPr>
                <w:rFonts w:ascii="Arial" w:eastAsia="Times New Roman" w:hAnsi="Arial" w:cs="Arial"/>
                <w:b/>
                <w:bCs/>
                <w:color w:val="000000"/>
                <w:sz w:val="18"/>
                <w:szCs w:val="18"/>
                <w:lang w:eastAsia="cs-CZ"/>
              </w:rPr>
              <w:t>Nižší odvod</w:t>
            </w:r>
          </w:p>
        </w:tc>
      </w:tr>
      <w:tr w:rsidR="00BB149F" w14:paraId="292636FA"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tcPr>
          <w:p w14:paraId="5AF54671"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6.6</w:t>
            </w:r>
          </w:p>
        </w:tc>
        <w:tc>
          <w:tcPr>
            <w:tcW w:w="2005" w:type="pct"/>
            <w:tcBorders>
              <w:top w:val="single" w:sz="8" w:space="0" w:color="auto"/>
              <w:left w:val="nil"/>
              <w:bottom w:val="single" w:sz="4" w:space="0" w:color="auto"/>
              <w:right w:val="single" w:sz="8" w:space="0" w:color="auto"/>
            </w:tcBorders>
            <w:shd w:val="clear" w:color="auto" w:fill="auto"/>
            <w:noWrap/>
          </w:tcPr>
          <w:p w14:paraId="0E9C3A31"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bCs/>
                <w:color w:val="000000"/>
                <w:sz w:val="18"/>
                <w:szCs w:val="18"/>
                <w:lang w:eastAsia="cs-CZ"/>
              </w:rPr>
              <w:t>Nástroj publicity vykazuje nedostatky podle bodů 6.7 – 6.8, ale příjemce dotace je na základě první výzvy k nápravě ze strany řídícího orgánu před ukončením kontroly odstranil</w:t>
            </w:r>
          </w:p>
        </w:tc>
        <w:tc>
          <w:tcPr>
            <w:tcW w:w="1721" w:type="pct"/>
            <w:tcBorders>
              <w:top w:val="single" w:sz="8" w:space="0" w:color="auto"/>
              <w:left w:val="single" w:sz="8" w:space="0" w:color="auto"/>
              <w:bottom w:val="single" w:sz="4" w:space="0" w:color="auto"/>
              <w:right w:val="single" w:sz="8" w:space="0" w:color="auto"/>
            </w:tcBorders>
            <w:shd w:val="clear" w:color="auto" w:fill="auto"/>
          </w:tcPr>
          <w:p w14:paraId="1A7114D0"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bCs/>
                <w:color w:val="000000"/>
                <w:sz w:val="18"/>
                <w:szCs w:val="18"/>
                <w:lang w:eastAsia="cs-CZ"/>
              </w:rPr>
              <w:t>Pochybení se s ohledem na přijatá nápravná opatření nepovažuje za porušení povinností stanovených smlouvou.</w:t>
            </w:r>
          </w:p>
        </w:tc>
        <w:tc>
          <w:tcPr>
            <w:tcW w:w="1001" w:type="pct"/>
            <w:gridSpan w:val="2"/>
            <w:tcBorders>
              <w:top w:val="nil"/>
              <w:left w:val="nil"/>
              <w:bottom w:val="single" w:sz="8" w:space="0" w:color="auto"/>
              <w:right w:val="single" w:sz="8" w:space="0" w:color="auto"/>
            </w:tcBorders>
            <w:shd w:val="clear" w:color="auto" w:fill="auto"/>
            <w:noWrap/>
          </w:tcPr>
          <w:p w14:paraId="7F382D13" w14:textId="77777777" w:rsidR="00001725" w:rsidRPr="003E158D" w:rsidRDefault="00001725" w:rsidP="003E158D">
            <w:pPr>
              <w:spacing w:after="0" w:line="240" w:lineRule="auto"/>
              <w:jc w:val="cente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w:t>
            </w:r>
          </w:p>
        </w:tc>
      </w:tr>
      <w:tr w:rsidR="00BB149F" w14:paraId="058FA6ED" w14:textId="77777777" w:rsidTr="003E158D">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3A17DF13"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6.7</w:t>
            </w:r>
          </w:p>
        </w:tc>
        <w:tc>
          <w:tcPr>
            <w:tcW w:w="2005" w:type="pct"/>
            <w:tcBorders>
              <w:top w:val="single" w:sz="4" w:space="0" w:color="auto"/>
              <w:left w:val="nil"/>
              <w:bottom w:val="single" w:sz="8" w:space="0" w:color="auto"/>
              <w:right w:val="single" w:sz="4" w:space="0" w:color="auto"/>
            </w:tcBorders>
            <w:shd w:val="clear" w:color="auto" w:fill="auto"/>
            <w:noWrap/>
            <w:hideMark/>
          </w:tcPr>
          <w:p w14:paraId="40D5B5F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Příjemce dotace realizuje publicitu v rozsahu nad minimální povinný rozsah, přičemž zcela chybí logo EU (znak EU včetně všech povinných odkazů / textů) </w:t>
            </w:r>
          </w:p>
        </w:tc>
        <w:tc>
          <w:tcPr>
            <w:tcW w:w="1721" w:type="pct"/>
            <w:vMerge w:val="restart"/>
            <w:tcBorders>
              <w:top w:val="single" w:sz="4" w:space="0" w:color="auto"/>
              <w:left w:val="single" w:sz="4" w:space="0" w:color="auto"/>
              <w:right w:val="single" w:sz="4" w:space="0" w:color="auto"/>
            </w:tcBorders>
            <w:shd w:val="clear" w:color="auto" w:fill="auto"/>
          </w:tcPr>
          <w:p w14:paraId="61B2AB4E"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Pokud náprava možná není (a příjemce dotace toto písemně zdůvodní ve stanovené lhůtě v souladu s Pravidly pro žadatele a příjemce OPPPR), bude příjemci udělena výtka č. 1 za konkrétní pochybení podle bodů 6.7 nebo 6.8 a sankce se neuděluje. Pokud se stejný nedostatek na nějakém jiném nástroji / nosiči opakuje při další kontrole, je příjemci udělena výtka č. 2 za konkrétní pochybení podle bodů 6.7 nebo 6.8 a sankce se neuděluje. Sankce je udělena v případě, že příjemce při třetí kontrole dostane výtku č. 3, za třetí konkrétní pochybení podle bodů 6.7 nebo 6.8 ve stejném bodě na jakémkoli nepovinném nástroji. Stejná sankce je udělena v případech, kdy se vyskytne čtvrté a další pochybení podle stejného bodu (6.7 nebo 6.8).</w:t>
            </w:r>
          </w:p>
          <w:p w14:paraId="1E62C2BA"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Sankce je odvod ve výš vyplacené finanční podpory.</w:t>
            </w: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4DD528EB" w14:textId="77777777" w:rsidR="00001725" w:rsidRPr="003E158D" w:rsidRDefault="00001725" w:rsidP="003E158D">
            <w:pPr>
              <w:spacing w:after="0" w:line="240" w:lineRule="auto"/>
              <w:jc w:val="cente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lastRenderedPageBreak/>
              <w:t>0,6%</w:t>
            </w:r>
          </w:p>
        </w:tc>
      </w:tr>
      <w:tr w:rsidR="00BB149F" w14:paraId="119E47E1" w14:textId="77777777" w:rsidTr="003E158D">
        <w:trPr>
          <w:trHeight w:val="795"/>
        </w:trPr>
        <w:tc>
          <w:tcPr>
            <w:tcW w:w="272" w:type="pct"/>
            <w:tcBorders>
              <w:top w:val="nil"/>
              <w:left w:val="single" w:sz="8" w:space="0" w:color="auto"/>
              <w:bottom w:val="single" w:sz="8" w:space="0" w:color="auto"/>
              <w:right w:val="single" w:sz="8" w:space="0" w:color="auto"/>
            </w:tcBorders>
            <w:shd w:val="clear" w:color="auto" w:fill="auto"/>
            <w:hideMark/>
          </w:tcPr>
          <w:p w14:paraId="7303869F"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6.8</w:t>
            </w:r>
          </w:p>
        </w:tc>
        <w:tc>
          <w:tcPr>
            <w:tcW w:w="2005" w:type="pct"/>
            <w:tcBorders>
              <w:top w:val="nil"/>
              <w:left w:val="nil"/>
              <w:bottom w:val="single" w:sz="8" w:space="0" w:color="auto"/>
              <w:right w:val="single" w:sz="4" w:space="0" w:color="auto"/>
            </w:tcBorders>
            <w:shd w:val="clear" w:color="auto" w:fill="auto"/>
            <w:hideMark/>
          </w:tcPr>
          <w:p w14:paraId="69506843"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Příjemce dotace realizuje publicitu v rozsahu nad minimální povinný rozsah, přičemž chybně uvede logo EU (znak EU včetně všech povinných odkazů / textů) nebo chybně uvede informace na internetové stránce, pokud taková informace existuje</w:t>
            </w:r>
          </w:p>
        </w:tc>
        <w:tc>
          <w:tcPr>
            <w:tcW w:w="1721" w:type="pct"/>
            <w:vMerge/>
            <w:tcBorders>
              <w:left w:val="single" w:sz="4" w:space="0" w:color="auto"/>
              <w:bottom w:val="single" w:sz="4" w:space="0" w:color="auto"/>
              <w:right w:val="single" w:sz="4" w:space="0" w:color="auto"/>
            </w:tcBorders>
            <w:shd w:val="clear" w:color="auto" w:fill="auto"/>
            <w:hideMark/>
          </w:tcPr>
          <w:p w14:paraId="4CBCBEC3" w14:textId="77777777" w:rsidR="00001725" w:rsidRPr="003E158D" w:rsidRDefault="00001725" w:rsidP="003E158D">
            <w:pPr>
              <w:spacing w:after="0" w:line="240" w:lineRule="auto"/>
              <w:rPr>
                <w:rFonts w:ascii="Arial" w:eastAsia="Times New Roman" w:hAnsi="Arial" w:cs="Arial"/>
                <w:sz w:val="18"/>
                <w:szCs w:val="18"/>
                <w:lang w:eastAsia="cs-CZ"/>
              </w:rPr>
            </w:pP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7FEF124E" w14:textId="77777777" w:rsidR="00001725" w:rsidRPr="003E158D" w:rsidRDefault="00001725" w:rsidP="003E158D">
            <w:pPr>
              <w:spacing w:after="0" w:line="240" w:lineRule="auto"/>
              <w:jc w:val="cente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0,4%</w:t>
            </w:r>
          </w:p>
        </w:tc>
      </w:tr>
      <w:tr w:rsidR="00BB149F" w14:paraId="138466A3" w14:textId="77777777" w:rsidTr="003E158D">
        <w:trPr>
          <w:trHeight w:val="525"/>
        </w:trPr>
        <w:tc>
          <w:tcPr>
            <w:tcW w:w="272" w:type="pct"/>
            <w:tcBorders>
              <w:top w:val="nil"/>
              <w:left w:val="single" w:sz="8" w:space="0" w:color="auto"/>
              <w:bottom w:val="single" w:sz="8" w:space="0" w:color="auto"/>
              <w:right w:val="single" w:sz="8" w:space="0" w:color="auto"/>
            </w:tcBorders>
            <w:shd w:val="clear" w:color="auto" w:fill="auto"/>
            <w:hideMark/>
          </w:tcPr>
          <w:p w14:paraId="00383ADD"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6.9</w:t>
            </w:r>
          </w:p>
        </w:tc>
        <w:tc>
          <w:tcPr>
            <w:tcW w:w="2005" w:type="pct"/>
            <w:tcBorders>
              <w:top w:val="nil"/>
              <w:left w:val="nil"/>
              <w:bottom w:val="single" w:sz="8" w:space="0" w:color="auto"/>
              <w:right w:val="single" w:sz="4" w:space="0" w:color="auto"/>
            </w:tcBorders>
            <w:shd w:val="clear" w:color="auto" w:fill="auto"/>
            <w:hideMark/>
          </w:tcPr>
          <w:p w14:paraId="0836E5A3"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Nedodržení pravidel publicity v případě, že nebylo objektivně v moci příjemce výsledek ovlivnit (např. neplacené zpravodajství, publikace v odborných časopisech)</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3D145E48" w14:textId="77777777" w:rsidR="00001725" w:rsidRPr="003E158D" w:rsidRDefault="00001725" w:rsidP="003E158D">
            <w:pPr>
              <w:spacing w:after="0" w:line="240" w:lineRule="auto"/>
              <w:rPr>
                <w:rFonts w:ascii="Calibri" w:eastAsia="Times New Roman" w:hAnsi="Calibri" w:cs="Times New Roman"/>
                <w:sz w:val="18"/>
                <w:szCs w:val="18"/>
                <w:lang w:eastAsia="cs-CZ"/>
              </w:rPr>
            </w:pPr>
            <w:r w:rsidRPr="003E158D">
              <w:rPr>
                <w:rFonts w:ascii="Arial" w:eastAsia="Times New Roman" w:hAnsi="Arial" w:cs="Arial"/>
                <w:bCs/>
                <w:color w:val="000000"/>
                <w:sz w:val="18"/>
                <w:szCs w:val="18"/>
                <w:lang w:eastAsia="cs-CZ"/>
              </w:rPr>
              <w:t>Nedodržení pravidel se s ohledem na svoji povahu nepovažuje za porušení povinností stanovených smlouvou.</w:t>
            </w:r>
          </w:p>
        </w:tc>
        <w:tc>
          <w:tcPr>
            <w:tcW w:w="1001" w:type="pct"/>
            <w:gridSpan w:val="2"/>
            <w:tcBorders>
              <w:top w:val="nil"/>
              <w:left w:val="single" w:sz="4" w:space="0" w:color="auto"/>
              <w:bottom w:val="single" w:sz="8" w:space="0" w:color="auto"/>
              <w:right w:val="single" w:sz="8" w:space="0" w:color="auto"/>
            </w:tcBorders>
            <w:shd w:val="clear" w:color="auto" w:fill="auto"/>
            <w:hideMark/>
          </w:tcPr>
          <w:p w14:paraId="5171BD9F" w14:textId="77777777" w:rsidR="00001725" w:rsidRPr="003E158D" w:rsidRDefault="00001725" w:rsidP="003E158D">
            <w:pPr>
              <w:spacing w:after="0" w:line="240" w:lineRule="auto"/>
              <w:jc w:val="cente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w:t>
            </w:r>
          </w:p>
        </w:tc>
      </w:tr>
      <w:tr w:rsidR="00BB149F" w14:paraId="1AA127A1" w14:textId="77777777" w:rsidTr="003E158D">
        <w:trPr>
          <w:trHeight w:val="255"/>
        </w:trPr>
        <w:tc>
          <w:tcPr>
            <w:tcW w:w="272" w:type="pct"/>
            <w:tcBorders>
              <w:top w:val="nil"/>
              <w:left w:val="nil"/>
              <w:bottom w:val="nil"/>
              <w:right w:val="nil"/>
            </w:tcBorders>
            <w:shd w:val="clear" w:color="auto" w:fill="auto"/>
            <w:noWrap/>
            <w:vAlign w:val="bottom"/>
            <w:hideMark/>
          </w:tcPr>
          <w:p w14:paraId="596247F1" w14:textId="77777777" w:rsidR="00001725" w:rsidRDefault="00001725" w:rsidP="003E158D">
            <w:pPr>
              <w:spacing w:after="0" w:line="240" w:lineRule="auto"/>
              <w:rPr>
                <w:rFonts w:ascii="Arial" w:eastAsia="Times New Roman" w:hAnsi="Arial" w:cs="Arial"/>
                <w:sz w:val="20"/>
                <w:szCs w:val="20"/>
                <w:lang w:eastAsia="cs-CZ"/>
              </w:rPr>
            </w:pPr>
          </w:p>
        </w:tc>
        <w:tc>
          <w:tcPr>
            <w:tcW w:w="2005" w:type="pct"/>
            <w:tcBorders>
              <w:top w:val="nil"/>
              <w:left w:val="nil"/>
              <w:bottom w:val="nil"/>
              <w:right w:val="nil"/>
            </w:tcBorders>
            <w:shd w:val="clear" w:color="auto" w:fill="auto"/>
            <w:noWrap/>
            <w:vAlign w:val="bottom"/>
            <w:hideMark/>
          </w:tcPr>
          <w:p w14:paraId="2A6EC264" w14:textId="77777777" w:rsidR="00001725" w:rsidRDefault="00001725" w:rsidP="003E158D">
            <w:pPr>
              <w:spacing w:after="0" w:line="240" w:lineRule="auto"/>
              <w:rPr>
                <w:rFonts w:ascii="Arial" w:eastAsia="Times New Roman" w:hAnsi="Arial" w:cs="Arial"/>
                <w:sz w:val="20"/>
                <w:szCs w:val="20"/>
                <w:lang w:eastAsia="cs-CZ"/>
              </w:rPr>
            </w:pPr>
          </w:p>
        </w:tc>
        <w:tc>
          <w:tcPr>
            <w:tcW w:w="1721" w:type="pct"/>
            <w:tcBorders>
              <w:top w:val="single" w:sz="4" w:space="0" w:color="auto"/>
              <w:left w:val="nil"/>
              <w:bottom w:val="nil"/>
              <w:right w:val="nil"/>
            </w:tcBorders>
            <w:shd w:val="clear" w:color="auto" w:fill="auto"/>
            <w:noWrap/>
            <w:vAlign w:val="bottom"/>
            <w:hideMark/>
          </w:tcPr>
          <w:p w14:paraId="762447FF" w14:textId="77777777" w:rsidR="00001725" w:rsidRDefault="00001725" w:rsidP="003E158D">
            <w:pPr>
              <w:spacing w:after="0" w:line="240" w:lineRule="auto"/>
              <w:rPr>
                <w:rFonts w:ascii="Arial" w:eastAsia="Times New Roman" w:hAnsi="Arial" w:cs="Arial"/>
                <w:sz w:val="20"/>
                <w:szCs w:val="20"/>
                <w:lang w:eastAsia="cs-CZ"/>
              </w:rPr>
            </w:pPr>
          </w:p>
        </w:tc>
        <w:tc>
          <w:tcPr>
            <w:tcW w:w="1001" w:type="pct"/>
            <w:gridSpan w:val="2"/>
            <w:tcBorders>
              <w:top w:val="nil"/>
              <w:left w:val="nil"/>
              <w:bottom w:val="nil"/>
              <w:right w:val="nil"/>
            </w:tcBorders>
            <w:shd w:val="clear" w:color="auto" w:fill="auto"/>
            <w:noWrap/>
            <w:vAlign w:val="bottom"/>
            <w:hideMark/>
          </w:tcPr>
          <w:p w14:paraId="68EB0163" w14:textId="77777777" w:rsidR="00001725" w:rsidRDefault="00001725" w:rsidP="003E158D">
            <w:pPr>
              <w:spacing w:after="0" w:line="240" w:lineRule="auto"/>
              <w:rPr>
                <w:rFonts w:ascii="Arial" w:eastAsia="Times New Roman" w:hAnsi="Arial" w:cs="Arial"/>
                <w:color w:val="000000"/>
                <w:sz w:val="20"/>
                <w:szCs w:val="20"/>
                <w:lang w:eastAsia="cs-CZ"/>
              </w:rPr>
            </w:pPr>
          </w:p>
        </w:tc>
      </w:tr>
      <w:tr w:rsidR="0005569A" w:rsidRPr="003E3FAC" w14:paraId="0AE7680B" w14:textId="77777777" w:rsidTr="003E158D">
        <w:trPr>
          <w:gridAfter w:val="1"/>
          <w:wAfter w:w="306" w:type="pct"/>
          <w:trHeight w:val="315"/>
        </w:trPr>
        <w:tc>
          <w:tcPr>
            <w:tcW w:w="4694" w:type="pct"/>
            <w:gridSpan w:val="4"/>
            <w:tcBorders>
              <w:top w:val="nil"/>
              <w:left w:val="nil"/>
              <w:bottom w:val="nil"/>
              <w:right w:val="nil"/>
            </w:tcBorders>
            <w:shd w:val="clear" w:color="auto" w:fill="auto"/>
            <w:noWrap/>
            <w:vAlign w:val="center"/>
            <w:hideMark/>
          </w:tcPr>
          <w:p w14:paraId="3FA3D321" w14:textId="552FF112" w:rsidR="0005569A" w:rsidRPr="003E3FAC" w:rsidRDefault="0005569A" w:rsidP="003E158D">
            <w:pPr>
              <w:spacing w:after="0" w:line="240" w:lineRule="auto"/>
              <w:rPr>
                <w:rFonts w:ascii="Arial" w:eastAsia="Times New Roman" w:hAnsi="Arial" w:cs="Arial"/>
                <w:b/>
                <w:color w:val="000000"/>
                <w:sz w:val="20"/>
                <w:szCs w:val="20"/>
                <w:lang w:eastAsia="cs-CZ"/>
              </w:rPr>
            </w:pPr>
            <w:r w:rsidRPr="0005569A">
              <w:rPr>
                <w:rFonts w:ascii="Arial" w:eastAsia="Times New Roman" w:hAnsi="Arial" w:cs="Arial"/>
                <w:b/>
                <w:bCs/>
                <w:lang w:eastAsia="cs-CZ"/>
              </w:rPr>
              <w:t>7. Ostatní povinnosti příjemců podpory</w:t>
            </w:r>
          </w:p>
        </w:tc>
      </w:tr>
      <w:tr w:rsidR="00BB149F" w14:paraId="148750BF" w14:textId="77777777" w:rsidTr="003E158D">
        <w:trPr>
          <w:trHeight w:val="330"/>
        </w:trPr>
        <w:tc>
          <w:tcPr>
            <w:tcW w:w="272" w:type="pct"/>
            <w:tcBorders>
              <w:top w:val="single" w:sz="8" w:space="0" w:color="auto"/>
              <w:left w:val="single" w:sz="8" w:space="0" w:color="auto"/>
              <w:bottom w:val="nil"/>
              <w:right w:val="single" w:sz="8" w:space="0" w:color="auto"/>
            </w:tcBorders>
            <w:shd w:val="clear" w:color="auto" w:fill="auto"/>
            <w:hideMark/>
          </w:tcPr>
          <w:p w14:paraId="6A8F134F"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 xml:space="preserve">Č. </w:t>
            </w:r>
          </w:p>
        </w:tc>
        <w:tc>
          <w:tcPr>
            <w:tcW w:w="2005" w:type="pct"/>
            <w:tcBorders>
              <w:top w:val="single" w:sz="8" w:space="0" w:color="auto"/>
              <w:left w:val="nil"/>
              <w:bottom w:val="nil"/>
              <w:right w:val="single" w:sz="8" w:space="0" w:color="auto"/>
            </w:tcBorders>
            <w:shd w:val="clear" w:color="auto" w:fill="auto"/>
            <w:hideMark/>
          </w:tcPr>
          <w:p w14:paraId="0DE4A913"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Typ pochybení</w:t>
            </w:r>
          </w:p>
        </w:tc>
        <w:tc>
          <w:tcPr>
            <w:tcW w:w="1721" w:type="pct"/>
            <w:tcBorders>
              <w:top w:val="single" w:sz="8" w:space="0" w:color="auto"/>
              <w:left w:val="nil"/>
              <w:bottom w:val="nil"/>
              <w:right w:val="single" w:sz="8" w:space="0" w:color="auto"/>
            </w:tcBorders>
            <w:shd w:val="clear" w:color="auto" w:fill="auto"/>
            <w:hideMark/>
          </w:tcPr>
          <w:p w14:paraId="1836FC8C"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Vymezení výše odvodu</w:t>
            </w:r>
          </w:p>
        </w:tc>
        <w:tc>
          <w:tcPr>
            <w:tcW w:w="1001" w:type="pct"/>
            <w:gridSpan w:val="2"/>
            <w:tcBorders>
              <w:top w:val="single" w:sz="8" w:space="0" w:color="auto"/>
              <w:left w:val="nil"/>
              <w:bottom w:val="nil"/>
              <w:right w:val="single" w:sz="8" w:space="0" w:color="auto"/>
            </w:tcBorders>
            <w:shd w:val="clear" w:color="auto" w:fill="auto"/>
            <w:hideMark/>
          </w:tcPr>
          <w:p w14:paraId="108334A5" w14:textId="77777777" w:rsidR="00001725" w:rsidRPr="003E158D" w:rsidRDefault="00001725"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Nižší odvod</w:t>
            </w:r>
          </w:p>
        </w:tc>
      </w:tr>
      <w:tr w:rsidR="00BB149F" w14:paraId="39E91C62" w14:textId="77777777" w:rsidTr="003E158D">
        <w:trPr>
          <w:trHeight w:val="1047"/>
        </w:trPr>
        <w:tc>
          <w:tcPr>
            <w:tcW w:w="272"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263168B5"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7.1</w:t>
            </w:r>
          </w:p>
        </w:tc>
        <w:tc>
          <w:tcPr>
            <w:tcW w:w="200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508ABFDE"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Nedodržení lhůty pro předložení Zprávy o realizaci projektu, Zprávy o udržitelnosti projektu</w:t>
            </w:r>
          </w:p>
        </w:tc>
        <w:tc>
          <w:tcPr>
            <w:tcW w:w="1721"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75EF98DD" w14:textId="5C530581"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Odvod ve výši částky způsobilých výdajů krytých podporou z OPPPR na základě pozdě předložené Zprávy o realizaci projektu. </w:t>
            </w:r>
          </w:p>
          <w:p w14:paraId="03C841BD" w14:textId="77777777" w:rsidR="00001725" w:rsidRPr="003E158D" w:rsidRDefault="00001725" w:rsidP="003E158D">
            <w:pPr>
              <w:spacing w:after="0" w:line="240" w:lineRule="auto"/>
              <w:rPr>
                <w:rFonts w:ascii="Arial" w:eastAsia="Times New Roman" w:hAnsi="Arial" w:cs="Arial"/>
                <w:sz w:val="18"/>
                <w:szCs w:val="18"/>
                <w:lang w:eastAsia="cs-CZ"/>
              </w:rPr>
            </w:pPr>
          </w:p>
          <w:p w14:paraId="348E8F0E"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nebo</w:t>
            </w:r>
          </w:p>
          <w:p w14:paraId="5C12EA0B" w14:textId="77777777" w:rsidR="00001725" w:rsidRPr="003E158D" w:rsidRDefault="00001725" w:rsidP="003E158D">
            <w:pPr>
              <w:spacing w:after="0" w:line="240" w:lineRule="auto"/>
              <w:rPr>
                <w:rFonts w:ascii="Arial" w:eastAsia="Times New Roman" w:hAnsi="Arial" w:cs="Arial"/>
                <w:sz w:val="18"/>
                <w:szCs w:val="18"/>
                <w:lang w:eastAsia="cs-CZ"/>
              </w:rPr>
            </w:pPr>
          </w:p>
          <w:p w14:paraId="5CA99FA8"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vyplacené finanční podpory v případě pozdě odevzdané Zprávy o udržitelnosti projektu</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725ECCF1" w14:textId="784897B0"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V odůvodněných případech pozdního dodání po určeném termínu 0 % v případě dodání max. do 15 kalendářních dnů (včetně) u Zprávy o realizaci a max. do 30 kalendářních dnů (včetně) u Zprávy o udržitelnosti</w:t>
            </w:r>
          </w:p>
        </w:tc>
      </w:tr>
      <w:tr w:rsidR="00BB149F" w14:paraId="2CEB6C99" w14:textId="77777777" w:rsidTr="003E158D">
        <w:trPr>
          <w:trHeight w:val="945"/>
        </w:trPr>
        <w:tc>
          <w:tcPr>
            <w:tcW w:w="272" w:type="pct"/>
            <w:vMerge/>
            <w:tcBorders>
              <w:top w:val="single" w:sz="8" w:space="0" w:color="auto"/>
              <w:left w:val="single" w:sz="8" w:space="0" w:color="auto"/>
              <w:bottom w:val="single" w:sz="4" w:space="0" w:color="auto"/>
              <w:right w:val="single" w:sz="4" w:space="0" w:color="auto"/>
            </w:tcBorders>
            <w:hideMark/>
          </w:tcPr>
          <w:p w14:paraId="3EF2A58E" w14:textId="77777777" w:rsidR="00001725" w:rsidRPr="003E158D" w:rsidRDefault="00001725" w:rsidP="003E158D">
            <w:pPr>
              <w:spacing w:after="0" w:line="240" w:lineRule="auto"/>
              <w:rPr>
                <w:rFonts w:ascii="Arial" w:eastAsia="Times New Roman" w:hAnsi="Arial" w:cs="Arial"/>
                <w:sz w:val="18"/>
                <w:szCs w:val="18"/>
                <w:lang w:eastAsia="cs-CZ"/>
              </w:rPr>
            </w:pPr>
          </w:p>
        </w:tc>
        <w:tc>
          <w:tcPr>
            <w:tcW w:w="2005" w:type="pct"/>
            <w:vMerge/>
            <w:tcBorders>
              <w:top w:val="single" w:sz="8" w:space="0" w:color="auto"/>
              <w:left w:val="single" w:sz="4" w:space="0" w:color="auto"/>
              <w:bottom w:val="single" w:sz="4" w:space="0" w:color="auto"/>
              <w:right w:val="single" w:sz="4" w:space="0" w:color="auto"/>
            </w:tcBorders>
            <w:hideMark/>
          </w:tcPr>
          <w:p w14:paraId="7DC61D23" w14:textId="77777777" w:rsidR="00001725" w:rsidRPr="003E158D" w:rsidRDefault="00001725" w:rsidP="003E158D">
            <w:pPr>
              <w:spacing w:after="0" w:line="240" w:lineRule="auto"/>
              <w:rPr>
                <w:rFonts w:ascii="Arial" w:eastAsia="Times New Roman" w:hAnsi="Arial" w:cs="Arial"/>
                <w:sz w:val="18"/>
                <w:szCs w:val="18"/>
                <w:lang w:eastAsia="cs-CZ"/>
              </w:rPr>
            </w:pPr>
          </w:p>
        </w:tc>
        <w:tc>
          <w:tcPr>
            <w:tcW w:w="1721" w:type="pct"/>
            <w:vMerge/>
            <w:tcBorders>
              <w:top w:val="single" w:sz="8" w:space="0" w:color="auto"/>
              <w:left w:val="single" w:sz="4" w:space="0" w:color="auto"/>
              <w:bottom w:val="single" w:sz="4" w:space="0" w:color="auto"/>
              <w:right w:val="single" w:sz="4" w:space="0" w:color="auto"/>
            </w:tcBorders>
            <w:hideMark/>
          </w:tcPr>
          <w:p w14:paraId="3458BEC7" w14:textId="77777777" w:rsidR="00001725" w:rsidRPr="003E158D" w:rsidRDefault="00001725" w:rsidP="003E158D">
            <w:pPr>
              <w:spacing w:after="0" w:line="240" w:lineRule="auto"/>
              <w:rPr>
                <w:rFonts w:ascii="Arial" w:eastAsia="Times New Roman" w:hAnsi="Arial" w:cs="Arial"/>
                <w:sz w:val="18"/>
                <w:szCs w:val="18"/>
                <w:lang w:eastAsia="cs-CZ"/>
              </w:rPr>
            </w:pPr>
          </w:p>
        </w:tc>
        <w:tc>
          <w:tcPr>
            <w:tcW w:w="1001" w:type="pct"/>
            <w:gridSpan w:val="2"/>
            <w:tcBorders>
              <w:top w:val="nil"/>
              <w:left w:val="nil"/>
              <w:bottom w:val="single" w:sz="4" w:space="0" w:color="auto"/>
              <w:right w:val="single" w:sz="8" w:space="0" w:color="auto"/>
            </w:tcBorders>
            <w:shd w:val="clear" w:color="auto" w:fill="auto"/>
            <w:hideMark/>
          </w:tcPr>
          <w:p w14:paraId="4B9BA3E5" w14:textId="13F03273"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V případech pozdního dodání bez odůvodnění nebo v případě pozdního dodání po určeném termínu 0,2 % v případě dodání po 15. dni po uvedeném termínu v případě ZoR a po 30. dni po uvedeném termínu v případě Zprávy o udržitelnosti projektu.</w:t>
            </w:r>
          </w:p>
        </w:tc>
      </w:tr>
      <w:tr w:rsidR="00BB149F" w14:paraId="6C0FD485" w14:textId="77777777" w:rsidTr="003E158D">
        <w:trPr>
          <w:trHeight w:val="270"/>
        </w:trPr>
        <w:tc>
          <w:tcPr>
            <w:tcW w:w="272" w:type="pct"/>
            <w:tcBorders>
              <w:top w:val="nil"/>
              <w:left w:val="single" w:sz="8" w:space="0" w:color="auto"/>
              <w:bottom w:val="single" w:sz="8" w:space="0" w:color="auto"/>
              <w:right w:val="single" w:sz="8" w:space="0" w:color="auto"/>
            </w:tcBorders>
            <w:shd w:val="clear" w:color="auto" w:fill="auto"/>
          </w:tcPr>
          <w:p w14:paraId="5EB1EC5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7.2</w:t>
            </w:r>
          </w:p>
        </w:tc>
        <w:tc>
          <w:tcPr>
            <w:tcW w:w="2005" w:type="pct"/>
            <w:tcBorders>
              <w:top w:val="nil"/>
              <w:left w:val="nil"/>
              <w:bottom w:val="single" w:sz="8" w:space="0" w:color="auto"/>
              <w:right w:val="single" w:sz="8" w:space="0" w:color="auto"/>
            </w:tcBorders>
            <w:shd w:val="clear" w:color="auto" w:fill="auto"/>
            <w:noWrap/>
          </w:tcPr>
          <w:p w14:paraId="6AC4BFBC"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Nerespektování výzvy kontrolního orgánu k dodání opožděné Zprávy o realizaci nebo Zprávy o udržitelnosti projektu ve stanoveném termínu</w:t>
            </w:r>
          </w:p>
        </w:tc>
        <w:tc>
          <w:tcPr>
            <w:tcW w:w="1721" w:type="pct"/>
            <w:tcBorders>
              <w:top w:val="nil"/>
              <w:left w:val="single" w:sz="8" w:space="0" w:color="auto"/>
              <w:bottom w:val="single" w:sz="8" w:space="0" w:color="000000"/>
              <w:right w:val="single" w:sz="8" w:space="0" w:color="auto"/>
            </w:tcBorders>
          </w:tcPr>
          <w:p w14:paraId="18FC9259" w14:textId="7807064B"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Odvod ve výši částky způsobilých výdajů krytých podporou z OPPPR na základě pozdě předložené Zprávy o realizaci projektu. </w:t>
            </w:r>
          </w:p>
          <w:p w14:paraId="2C872E55" w14:textId="77777777" w:rsidR="00001725" w:rsidRPr="003E158D" w:rsidRDefault="00001725" w:rsidP="003E158D">
            <w:pPr>
              <w:spacing w:after="0" w:line="240" w:lineRule="auto"/>
              <w:rPr>
                <w:rFonts w:ascii="Arial" w:eastAsia="Times New Roman" w:hAnsi="Arial" w:cs="Arial"/>
                <w:sz w:val="18"/>
                <w:szCs w:val="18"/>
                <w:lang w:eastAsia="cs-CZ"/>
              </w:rPr>
            </w:pPr>
          </w:p>
          <w:p w14:paraId="5909501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nebo</w:t>
            </w:r>
          </w:p>
          <w:p w14:paraId="55525AB2" w14:textId="77777777" w:rsidR="00001725" w:rsidRPr="003E158D" w:rsidRDefault="00001725" w:rsidP="003E158D">
            <w:pPr>
              <w:spacing w:after="0" w:line="240" w:lineRule="auto"/>
              <w:rPr>
                <w:rFonts w:ascii="Arial" w:eastAsia="Times New Roman" w:hAnsi="Arial" w:cs="Arial"/>
                <w:sz w:val="18"/>
                <w:szCs w:val="18"/>
                <w:lang w:eastAsia="cs-CZ"/>
              </w:rPr>
            </w:pPr>
          </w:p>
          <w:p w14:paraId="536E3E6C"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vyplacené finanční podpory v případě pozdě odevzdané Zprávy o udržitelnosti projektu</w:t>
            </w:r>
          </w:p>
        </w:tc>
        <w:tc>
          <w:tcPr>
            <w:tcW w:w="1001" w:type="pct"/>
            <w:gridSpan w:val="2"/>
            <w:tcBorders>
              <w:top w:val="nil"/>
              <w:left w:val="nil"/>
              <w:bottom w:val="single" w:sz="8" w:space="0" w:color="auto"/>
              <w:right w:val="single" w:sz="8" w:space="0" w:color="auto"/>
            </w:tcBorders>
            <w:shd w:val="clear" w:color="auto" w:fill="auto"/>
            <w:noWrap/>
          </w:tcPr>
          <w:p w14:paraId="475D9451"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0,2 % za nedodržení termínu podle každé jednotlivé výzvy k nápravě</w:t>
            </w:r>
          </w:p>
        </w:tc>
      </w:tr>
      <w:tr w:rsidR="00BB149F" w14:paraId="4C0D4C1E" w14:textId="77777777" w:rsidTr="003E158D">
        <w:trPr>
          <w:trHeight w:val="2725"/>
        </w:trPr>
        <w:tc>
          <w:tcPr>
            <w:tcW w:w="272" w:type="pct"/>
            <w:tcBorders>
              <w:top w:val="nil"/>
              <w:left w:val="single" w:sz="8" w:space="0" w:color="auto"/>
              <w:bottom w:val="single" w:sz="4" w:space="0" w:color="auto"/>
              <w:right w:val="single" w:sz="4" w:space="0" w:color="auto"/>
            </w:tcBorders>
            <w:shd w:val="clear" w:color="auto" w:fill="auto"/>
            <w:hideMark/>
          </w:tcPr>
          <w:p w14:paraId="3658DE24"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7.3</w:t>
            </w:r>
          </w:p>
        </w:tc>
        <w:tc>
          <w:tcPr>
            <w:tcW w:w="2005" w:type="pct"/>
            <w:tcBorders>
              <w:top w:val="nil"/>
              <w:left w:val="nil"/>
              <w:bottom w:val="single" w:sz="4" w:space="0" w:color="auto"/>
              <w:right w:val="single" w:sz="4" w:space="0" w:color="auto"/>
            </w:tcBorders>
            <w:shd w:val="clear" w:color="auto" w:fill="auto"/>
            <w:hideMark/>
          </w:tcPr>
          <w:p w14:paraId="0A4ECD3E"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Neoznámení podstatných změny realizace projektu, které nevyžadují schválení ŘO</w:t>
            </w:r>
          </w:p>
        </w:tc>
        <w:tc>
          <w:tcPr>
            <w:tcW w:w="1721" w:type="pct"/>
            <w:tcBorders>
              <w:top w:val="single" w:sz="8" w:space="0" w:color="000000"/>
              <w:left w:val="single" w:sz="4" w:space="0" w:color="auto"/>
              <w:bottom w:val="single" w:sz="4" w:space="0" w:color="auto"/>
              <w:right w:val="single" w:sz="4" w:space="0" w:color="auto"/>
            </w:tcBorders>
            <w:shd w:val="clear" w:color="000000" w:fill="auto"/>
            <w:hideMark/>
          </w:tcPr>
          <w:p w14:paraId="0C2485EA"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podle kapitol 1 a 3 v případě změny týkající se konkrétního výdaje. V ostatních případech odvod ve výši poskytnuté finanční podpory</w:t>
            </w:r>
          </w:p>
        </w:tc>
        <w:tc>
          <w:tcPr>
            <w:tcW w:w="1001" w:type="pct"/>
            <w:gridSpan w:val="2"/>
            <w:tcBorders>
              <w:top w:val="nil"/>
              <w:left w:val="nil"/>
              <w:bottom w:val="single" w:sz="4" w:space="0" w:color="auto"/>
              <w:right w:val="single" w:sz="8" w:space="0" w:color="auto"/>
            </w:tcBorders>
            <w:shd w:val="clear" w:color="auto" w:fill="auto"/>
            <w:hideMark/>
          </w:tcPr>
          <w:p w14:paraId="703212EF"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w:t>
            </w:r>
          </w:p>
        </w:tc>
      </w:tr>
      <w:tr w:rsidR="00BB149F" w14:paraId="2697E787" w14:textId="77777777" w:rsidTr="003E158D">
        <w:trPr>
          <w:trHeight w:val="2820"/>
        </w:trPr>
        <w:tc>
          <w:tcPr>
            <w:tcW w:w="272" w:type="pct"/>
            <w:tcBorders>
              <w:top w:val="nil"/>
              <w:left w:val="single" w:sz="8" w:space="0" w:color="auto"/>
              <w:bottom w:val="single" w:sz="4" w:space="0" w:color="auto"/>
              <w:right w:val="single" w:sz="4" w:space="0" w:color="auto"/>
            </w:tcBorders>
            <w:shd w:val="clear" w:color="auto" w:fill="auto"/>
            <w:hideMark/>
          </w:tcPr>
          <w:p w14:paraId="352DE6F4"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7.4</w:t>
            </w:r>
          </w:p>
        </w:tc>
        <w:tc>
          <w:tcPr>
            <w:tcW w:w="2005" w:type="pct"/>
            <w:tcBorders>
              <w:top w:val="nil"/>
              <w:left w:val="nil"/>
              <w:bottom w:val="single" w:sz="4" w:space="0" w:color="auto"/>
              <w:right w:val="single" w:sz="4" w:space="0" w:color="auto"/>
            </w:tcBorders>
            <w:shd w:val="clear" w:color="auto" w:fill="auto"/>
            <w:hideMark/>
          </w:tcPr>
          <w:p w14:paraId="3D01E021"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Porušení povinnosti archivovat doklady </w:t>
            </w:r>
          </w:p>
        </w:tc>
        <w:tc>
          <w:tcPr>
            <w:tcW w:w="1721" w:type="pct"/>
            <w:tcBorders>
              <w:top w:val="nil"/>
              <w:left w:val="nil"/>
              <w:bottom w:val="single" w:sz="4" w:space="0" w:color="auto"/>
              <w:right w:val="single" w:sz="4" w:space="0" w:color="auto"/>
            </w:tcBorders>
            <w:shd w:val="clear" w:color="auto" w:fill="auto"/>
            <w:hideMark/>
          </w:tcPr>
          <w:p w14:paraId="0C002264"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poskytnutých prostředků na výdaj, který je chybějícím dokladem prokazován v případě, že neexistuje ani kopie dokladu. V případě, že existuj kopie doklad, je možné vyměřit nižší odvod.</w:t>
            </w:r>
          </w:p>
          <w:p w14:paraId="7C3405FB" w14:textId="77777777" w:rsidR="00001725" w:rsidRPr="003E158D" w:rsidRDefault="00001725" w:rsidP="003E158D">
            <w:pPr>
              <w:spacing w:after="0" w:line="240" w:lineRule="auto"/>
              <w:rPr>
                <w:rFonts w:ascii="Arial" w:eastAsia="Times New Roman" w:hAnsi="Arial" w:cs="Arial"/>
                <w:sz w:val="18"/>
                <w:szCs w:val="18"/>
                <w:lang w:eastAsia="cs-CZ"/>
              </w:rPr>
            </w:pPr>
          </w:p>
          <w:p w14:paraId="72D65C1A"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 případě, že se doklad neváže ke konkrétnímu výdaji, nýbrž k výstupům projektu, postupuje se podle bodů 2 až 6.</w:t>
            </w:r>
          </w:p>
          <w:p w14:paraId="24983D45" w14:textId="77777777" w:rsidR="00001725" w:rsidRPr="003E158D" w:rsidRDefault="00001725" w:rsidP="003E158D">
            <w:pPr>
              <w:spacing w:after="0" w:line="240" w:lineRule="auto"/>
              <w:rPr>
                <w:rFonts w:ascii="Arial" w:eastAsia="Times New Roman" w:hAnsi="Arial" w:cs="Arial"/>
                <w:sz w:val="18"/>
                <w:szCs w:val="18"/>
                <w:lang w:eastAsia="cs-CZ"/>
              </w:rPr>
            </w:pPr>
          </w:p>
          <w:p w14:paraId="03C093D3" w14:textId="4BD2505B"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 případě, že se doklad vztahuje k dokumentaci veřejné zakázky, postupuje se podle bodu 8.</w:t>
            </w:r>
          </w:p>
        </w:tc>
        <w:tc>
          <w:tcPr>
            <w:tcW w:w="1001" w:type="pct"/>
            <w:gridSpan w:val="2"/>
            <w:tcBorders>
              <w:top w:val="nil"/>
              <w:left w:val="nil"/>
              <w:bottom w:val="single" w:sz="4" w:space="0" w:color="auto"/>
              <w:right w:val="single" w:sz="8" w:space="0" w:color="auto"/>
            </w:tcBorders>
            <w:shd w:val="clear" w:color="auto" w:fill="auto"/>
            <w:hideMark/>
          </w:tcPr>
          <w:p w14:paraId="0DF3B6BC" w14:textId="77777777" w:rsidR="00001725" w:rsidRPr="003E158D" w:rsidRDefault="00001725" w:rsidP="003E158D">
            <w:pPr>
              <w:autoSpaceDE w:val="0"/>
              <w:autoSpaceDN w:val="0"/>
              <w:adjustRightInd w:val="0"/>
              <w:spacing w:after="0" w:line="240" w:lineRule="auto"/>
              <w:jc w:val="center"/>
              <w:rPr>
                <w:rFonts w:ascii="Arial" w:hAnsi="Arial" w:cs="Arial"/>
                <w:sz w:val="18"/>
                <w:szCs w:val="18"/>
              </w:rPr>
            </w:pPr>
            <w:r w:rsidRPr="003E158D">
              <w:rPr>
                <w:rFonts w:ascii="Arial" w:hAnsi="Arial" w:cs="Arial"/>
                <w:sz w:val="18"/>
                <w:szCs w:val="18"/>
              </w:rPr>
              <w:t>0 % v případě, že absenci dokladů</w:t>
            </w:r>
          </w:p>
          <w:p w14:paraId="59B5FCCC" w14:textId="77777777" w:rsidR="00001725" w:rsidRPr="003E158D" w:rsidRDefault="00001725" w:rsidP="003E158D">
            <w:pPr>
              <w:autoSpaceDE w:val="0"/>
              <w:autoSpaceDN w:val="0"/>
              <w:adjustRightInd w:val="0"/>
              <w:spacing w:after="0" w:line="240" w:lineRule="auto"/>
              <w:jc w:val="center"/>
              <w:rPr>
                <w:rFonts w:ascii="Arial" w:hAnsi="Arial" w:cs="Arial"/>
                <w:sz w:val="18"/>
                <w:szCs w:val="18"/>
              </w:rPr>
            </w:pPr>
            <w:r w:rsidRPr="003E158D">
              <w:rPr>
                <w:rFonts w:ascii="Arial" w:hAnsi="Arial" w:cs="Arial"/>
                <w:sz w:val="18"/>
                <w:szCs w:val="18"/>
              </w:rPr>
              <w:t>způsobil zásah vyšší moci (např.</w:t>
            </w:r>
          </w:p>
          <w:p w14:paraId="35B00849" w14:textId="00CC34D5" w:rsidR="00001725" w:rsidRPr="003E158D" w:rsidRDefault="00001725" w:rsidP="003E158D">
            <w:pPr>
              <w:autoSpaceDE w:val="0"/>
              <w:autoSpaceDN w:val="0"/>
              <w:adjustRightInd w:val="0"/>
              <w:spacing w:after="0" w:line="240" w:lineRule="auto"/>
              <w:jc w:val="center"/>
              <w:rPr>
                <w:rFonts w:ascii="Arial" w:hAnsi="Arial" w:cs="Arial"/>
                <w:sz w:val="18"/>
                <w:szCs w:val="18"/>
              </w:rPr>
            </w:pPr>
            <w:r w:rsidRPr="003E158D">
              <w:rPr>
                <w:rFonts w:ascii="Arial" w:hAnsi="Arial" w:cs="Arial"/>
                <w:sz w:val="18"/>
                <w:szCs w:val="18"/>
              </w:rPr>
              <w:t>požár, záplavy apod.)</w:t>
            </w:r>
          </w:p>
          <w:p w14:paraId="3D3A9AC2" w14:textId="77777777" w:rsidR="00001725" w:rsidRPr="003E158D" w:rsidRDefault="00001725" w:rsidP="003E158D">
            <w:pPr>
              <w:autoSpaceDE w:val="0"/>
              <w:autoSpaceDN w:val="0"/>
              <w:adjustRightInd w:val="0"/>
              <w:spacing w:after="0" w:line="240" w:lineRule="auto"/>
              <w:jc w:val="center"/>
              <w:rPr>
                <w:rFonts w:ascii="Arial" w:hAnsi="Arial" w:cs="Arial"/>
                <w:sz w:val="18"/>
                <w:szCs w:val="18"/>
              </w:rPr>
            </w:pPr>
          </w:p>
          <w:p w14:paraId="0C4FCDD6" w14:textId="77777777" w:rsidR="00001725" w:rsidRPr="003E158D" w:rsidRDefault="00001725" w:rsidP="003E158D">
            <w:pPr>
              <w:autoSpaceDE w:val="0"/>
              <w:autoSpaceDN w:val="0"/>
              <w:adjustRightInd w:val="0"/>
              <w:spacing w:after="0" w:line="240" w:lineRule="auto"/>
              <w:jc w:val="center"/>
              <w:rPr>
                <w:rFonts w:ascii="Arial" w:hAnsi="Arial" w:cs="Arial"/>
                <w:sz w:val="18"/>
                <w:szCs w:val="18"/>
              </w:rPr>
            </w:pPr>
            <w:r w:rsidRPr="003E158D">
              <w:rPr>
                <w:rFonts w:ascii="Arial" w:hAnsi="Arial" w:cs="Arial"/>
                <w:sz w:val="18"/>
                <w:szCs w:val="18"/>
              </w:rPr>
              <w:t>2 % v ostatních případech absence dokladů</w:t>
            </w:r>
          </w:p>
          <w:p w14:paraId="6C98378C" w14:textId="77777777" w:rsidR="00001725" w:rsidRPr="003E158D" w:rsidRDefault="00001725" w:rsidP="003E158D">
            <w:pPr>
              <w:spacing w:after="0" w:line="240" w:lineRule="auto"/>
              <w:jc w:val="center"/>
              <w:rPr>
                <w:rFonts w:ascii="Arial" w:eastAsia="Times New Roman" w:hAnsi="Arial" w:cs="Arial"/>
                <w:sz w:val="18"/>
                <w:szCs w:val="18"/>
                <w:lang w:eastAsia="cs-CZ"/>
              </w:rPr>
            </w:pPr>
          </w:p>
        </w:tc>
      </w:tr>
      <w:tr w:rsidR="00BB149F" w14:paraId="1A8A01CB" w14:textId="77777777" w:rsidTr="003E158D">
        <w:trPr>
          <w:trHeight w:val="1800"/>
        </w:trPr>
        <w:tc>
          <w:tcPr>
            <w:tcW w:w="272" w:type="pct"/>
            <w:tcBorders>
              <w:top w:val="nil"/>
              <w:left w:val="single" w:sz="8" w:space="0" w:color="auto"/>
              <w:bottom w:val="single" w:sz="4" w:space="0" w:color="auto"/>
              <w:right w:val="single" w:sz="4" w:space="0" w:color="auto"/>
            </w:tcBorders>
            <w:shd w:val="clear" w:color="auto" w:fill="auto"/>
            <w:hideMark/>
          </w:tcPr>
          <w:p w14:paraId="2C99EEA6"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7.5</w:t>
            </w:r>
          </w:p>
        </w:tc>
        <w:tc>
          <w:tcPr>
            <w:tcW w:w="2005" w:type="pct"/>
            <w:tcBorders>
              <w:top w:val="nil"/>
              <w:left w:val="nil"/>
              <w:bottom w:val="single" w:sz="4" w:space="0" w:color="auto"/>
              <w:right w:val="single" w:sz="4" w:space="0" w:color="auto"/>
            </w:tcBorders>
            <w:shd w:val="clear" w:color="auto" w:fill="auto"/>
            <w:hideMark/>
          </w:tcPr>
          <w:p w14:paraId="28653085"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Porušení podmínky vést oddělenou účetní evidenci pro projekt, tj. situace, kdy nedošlo k oddělení výdajů projektu od ostatních účetních operací příjemce (s výjimkou situací, kdy je oddělení účetní evidence dáno fakticky bez využití specifických účetních nástrojů, zejména pokud v daném časovém období organizace příjemce nerealizuje žádné jiné náklady (aktivity) než náklady projektu popř. se jedná o výdaje spojená s žádostí o dotaci před podáním této žádosti). </w:t>
            </w:r>
          </w:p>
        </w:tc>
        <w:tc>
          <w:tcPr>
            <w:tcW w:w="1721" w:type="pct"/>
            <w:tcBorders>
              <w:top w:val="nil"/>
              <w:left w:val="nil"/>
              <w:bottom w:val="single" w:sz="4" w:space="0" w:color="auto"/>
              <w:right w:val="single" w:sz="4" w:space="0" w:color="auto"/>
            </w:tcBorders>
            <w:shd w:val="clear" w:color="auto" w:fill="auto"/>
            <w:hideMark/>
          </w:tcPr>
          <w:p w14:paraId="4D032C77" w14:textId="408962AF"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prostředků poskytnutých na výdaje projektu či odpovídající příjmům projektu, které nejsou vedeny odděleně. Snížený odvod je možné aplikovat v případě příjmů a u výdajů jen v případě, že příjemce dotace zajistil nápravné opatření před vyměřením odvodu. Za splnění nápravného opatření se považuje také doúčtování nákladů v některém následujícím účetním období, pokud by zásah do již uzavřeného účetního období byl nemožný či obtížný.</w:t>
            </w:r>
          </w:p>
        </w:tc>
        <w:tc>
          <w:tcPr>
            <w:tcW w:w="1001" w:type="pct"/>
            <w:gridSpan w:val="2"/>
            <w:tcBorders>
              <w:top w:val="nil"/>
              <w:left w:val="nil"/>
              <w:bottom w:val="single" w:sz="4" w:space="0" w:color="auto"/>
              <w:right w:val="single" w:sz="8" w:space="0" w:color="auto"/>
            </w:tcBorders>
            <w:shd w:val="clear" w:color="auto" w:fill="auto"/>
            <w:hideMark/>
          </w:tcPr>
          <w:p w14:paraId="0DCDBC62"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0 % v případě výdajů, u kterých je v termínu zajištěna náprava</w:t>
            </w:r>
          </w:p>
          <w:p w14:paraId="28C0A557"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1 % v případě příjmů, u kterých je v termínu zajištěna náprava</w:t>
            </w:r>
          </w:p>
          <w:p w14:paraId="0193B4C1"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5 % v případě příjmů, kde nebyla zajištěna náprava</w:t>
            </w:r>
          </w:p>
        </w:tc>
      </w:tr>
      <w:tr w:rsidR="00BB149F" w14:paraId="3935321D" w14:textId="77777777" w:rsidTr="003E158D">
        <w:trPr>
          <w:trHeight w:val="1050"/>
        </w:trPr>
        <w:tc>
          <w:tcPr>
            <w:tcW w:w="272" w:type="pct"/>
            <w:tcBorders>
              <w:top w:val="nil"/>
              <w:left w:val="single" w:sz="8" w:space="0" w:color="auto"/>
              <w:bottom w:val="single" w:sz="8" w:space="0" w:color="auto"/>
              <w:right w:val="single" w:sz="4" w:space="0" w:color="auto"/>
            </w:tcBorders>
            <w:shd w:val="clear" w:color="auto" w:fill="auto"/>
            <w:hideMark/>
          </w:tcPr>
          <w:p w14:paraId="3B738CA2"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7.6</w:t>
            </w:r>
          </w:p>
        </w:tc>
        <w:tc>
          <w:tcPr>
            <w:tcW w:w="2005" w:type="pct"/>
            <w:tcBorders>
              <w:top w:val="nil"/>
              <w:left w:val="nil"/>
              <w:bottom w:val="single" w:sz="8" w:space="0" w:color="auto"/>
              <w:right w:val="single" w:sz="4" w:space="0" w:color="auto"/>
            </w:tcBorders>
            <w:shd w:val="clear" w:color="auto" w:fill="auto"/>
            <w:hideMark/>
          </w:tcPr>
          <w:p w14:paraId="5AE6F78F"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Porušení pravidel veřejné podpory nebo podpory de minimis, v jehož důsledku došlo u projektu ke změně výše poskytnuté podpory spadající do nějakého režimu veřejné podpory nebo podpory de minimis, avšak realizací nápravných opatření došlo k odstranění protiprávního stavu (vyplacená podpora není nadále vyplacena v rozporu s pravidly veřejné podpory či podpory de minimis). </w:t>
            </w:r>
          </w:p>
        </w:tc>
        <w:tc>
          <w:tcPr>
            <w:tcW w:w="1721" w:type="pct"/>
            <w:tcBorders>
              <w:top w:val="nil"/>
              <w:left w:val="nil"/>
              <w:bottom w:val="single" w:sz="8" w:space="0" w:color="auto"/>
              <w:right w:val="single" w:sz="4" w:space="0" w:color="auto"/>
            </w:tcBorders>
            <w:shd w:val="clear" w:color="auto" w:fill="auto"/>
            <w:hideMark/>
          </w:tcPr>
          <w:p w14:paraId="69B3FCDE"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Nejedná se o porušení rozpočtové kázně. </w:t>
            </w:r>
          </w:p>
        </w:tc>
        <w:tc>
          <w:tcPr>
            <w:tcW w:w="1001" w:type="pct"/>
            <w:gridSpan w:val="2"/>
            <w:tcBorders>
              <w:top w:val="nil"/>
              <w:left w:val="nil"/>
              <w:bottom w:val="single" w:sz="8" w:space="0" w:color="auto"/>
              <w:right w:val="single" w:sz="8" w:space="0" w:color="auto"/>
            </w:tcBorders>
            <w:shd w:val="clear" w:color="auto" w:fill="auto"/>
            <w:hideMark/>
          </w:tcPr>
          <w:p w14:paraId="38F8BB46"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27BD40EC" w14:textId="77777777" w:rsidTr="003E158D">
        <w:trPr>
          <w:trHeight w:val="543"/>
        </w:trPr>
        <w:tc>
          <w:tcPr>
            <w:tcW w:w="272" w:type="pct"/>
            <w:tcBorders>
              <w:top w:val="nil"/>
              <w:left w:val="single" w:sz="8" w:space="0" w:color="auto"/>
              <w:bottom w:val="single" w:sz="8" w:space="0" w:color="auto"/>
              <w:right w:val="single" w:sz="4" w:space="0" w:color="auto"/>
            </w:tcBorders>
            <w:shd w:val="clear" w:color="auto" w:fill="auto"/>
          </w:tcPr>
          <w:p w14:paraId="48D0598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7.7</w:t>
            </w:r>
          </w:p>
        </w:tc>
        <w:tc>
          <w:tcPr>
            <w:tcW w:w="2005" w:type="pct"/>
            <w:tcBorders>
              <w:top w:val="nil"/>
              <w:left w:val="nil"/>
              <w:bottom w:val="single" w:sz="8" w:space="0" w:color="auto"/>
              <w:right w:val="single" w:sz="4" w:space="0" w:color="auto"/>
            </w:tcBorders>
            <w:shd w:val="clear" w:color="auto" w:fill="auto"/>
          </w:tcPr>
          <w:p w14:paraId="7C076575"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Porušení pravidel veřejné podpory nebo podpory de minimis, v jehož důsledku došlo u projektu ke změně výše poskytnuté podpory spadající do nějakého režimu veřejné podpory nebo podpory de minimis, a tímto došlo k neodstranitelnému protiprávního stavu (vyplacená podpora byla či je nadále vyplacena v rozporu s pravidly veřejné podpory či podpory de minimis). </w:t>
            </w:r>
          </w:p>
        </w:tc>
        <w:tc>
          <w:tcPr>
            <w:tcW w:w="1721" w:type="pct"/>
            <w:tcBorders>
              <w:top w:val="nil"/>
              <w:left w:val="nil"/>
              <w:bottom w:val="single" w:sz="8" w:space="0" w:color="auto"/>
              <w:right w:val="single" w:sz="4" w:space="0" w:color="auto"/>
            </w:tcBorders>
            <w:shd w:val="clear" w:color="auto" w:fill="auto"/>
          </w:tcPr>
          <w:p w14:paraId="42CC3C67" w14:textId="77777777" w:rsidR="00001725" w:rsidRPr="003E158D" w:rsidRDefault="00001725"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Odvod ve výši finanční podpory poskytnuté v rozporu s pravidly veřejné podpory nebo podpory de minimis.</w:t>
            </w:r>
          </w:p>
        </w:tc>
        <w:tc>
          <w:tcPr>
            <w:tcW w:w="1001" w:type="pct"/>
            <w:gridSpan w:val="2"/>
            <w:tcBorders>
              <w:top w:val="nil"/>
              <w:left w:val="nil"/>
              <w:bottom w:val="single" w:sz="8" w:space="0" w:color="auto"/>
              <w:right w:val="single" w:sz="8" w:space="0" w:color="auto"/>
            </w:tcBorders>
            <w:shd w:val="clear" w:color="auto" w:fill="auto"/>
          </w:tcPr>
          <w:p w14:paraId="303621D9" w14:textId="77777777" w:rsidR="00001725" w:rsidRPr="003E158D" w:rsidRDefault="00001725" w:rsidP="003E158D">
            <w:pPr>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w:t>
            </w:r>
          </w:p>
        </w:tc>
      </w:tr>
      <w:tr w:rsidR="00BB149F" w14:paraId="3B48D5A4" w14:textId="77777777" w:rsidTr="003E158D">
        <w:trPr>
          <w:trHeight w:val="255"/>
        </w:trPr>
        <w:tc>
          <w:tcPr>
            <w:tcW w:w="272" w:type="pct"/>
            <w:tcBorders>
              <w:top w:val="nil"/>
              <w:left w:val="nil"/>
              <w:bottom w:val="nil"/>
              <w:right w:val="nil"/>
            </w:tcBorders>
            <w:shd w:val="clear" w:color="auto" w:fill="auto"/>
            <w:noWrap/>
            <w:vAlign w:val="bottom"/>
            <w:hideMark/>
          </w:tcPr>
          <w:p w14:paraId="22707554" w14:textId="77777777" w:rsidR="00001725" w:rsidRDefault="00001725" w:rsidP="003E158D">
            <w:pPr>
              <w:spacing w:after="0" w:line="240" w:lineRule="auto"/>
              <w:rPr>
                <w:rFonts w:ascii="Arial" w:eastAsia="Times New Roman" w:hAnsi="Arial" w:cs="Arial"/>
                <w:sz w:val="20"/>
                <w:szCs w:val="20"/>
                <w:lang w:eastAsia="cs-CZ"/>
              </w:rPr>
            </w:pPr>
          </w:p>
        </w:tc>
        <w:tc>
          <w:tcPr>
            <w:tcW w:w="2005" w:type="pct"/>
            <w:tcBorders>
              <w:top w:val="nil"/>
              <w:left w:val="nil"/>
              <w:bottom w:val="nil"/>
              <w:right w:val="nil"/>
            </w:tcBorders>
            <w:shd w:val="clear" w:color="auto" w:fill="auto"/>
            <w:vAlign w:val="center"/>
            <w:hideMark/>
          </w:tcPr>
          <w:p w14:paraId="4F51D7F4" w14:textId="77777777" w:rsidR="00001725" w:rsidRDefault="00001725" w:rsidP="003E158D">
            <w:pPr>
              <w:spacing w:after="0" w:line="240" w:lineRule="auto"/>
              <w:jc w:val="center"/>
              <w:rPr>
                <w:rFonts w:ascii="Arial" w:eastAsia="Times New Roman" w:hAnsi="Arial" w:cs="Arial"/>
                <w:sz w:val="20"/>
                <w:szCs w:val="20"/>
                <w:lang w:eastAsia="cs-CZ"/>
              </w:rPr>
            </w:pPr>
          </w:p>
        </w:tc>
        <w:tc>
          <w:tcPr>
            <w:tcW w:w="1721" w:type="pct"/>
            <w:tcBorders>
              <w:top w:val="nil"/>
              <w:left w:val="nil"/>
              <w:bottom w:val="nil"/>
              <w:right w:val="nil"/>
            </w:tcBorders>
            <w:shd w:val="clear" w:color="auto" w:fill="auto"/>
            <w:vAlign w:val="center"/>
            <w:hideMark/>
          </w:tcPr>
          <w:p w14:paraId="11D68D93" w14:textId="77777777" w:rsidR="00001725" w:rsidRDefault="00001725" w:rsidP="003E158D">
            <w:pPr>
              <w:spacing w:after="0" w:line="240" w:lineRule="auto"/>
              <w:jc w:val="center"/>
              <w:rPr>
                <w:rFonts w:ascii="Arial" w:eastAsia="Times New Roman" w:hAnsi="Arial" w:cs="Arial"/>
                <w:sz w:val="20"/>
                <w:szCs w:val="20"/>
                <w:lang w:eastAsia="cs-CZ"/>
              </w:rPr>
            </w:pPr>
          </w:p>
        </w:tc>
        <w:tc>
          <w:tcPr>
            <w:tcW w:w="1001" w:type="pct"/>
            <w:gridSpan w:val="2"/>
            <w:tcBorders>
              <w:top w:val="nil"/>
              <w:left w:val="nil"/>
              <w:bottom w:val="nil"/>
              <w:right w:val="nil"/>
            </w:tcBorders>
            <w:shd w:val="clear" w:color="auto" w:fill="auto"/>
            <w:noWrap/>
            <w:vAlign w:val="center"/>
            <w:hideMark/>
          </w:tcPr>
          <w:p w14:paraId="6F020363" w14:textId="77777777" w:rsidR="00001725" w:rsidRDefault="00001725" w:rsidP="003E158D">
            <w:pPr>
              <w:spacing w:after="0" w:line="240" w:lineRule="auto"/>
              <w:rPr>
                <w:rFonts w:ascii="Arial" w:eastAsia="Times New Roman" w:hAnsi="Arial" w:cs="Arial"/>
                <w:sz w:val="20"/>
                <w:szCs w:val="20"/>
                <w:lang w:eastAsia="cs-CZ"/>
              </w:rPr>
            </w:pPr>
          </w:p>
        </w:tc>
      </w:tr>
      <w:tr w:rsidR="00001725" w:rsidRPr="00C03039" w14:paraId="19CD72C7" w14:textId="77777777" w:rsidTr="003E158D">
        <w:trPr>
          <w:trHeight w:val="315"/>
        </w:trPr>
        <w:tc>
          <w:tcPr>
            <w:tcW w:w="5000" w:type="pct"/>
            <w:gridSpan w:val="5"/>
            <w:tcBorders>
              <w:top w:val="nil"/>
              <w:left w:val="nil"/>
              <w:bottom w:val="nil"/>
              <w:right w:val="nil"/>
            </w:tcBorders>
            <w:shd w:val="clear" w:color="auto" w:fill="auto"/>
            <w:noWrap/>
            <w:vAlign w:val="center"/>
            <w:hideMark/>
          </w:tcPr>
          <w:p w14:paraId="7438C4F9" w14:textId="77777777" w:rsidR="00001725" w:rsidRPr="00C03039" w:rsidRDefault="00001725" w:rsidP="003E158D">
            <w:pPr>
              <w:spacing w:after="0" w:line="240" w:lineRule="auto"/>
              <w:jc w:val="both"/>
              <w:rPr>
                <w:rFonts w:ascii="Arial" w:eastAsia="Times New Roman" w:hAnsi="Arial" w:cs="Arial"/>
                <w:b/>
                <w:bCs/>
                <w:color w:val="000000"/>
                <w:sz w:val="20"/>
                <w:szCs w:val="20"/>
                <w:lang w:eastAsia="cs-CZ"/>
              </w:rPr>
            </w:pPr>
          </w:p>
          <w:p w14:paraId="40E980D7" w14:textId="77777777" w:rsidR="00001725" w:rsidRPr="00742F7C" w:rsidRDefault="00001725" w:rsidP="003E158D">
            <w:pPr>
              <w:pStyle w:val="Nadpis1"/>
              <w:rPr>
                <w:rFonts w:cs="Arial"/>
                <w:sz w:val="22"/>
                <w:szCs w:val="22"/>
              </w:rPr>
            </w:pPr>
            <w:bookmarkStart w:id="20" w:name="_Toc452637082"/>
            <w:bookmarkStart w:id="21" w:name="_Toc452644793"/>
            <w:r w:rsidRPr="00742F7C">
              <w:rPr>
                <w:rFonts w:cs="Arial"/>
                <w:sz w:val="22"/>
                <w:szCs w:val="22"/>
              </w:rPr>
              <w:t>Porušení pravidel pro zadávání zakázek</w:t>
            </w:r>
            <w:bookmarkEnd w:id="20"/>
            <w:bookmarkEnd w:id="21"/>
          </w:p>
          <w:p w14:paraId="2577E090" w14:textId="2E148F31" w:rsidR="00001725" w:rsidRPr="00C03039" w:rsidRDefault="00001725" w:rsidP="003E158D">
            <w:pPr>
              <w:pStyle w:val="Zkladntext"/>
              <w:keepNext/>
              <w:widowControl/>
              <w:autoSpaceDE/>
              <w:autoSpaceDN/>
              <w:adjustRightInd/>
              <w:spacing w:afterLines="50" w:after="120"/>
              <w:rPr>
                <w:rFonts w:cs="Arial"/>
                <w:szCs w:val="20"/>
              </w:rPr>
            </w:pPr>
            <w:r w:rsidRPr="0015379B">
              <w:rPr>
                <w:rFonts w:cs="Arial"/>
                <w:szCs w:val="20"/>
              </w:rPr>
              <w:t>Postup pro stanovení korekce / odvodu v </w:t>
            </w:r>
            <w:r w:rsidR="0015379B" w:rsidRPr="0015379B">
              <w:rPr>
                <w:rFonts w:cs="Arial"/>
                <w:szCs w:val="20"/>
              </w:rPr>
              <w:t>závislosti na proplacení výdaje</w:t>
            </w:r>
          </w:p>
          <w:p w14:paraId="02EEB3DC" w14:textId="3BC98011" w:rsidR="00001725" w:rsidRPr="00C03039" w:rsidRDefault="00001725" w:rsidP="003E158D">
            <w:pPr>
              <w:autoSpaceDE w:val="0"/>
              <w:autoSpaceDN w:val="0"/>
              <w:adjustRightInd w:val="0"/>
              <w:jc w:val="both"/>
              <w:rPr>
                <w:rFonts w:ascii="Arial" w:hAnsi="Arial" w:cs="Arial"/>
                <w:sz w:val="20"/>
                <w:szCs w:val="20"/>
              </w:rPr>
            </w:pPr>
            <w:r w:rsidRPr="00C03039">
              <w:rPr>
                <w:rFonts w:ascii="Arial" w:hAnsi="Arial" w:cs="Arial"/>
                <w:sz w:val="20"/>
                <w:szCs w:val="20"/>
              </w:rPr>
              <w:t>Při pochybení v zakázce</w:t>
            </w:r>
            <w:r w:rsidRPr="00C03039">
              <w:rPr>
                <w:rFonts w:ascii="Arial" w:hAnsi="Arial" w:cs="Arial"/>
                <w:b/>
                <w:sz w:val="20"/>
                <w:szCs w:val="20"/>
              </w:rPr>
              <w:t xml:space="preserve"> </w:t>
            </w:r>
            <w:r w:rsidRPr="00C03039">
              <w:rPr>
                <w:rFonts w:ascii="Arial" w:hAnsi="Arial" w:cs="Arial"/>
                <w:sz w:val="20"/>
                <w:szCs w:val="20"/>
              </w:rPr>
              <w:t xml:space="preserve">se postupuje při stanovení korekce / odvodu za porušení rozpočtové kázně (PRK) podle </w:t>
            </w:r>
            <w:r w:rsidRPr="00C03039">
              <w:rPr>
                <w:rFonts w:ascii="Arial" w:hAnsi="Arial" w:cs="Arial"/>
                <w:i/>
                <w:sz w:val="20"/>
                <w:szCs w:val="20"/>
              </w:rPr>
              <w:t xml:space="preserve">Pokynů ke stanovení finančních oprav, jež mají být provedeny u výdajů financovaných Unií v rámci sdíleného řízení v případě nedodržení pravidel pro veřejné zakázky </w:t>
            </w:r>
            <w:r w:rsidRPr="00C03039">
              <w:rPr>
                <w:rFonts w:ascii="Arial" w:hAnsi="Arial" w:cs="Arial"/>
                <w:sz w:val="20"/>
                <w:szCs w:val="20"/>
              </w:rPr>
              <w:t xml:space="preserve">(dále jen </w:t>
            </w:r>
            <w:r w:rsidR="003E158D">
              <w:rPr>
                <w:rFonts w:ascii="Arial" w:hAnsi="Arial" w:cs="Arial"/>
                <w:sz w:val="20"/>
                <w:szCs w:val="20"/>
              </w:rPr>
              <w:t>„</w:t>
            </w:r>
            <w:r w:rsidRPr="00C03039">
              <w:rPr>
                <w:rFonts w:ascii="Arial" w:hAnsi="Arial" w:cs="Arial"/>
                <w:sz w:val="20"/>
                <w:szCs w:val="20"/>
              </w:rPr>
              <w:t>Pokyny ke stanovení finančních oprav v případě nedodržení pravidel pro veřejné zakázky</w:t>
            </w:r>
            <w:r w:rsidR="003E158D">
              <w:rPr>
                <w:rFonts w:ascii="Arial" w:hAnsi="Arial" w:cs="Arial"/>
                <w:sz w:val="20"/>
                <w:szCs w:val="20"/>
              </w:rPr>
              <w:t>“</w:t>
            </w:r>
            <w:r w:rsidRPr="00C03039">
              <w:rPr>
                <w:rFonts w:ascii="Arial" w:hAnsi="Arial" w:cs="Arial"/>
                <w:sz w:val="20"/>
                <w:szCs w:val="20"/>
              </w:rPr>
              <w:t xml:space="preserve">) nebo podle </w:t>
            </w:r>
            <w:r w:rsidR="00C24124" w:rsidRPr="00C24124">
              <w:rPr>
                <w:rFonts w:ascii="Arial" w:hAnsi="Arial" w:cs="Arial"/>
                <w:i/>
                <w:sz w:val="20"/>
                <w:szCs w:val="20"/>
              </w:rPr>
              <w:t>Metodického pokynu pro oblast zadávání zakázek pro programové obdo</w:t>
            </w:r>
            <w:r w:rsidR="00C24124">
              <w:rPr>
                <w:rFonts w:ascii="Arial" w:hAnsi="Arial" w:cs="Arial"/>
                <w:i/>
                <w:sz w:val="20"/>
                <w:szCs w:val="20"/>
              </w:rPr>
              <w:t>bí 2014 -2020 (dále jen “Závazné postupy“)</w:t>
            </w:r>
            <w:r w:rsidR="00C24124" w:rsidRPr="00C24124">
              <w:rPr>
                <w:rFonts w:ascii="Arial" w:hAnsi="Arial" w:cs="Arial"/>
                <w:i/>
                <w:sz w:val="20"/>
                <w:szCs w:val="20"/>
              </w:rPr>
              <w:t xml:space="preserve"> </w:t>
            </w:r>
            <w:r w:rsidRPr="00C03039">
              <w:rPr>
                <w:rFonts w:ascii="Arial" w:hAnsi="Arial" w:cs="Arial"/>
                <w:sz w:val="20"/>
                <w:szCs w:val="20"/>
              </w:rPr>
              <w:t>následujícím způsobem:</w:t>
            </w:r>
          </w:p>
          <w:p w14:paraId="54877D2C" w14:textId="77777777" w:rsidR="00001725" w:rsidRPr="00C03039" w:rsidRDefault="00001725" w:rsidP="003E158D">
            <w:pPr>
              <w:tabs>
                <w:tab w:val="left" w:pos="214"/>
              </w:tabs>
              <w:autoSpaceDE w:val="0"/>
              <w:autoSpaceDN w:val="0"/>
              <w:adjustRightInd w:val="0"/>
              <w:ind w:left="214" w:hanging="214"/>
              <w:contextualSpacing/>
              <w:jc w:val="both"/>
              <w:rPr>
                <w:rFonts w:ascii="Arial" w:hAnsi="Arial" w:cs="Arial"/>
                <w:sz w:val="20"/>
                <w:szCs w:val="20"/>
              </w:rPr>
            </w:pPr>
            <w:r w:rsidRPr="00C03039">
              <w:rPr>
                <w:rFonts w:ascii="Arial" w:hAnsi="Arial" w:cs="Arial"/>
                <w:b/>
                <w:sz w:val="20"/>
                <w:szCs w:val="20"/>
              </w:rPr>
              <w:t>a) je-li zjištěno pochybení v zakázce před vyplacením výdaje</w:t>
            </w:r>
            <w:r w:rsidRPr="00C03039">
              <w:rPr>
                <w:rFonts w:ascii="Arial" w:hAnsi="Arial" w:cs="Arial"/>
                <w:sz w:val="20"/>
                <w:szCs w:val="20"/>
              </w:rPr>
              <w:t xml:space="preserve"> </w:t>
            </w:r>
            <w:r w:rsidRPr="0015379B">
              <w:rPr>
                <w:rFonts w:ascii="Arial" w:hAnsi="Arial" w:cs="Arial"/>
                <w:sz w:val="20"/>
                <w:szCs w:val="20"/>
              </w:rPr>
              <w:t>(a nejde tedy o porušení rozpočtové kázně), stanovuje</w:t>
            </w:r>
            <w:r w:rsidRPr="00C03039">
              <w:rPr>
                <w:rFonts w:ascii="Arial" w:hAnsi="Arial" w:cs="Arial"/>
                <w:sz w:val="20"/>
                <w:szCs w:val="20"/>
              </w:rPr>
              <w:t xml:space="preserve"> se korekce tak, že částka v rámci zakázky stanovených způsobilých výdajů vztahujících se k dané zakázce je ponížena o procentní část uvedenou v níže uvedených tabulkách Pokynů ke stanovení finančních oprav v případě nedodržení pravidel pro veřejné zakázky / Závazných postupů). V případě více porušení vztahujících se k dotčené zakázce se použije vždy jedna korekce (finanční oprava), a to vždy ta nejpřísnější za nejzávažnější porušení.</w:t>
            </w:r>
          </w:p>
          <w:p w14:paraId="7C0BA990" w14:textId="6F1D5223" w:rsidR="00001725" w:rsidRPr="00C03039" w:rsidRDefault="00001725" w:rsidP="003E158D">
            <w:pPr>
              <w:tabs>
                <w:tab w:val="left" w:pos="214"/>
              </w:tabs>
              <w:autoSpaceDE w:val="0"/>
              <w:autoSpaceDN w:val="0"/>
              <w:adjustRightInd w:val="0"/>
              <w:ind w:left="214" w:hanging="214"/>
              <w:contextualSpacing/>
              <w:jc w:val="both"/>
              <w:rPr>
                <w:rFonts w:ascii="Arial" w:hAnsi="Arial" w:cs="Arial"/>
                <w:sz w:val="20"/>
                <w:szCs w:val="20"/>
              </w:rPr>
            </w:pPr>
            <w:r w:rsidRPr="00C03039">
              <w:rPr>
                <w:rFonts w:ascii="Arial" w:hAnsi="Arial" w:cs="Arial"/>
                <w:b/>
                <w:sz w:val="20"/>
                <w:szCs w:val="20"/>
              </w:rPr>
              <w:t>b) je-li zjištěno pochybení v zakázce po proplacení</w:t>
            </w:r>
            <w:r w:rsidRPr="00C03039">
              <w:rPr>
                <w:rFonts w:ascii="Arial" w:hAnsi="Arial" w:cs="Arial"/>
                <w:sz w:val="20"/>
                <w:szCs w:val="20"/>
              </w:rPr>
              <w:t xml:space="preserve">, postupuje se </w:t>
            </w:r>
            <w:r w:rsidR="0015379B">
              <w:rPr>
                <w:rFonts w:ascii="Arial" w:hAnsi="Arial" w:cs="Arial"/>
                <w:sz w:val="20"/>
                <w:szCs w:val="20"/>
              </w:rPr>
              <w:t>v souladu se zákonem č. 250/2000 Sb.</w:t>
            </w:r>
            <w:r w:rsidRPr="00C03039">
              <w:rPr>
                <w:rFonts w:ascii="Arial" w:hAnsi="Arial" w:cs="Arial"/>
                <w:sz w:val="20"/>
                <w:szCs w:val="20"/>
              </w:rPr>
              <w:t xml:space="preserve"> následujícím způsobem:</w:t>
            </w:r>
          </w:p>
          <w:p w14:paraId="6674F9D0" w14:textId="77777777" w:rsidR="00001725" w:rsidRPr="00C03039" w:rsidRDefault="00001725" w:rsidP="003E158D">
            <w:pPr>
              <w:autoSpaceDE w:val="0"/>
              <w:autoSpaceDN w:val="0"/>
              <w:adjustRightInd w:val="0"/>
              <w:contextualSpacing/>
              <w:jc w:val="both"/>
              <w:rPr>
                <w:rFonts w:ascii="Arial" w:hAnsi="Arial" w:cs="Arial"/>
                <w:sz w:val="20"/>
                <w:szCs w:val="20"/>
              </w:rPr>
            </w:pPr>
            <w:r w:rsidRPr="00C03039">
              <w:rPr>
                <w:rFonts w:ascii="Arial" w:hAnsi="Arial" w:cs="Arial"/>
                <w:sz w:val="20"/>
                <w:szCs w:val="20"/>
              </w:rPr>
              <w:t xml:space="preserve"> </w:t>
            </w:r>
          </w:p>
          <w:p w14:paraId="30A08E2F" w14:textId="475A7F4A" w:rsidR="00001725" w:rsidRDefault="00001725" w:rsidP="003E158D">
            <w:pPr>
              <w:autoSpaceDE w:val="0"/>
              <w:autoSpaceDN w:val="0"/>
              <w:adjustRightInd w:val="0"/>
              <w:contextualSpacing/>
              <w:jc w:val="both"/>
              <w:rPr>
                <w:rFonts w:ascii="Arial" w:hAnsi="Arial" w:cs="Arial"/>
                <w:sz w:val="20"/>
                <w:szCs w:val="20"/>
              </w:rPr>
            </w:pPr>
            <w:r w:rsidRPr="00C03039">
              <w:rPr>
                <w:rFonts w:ascii="Arial" w:hAnsi="Arial" w:cs="Arial"/>
                <w:sz w:val="20"/>
                <w:szCs w:val="20"/>
              </w:rPr>
              <w:t>Z</w:t>
            </w:r>
            <w:r w:rsidR="0015379B">
              <w:rPr>
                <w:rFonts w:ascii="Arial" w:hAnsi="Arial" w:cs="Arial"/>
                <w:sz w:val="20"/>
                <w:szCs w:val="20"/>
              </w:rPr>
              <w:t xml:space="preserve">a méně závažné pochybení </w:t>
            </w:r>
            <w:r w:rsidRPr="00C03039">
              <w:rPr>
                <w:rFonts w:ascii="Arial" w:hAnsi="Arial" w:cs="Arial"/>
                <w:sz w:val="20"/>
                <w:szCs w:val="20"/>
              </w:rPr>
              <w:t xml:space="preserve">podle ust. </w:t>
            </w:r>
            <w:r w:rsidR="003E158D">
              <w:rPr>
                <w:rFonts w:ascii="Arial" w:hAnsi="Arial" w:cs="Arial"/>
                <w:sz w:val="20"/>
                <w:szCs w:val="20"/>
              </w:rPr>
              <w:t>§ 22 zákona č. 250/2000 Sb.</w:t>
            </w:r>
            <w:r w:rsidRPr="00C03039">
              <w:rPr>
                <w:rFonts w:ascii="Arial" w:hAnsi="Arial" w:cs="Arial"/>
                <w:sz w:val="20"/>
                <w:szCs w:val="20"/>
              </w:rPr>
              <w:t xml:space="preserve"> je stanoven nižší (snížený) odvod, který odpovídá výši sankce nižšího odvodu (sazbě opravy) uvedené v posledním sloupci tabulek (Pokynů ke stanovení finančních oprav v případě nedodržení pravid</w:t>
            </w:r>
            <w:r w:rsidR="003E158D">
              <w:rPr>
                <w:rFonts w:ascii="Arial" w:hAnsi="Arial" w:cs="Arial"/>
                <w:sz w:val="20"/>
                <w:szCs w:val="20"/>
              </w:rPr>
              <w:t xml:space="preserve">el pro veřejné zakázky / </w:t>
            </w:r>
            <w:r w:rsidRPr="00C03039">
              <w:rPr>
                <w:rFonts w:ascii="Arial" w:hAnsi="Arial" w:cs="Arial"/>
                <w:sz w:val="20"/>
                <w:szCs w:val="20"/>
              </w:rPr>
              <w:t>Závazných postupů). Při porušení více povinností při zadávání zakázky se procentní částky sankcí dle tabulky nesčítají</w:t>
            </w:r>
            <w:r w:rsidRPr="00C03039">
              <w:rPr>
                <w:rStyle w:val="Znakapoznpodarou"/>
                <w:rFonts w:ascii="Arial" w:hAnsi="Arial" w:cs="Arial"/>
                <w:sz w:val="20"/>
                <w:szCs w:val="20"/>
              </w:rPr>
              <w:footnoteReference w:id="6"/>
            </w:r>
            <w:r w:rsidRPr="00C03039">
              <w:rPr>
                <w:rFonts w:ascii="Arial" w:hAnsi="Arial" w:cs="Arial"/>
                <w:sz w:val="20"/>
                <w:szCs w:val="20"/>
              </w:rPr>
              <w:t>, ale zohlední se při rozhodování o sazbě opravy nejzávažnější porušení.</w:t>
            </w:r>
            <w:r w:rsidRPr="00C03039">
              <w:rPr>
                <w:rStyle w:val="Znakapoznpodarou"/>
                <w:rFonts w:ascii="Arial" w:hAnsi="Arial" w:cs="Arial"/>
                <w:sz w:val="20"/>
                <w:szCs w:val="20"/>
              </w:rPr>
              <w:footnoteReference w:id="7"/>
            </w:r>
          </w:p>
          <w:p w14:paraId="12173967" w14:textId="77777777" w:rsidR="003E158D" w:rsidRPr="00C03039" w:rsidRDefault="003E158D" w:rsidP="003E158D">
            <w:pPr>
              <w:autoSpaceDE w:val="0"/>
              <w:autoSpaceDN w:val="0"/>
              <w:adjustRightInd w:val="0"/>
              <w:contextualSpacing/>
              <w:jc w:val="both"/>
              <w:rPr>
                <w:rFonts w:ascii="Arial" w:hAnsi="Arial" w:cs="Arial"/>
                <w:sz w:val="20"/>
                <w:szCs w:val="20"/>
              </w:rPr>
            </w:pPr>
          </w:p>
          <w:p w14:paraId="1A7B70F3" w14:textId="77777777" w:rsidR="00001725" w:rsidRPr="00C03039" w:rsidRDefault="00001725" w:rsidP="003E158D">
            <w:pPr>
              <w:keepNext/>
              <w:spacing w:before="60" w:after="60"/>
              <w:rPr>
                <w:rFonts w:ascii="Arial" w:hAnsi="Arial" w:cs="Arial"/>
                <w:sz w:val="20"/>
                <w:szCs w:val="20"/>
              </w:rPr>
            </w:pPr>
            <w:r w:rsidRPr="00C03039">
              <w:rPr>
                <w:rFonts w:ascii="Arial" w:hAnsi="Arial" w:cs="Arial"/>
                <w:sz w:val="20"/>
                <w:szCs w:val="20"/>
              </w:rPr>
              <w:t>Při stanovení korekce / odvodu (sazby opravy) musí být dodržena tato kritéria:</w:t>
            </w:r>
          </w:p>
          <w:p w14:paraId="0CA8E5E2" w14:textId="77777777" w:rsidR="00001725" w:rsidRPr="00C03039" w:rsidRDefault="00001725" w:rsidP="003E158D">
            <w:pPr>
              <w:keepNext/>
              <w:spacing w:before="60" w:after="60"/>
              <w:rPr>
                <w:rFonts w:ascii="Arial" w:hAnsi="Arial" w:cs="Arial"/>
                <w:sz w:val="20"/>
                <w:szCs w:val="20"/>
              </w:rPr>
            </w:pPr>
            <w:r w:rsidRPr="00C03039">
              <w:rPr>
                <w:rFonts w:ascii="Arial" w:hAnsi="Arial" w:cs="Arial"/>
                <w:sz w:val="20"/>
                <w:szCs w:val="20"/>
              </w:rPr>
              <w:t>- pokyny (Pokyny ke stanovení finančních oprav v případě nedodržení pravidel pro veřejné zakázky a Závazné postupy) stanoví řadu oprav v sazbě 5 %, 10 %, 25 % a 100 %, které se uplatní na výdaje v rámci zakázky. Tyto sazby zohledňují závažnost porušení (nesrovnalostí) a zásadu proporcionality. Použijí se v případech, kdy není možné přesně vyčíslit finanční důsledky pro danou zakázku,</w:t>
            </w:r>
          </w:p>
          <w:p w14:paraId="4687CD24" w14:textId="77777777" w:rsidR="00001725" w:rsidRPr="00C03039" w:rsidRDefault="00001725" w:rsidP="003E158D">
            <w:pPr>
              <w:autoSpaceDE w:val="0"/>
              <w:autoSpaceDN w:val="0"/>
              <w:adjustRightInd w:val="0"/>
              <w:rPr>
                <w:rFonts w:ascii="Arial" w:hAnsi="Arial" w:cs="Arial"/>
                <w:sz w:val="20"/>
                <w:szCs w:val="20"/>
              </w:rPr>
            </w:pPr>
            <w:r w:rsidRPr="00C03039">
              <w:rPr>
                <w:rFonts w:ascii="Arial" w:hAnsi="Arial" w:cs="Arial"/>
                <w:sz w:val="20"/>
                <w:szCs w:val="20"/>
              </w:rPr>
              <w:t xml:space="preserve">- závažnost nesrovnalosti týkající se nedodržení pravidel o zadávání veřejných zakázek a související finanční dopad na rozpočet Unie se posuzuje s ohledem na následující faktory: úroveň hospodářské soutěže, transparentnost a rovné zacházení. Má-li dotčené nedodržení pravidel odrazující účinek na </w:t>
            </w:r>
            <w:r w:rsidRPr="00C03039">
              <w:rPr>
                <w:rFonts w:ascii="Arial" w:hAnsi="Arial" w:cs="Arial"/>
                <w:sz w:val="20"/>
                <w:szCs w:val="20"/>
              </w:rPr>
              <w:lastRenderedPageBreak/>
              <w:t>potenciální uchazeče nebo vede-li toto nedodržení k zadání zakázky jinému uchazeči, než kterému měla být zadána, je to silný ukazatel, že jde o nesrovnalost závažnou.</w:t>
            </w:r>
          </w:p>
          <w:p w14:paraId="62D5C733" w14:textId="77777777" w:rsidR="00001725" w:rsidRPr="00C03039" w:rsidRDefault="00001725" w:rsidP="003E158D">
            <w:pPr>
              <w:autoSpaceDE w:val="0"/>
              <w:autoSpaceDN w:val="0"/>
              <w:adjustRightInd w:val="0"/>
              <w:rPr>
                <w:rFonts w:ascii="Arial" w:hAnsi="Arial" w:cs="Arial"/>
                <w:sz w:val="20"/>
                <w:szCs w:val="20"/>
              </w:rPr>
            </w:pPr>
            <w:r w:rsidRPr="00C03039">
              <w:rPr>
                <w:rFonts w:ascii="Arial" w:hAnsi="Arial" w:cs="Arial"/>
                <w:sz w:val="20"/>
                <w:szCs w:val="20"/>
              </w:rPr>
              <w:t xml:space="preserve">- vyskytne-li se v jednom zadávacím / výběrovém řízení více nesrovnalostí, sazby oprav se nesčítají, ale zohlední se při rozhodování o sazbě opravy (5 %, 10 %, 25 % nebo 100 %) nejzávažnější porušení, </w:t>
            </w:r>
          </w:p>
          <w:p w14:paraId="3E47E9A9" w14:textId="77777777" w:rsidR="00001725" w:rsidRPr="00C03039" w:rsidRDefault="00001725" w:rsidP="003E158D">
            <w:pPr>
              <w:autoSpaceDE w:val="0"/>
              <w:autoSpaceDN w:val="0"/>
              <w:adjustRightInd w:val="0"/>
              <w:spacing w:after="360"/>
              <w:rPr>
                <w:rFonts w:ascii="Arial" w:hAnsi="Arial" w:cs="Arial"/>
                <w:sz w:val="20"/>
                <w:szCs w:val="20"/>
              </w:rPr>
            </w:pPr>
            <w:r w:rsidRPr="00C03039">
              <w:rPr>
                <w:rFonts w:ascii="Arial" w:hAnsi="Arial" w:cs="Arial"/>
                <w:sz w:val="20"/>
                <w:szCs w:val="20"/>
              </w:rPr>
              <w:t xml:space="preserve">- finanční opravu ve výši 100 % je možné uplatnit v nejzávažnějších případech, kdy nesrovnalost zvýhodňuje určité uchazeče / zájemce nebo kdy se nesrovnalost týká podvodu, jak určí příslušný soudní nebo správní orgán. </w:t>
            </w:r>
          </w:p>
          <w:p w14:paraId="10DAA1D5" w14:textId="77777777" w:rsidR="00001725" w:rsidRPr="00742F7C" w:rsidRDefault="00001725" w:rsidP="003E158D">
            <w:pPr>
              <w:spacing w:after="0" w:line="240" w:lineRule="auto"/>
              <w:jc w:val="both"/>
              <w:rPr>
                <w:rFonts w:ascii="Arial" w:eastAsia="Times New Roman" w:hAnsi="Arial" w:cs="Arial"/>
                <w:b/>
                <w:bCs/>
                <w:color w:val="000000"/>
                <w:lang w:eastAsia="cs-CZ"/>
              </w:rPr>
            </w:pPr>
            <w:r w:rsidRPr="003E158D">
              <w:rPr>
                <w:rFonts w:ascii="Arial" w:eastAsia="Times New Roman" w:hAnsi="Arial" w:cs="Arial"/>
                <w:b/>
                <w:bCs/>
                <w:color w:val="000000"/>
                <w:lang w:eastAsia="cs-CZ"/>
              </w:rPr>
              <w:t xml:space="preserve">8.1 </w:t>
            </w:r>
            <w:r w:rsidRPr="00742F7C">
              <w:rPr>
                <w:rFonts w:ascii="Arial" w:eastAsia="Times New Roman" w:hAnsi="Arial" w:cs="Arial"/>
                <w:b/>
                <w:bCs/>
                <w:color w:val="000000"/>
                <w:lang w:eastAsia="cs-CZ"/>
              </w:rPr>
              <w:t>Zakázky, na něž se vztahuje zákon č. 137/2006 Sb., o veřejných zakázkách (dále „ZVZ“)</w:t>
            </w:r>
          </w:p>
          <w:p w14:paraId="5DC3ED93" w14:textId="77777777" w:rsidR="00001725" w:rsidRPr="00F061FA" w:rsidRDefault="00001725" w:rsidP="003E158D">
            <w:pPr>
              <w:autoSpaceDE w:val="0"/>
              <w:autoSpaceDN w:val="0"/>
              <w:adjustRightInd w:val="0"/>
              <w:rPr>
                <w:rFonts w:ascii="Arial" w:hAnsi="Arial" w:cs="Arial"/>
                <w:sz w:val="20"/>
                <w:szCs w:val="20"/>
              </w:rPr>
            </w:pPr>
            <w:r w:rsidRPr="00F061FA">
              <w:rPr>
                <w:rFonts w:ascii="Arial" w:hAnsi="Arial" w:cs="Arial"/>
                <w:sz w:val="20"/>
                <w:szCs w:val="20"/>
              </w:rPr>
              <w:t xml:space="preserve">Sazby opravy (korekce či sníženého odvodu) vycházejí z </w:t>
            </w:r>
            <w:r w:rsidRPr="00F061FA">
              <w:rPr>
                <w:rFonts w:ascii="Arial" w:hAnsi="Arial" w:cs="Arial"/>
                <w:i/>
                <w:sz w:val="20"/>
                <w:szCs w:val="20"/>
              </w:rPr>
              <w:t>„Pokynů ke stanovení finančních oprav, jež mají být provedeny u výdajů financovaných Unií v rámci sdíleného řízení v případě nedodržení pravidel pro veřejné zakázky“ z Rozhodnutí Komise C (2013) 9527 ze dne 19. 12. 2013</w:t>
            </w:r>
            <w:r w:rsidRPr="00F061FA">
              <w:rPr>
                <w:rFonts w:ascii="Arial" w:hAnsi="Arial" w:cs="Arial"/>
                <w:sz w:val="20"/>
                <w:szCs w:val="20"/>
              </w:rPr>
              <w:t>, dále jen Pokyny ke stanovení finančních oprav v případě nedodržení pravidel pro veřejné zakázky.</w:t>
            </w:r>
          </w:p>
          <w:p w14:paraId="3CA8262D" w14:textId="77777777" w:rsidR="00001725" w:rsidRPr="00C03039" w:rsidRDefault="00001725" w:rsidP="003E158D">
            <w:pPr>
              <w:spacing w:after="0" w:line="240" w:lineRule="auto"/>
              <w:rPr>
                <w:rFonts w:ascii="Arial" w:eastAsia="Times New Roman" w:hAnsi="Arial" w:cs="Arial"/>
                <w:color w:val="000000"/>
                <w:sz w:val="20"/>
                <w:szCs w:val="20"/>
                <w:lang w:eastAsia="cs-CZ"/>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35"/>
        <w:gridCol w:w="2576"/>
        <w:gridCol w:w="4966"/>
      </w:tblGrid>
      <w:tr w:rsidR="006D6037" w:rsidRPr="0053129E" w14:paraId="33C36D16" w14:textId="77777777" w:rsidTr="003E158D">
        <w:trPr>
          <w:trHeight w:val="663"/>
          <w:tblHeader/>
        </w:trPr>
        <w:tc>
          <w:tcPr>
            <w:tcW w:w="248" w:type="pct"/>
          </w:tcPr>
          <w:p w14:paraId="79B8FB61" w14:textId="77777777" w:rsidR="006D6037" w:rsidRPr="003E158D" w:rsidRDefault="006D6037" w:rsidP="003E158D">
            <w:pPr>
              <w:spacing w:after="0" w:line="240" w:lineRule="auto"/>
              <w:rPr>
                <w:rFonts w:ascii="Arial" w:eastAsia="Times New Roman" w:hAnsi="Arial" w:cs="Arial"/>
                <w:b/>
                <w:bCs/>
                <w:sz w:val="18"/>
                <w:szCs w:val="18"/>
                <w:lang w:eastAsia="cs-CZ"/>
              </w:rPr>
            </w:pPr>
          </w:p>
        </w:tc>
        <w:tc>
          <w:tcPr>
            <w:tcW w:w="2052" w:type="pct"/>
            <w:shd w:val="clear" w:color="auto" w:fill="auto"/>
          </w:tcPr>
          <w:p w14:paraId="4890B631" w14:textId="77777777" w:rsidR="006D6037" w:rsidRPr="003E158D" w:rsidRDefault="006D6037"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Typ nesrovnalosti</w:t>
            </w:r>
          </w:p>
          <w:p w14:paraId="72AA5CAD" w14:textId="77777777" w:rsidR="006D6037" w:rsidRPr="003E158D" w:rsidRDefault="006D6037"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Popis pochybení</w:t>
            </w:r>
          </w:p>
        </w:tc>
        <w:tc>
          <w:tcPr>
            <w:tcW w:w="923" w:type="pct"/>
            <w:shd w:val="clear" w:color="auto" w:fill="auto"/>
          </w:tcPr>
          <w:p w14:paraId="0CB241C0" w14:textId="77777777" w:rsidR="006D6037" w:rsidRPr="003E158D" w:rsidRDefault="006D6037"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 xml:space="preserve">Platné právo / </w:t>
            </w:r>
            <w:r w:rsidR="009907AE" w:rsidRPr="003E158D">
              <w:rPr>
                <w:rFonts w:ascii="Arial" w:eastAsia="Times New Roman" w:hAnsi="Arial" w:cs="Arial"/>
                <w:b/>
                <w:bCs/>
                <w:sz w:val="18"/>
                <w:szCs w:val="18"/>
                <w:lang w:eastAsia="cs-CZ"/>
              </w:rPr>
              <w:t xml:space="preserve">referenční dokument </w:t>
            </w:r>
          </w:p>
        </w:tc>
        <w:tc>
          <w:tcPr>
            <w:tcW w:w="1776" w:type="pct"/>
          </w:tcPr>
          <w:p w14:paraId="2D91219E" w14:textId="77777777" w:rsidR="006D6037" w:rsidRPr="003E158D" w:rsidRDefault="00CE261D" w:rsidP="003E158D">
            <w:pPr>
              <w:spacing w:after="0" w:line="240" w:lineRule="auto"/>
              <w:rPr>
                <w:rFonts w:ascii="Arial" w:eastAsia="Times New Roman" w:hAnsi="Arial" w:cs="Arial"/>
                <w:b/>
                <w:bCs/>
                <w:sz w:val="18"/>
                <w:szCs w:val="18"/>
                <w:lang w:eastAsia="cs-CZ"/>
              </w:rPr>
            </w:pPr>
            <w:r w:rsidRPr="003E158D">
              <w:rPr>
                <w:rFonts w:ascii="Arial" w:eastAsia="Times New Roman" w:hAnsi="Arial" w:cs="Arial"/>
                <w:b/>
                <w:bCs/>
                <w:sz w:val="18"/>
                <w:szCs w:val="18"/>
                <w:lang w:eastAsia="cs-CZ"/>
              </w:rPr>
              <w:t xml:space="preserve">Sazby opravy (korekce či </w:t>
            </w:r>
            <w:r w:rsidR="00F911D5" w:rsidRPr="003E158D">
              <w:rPr>
                <w:rFonts w:ascii="Arial" w:eastAsia="Times New Roman" w:hAnsi="Arial" w:cs="Arial"/>
                <w:b/>
                <w:bCs/>
                <w:sz w:val="18"/>
                <w:szCs w:val="18"/>
                <w:lang w:eastAsia="cs-CZ"/>
              </w:rPr>
              <w:t>nižší</w:t>
            </w:r>
            <w:r w:rsidRPr="003E158D">
              <w:rPr>
                <w:rFonts w:ascii="Arial" w:eastAsia="Times New Roman" w:hAnsi="Arial" w:cs="Arial"/>
                <w:b/>
                <w:bCs/>
                <w:sz w:val="18"/>
                <w:szCs w:val="18"/>
                <w:lang w:eastAsia="cs-CZ"/>
              </w:rPr>
              <w:t xml:space="preserve"> odvod)</w:t>
            </w:r>
            <w:r w:rsidR="006D6037" w:rsidRPr="003E158D">
              <w:rPr>
                <w:rFonts w:ascii="Arial" w:eastAsia="Times New Roman" w:hAnsi="Arial" w:cs="Arial"/>
                <w:b/>
                <w:bCs/>
                <w:sz w:val="18"/>
                <w:szCs w:val="18"/>
                <w:lang w:eastAsia="cs-CZ"/>
              </w:rPr>
              <w:t xml:space="preserve"> </w:t>
            </w:r>
          </w:p>
        </w:tc>
      </w:tr>
      <w:tr w:rsidR="006D6037" w:rsidRPr="006D6037" w14:paraId="6B23DA7A" w14:textId="77777777" w:rsidTr="003E158D">
        <w:trPr>
          <w:trHeight w:val="372"/>
        </w:trPr>
        <w:tc>
          <w:tcPr>
            <w:tcW w:w="248" w:type="pct"/>
          </w:tcPr>
          <w:p w14:paraId="6B3CB1CB" w14:textId="77777777" w:rsidR="006D6037" w:rsidRPr="003E158D" w:rsidRDefault="006D6037" w:rsidP="003E158D">
            <w:pPr>
              <w:autoSpaceDE w:val="0"/>
              <w:autoSpaceDN w:val="0"/>
              <w:adjustRightInd w:val="0"/>
              <w:spacing w:after="0" w:line="240" w:lineRule="auto"/>
              <w:rPr>
                <w:rFonts w:ascii="Arial" w:eastAsia="Times New Roman" w:hAnsi="Arial" w:cs="Arial"/>
                <w:b/>
                <w:sz w:val="18"/>
                <w:szCs w:val="18"/>
                <w:lang w:eastAsia="cs-CZ"/>
              </w:rPr>
            </w:pPr>
            <w:r w:rsidRPr="003E158D">
              <w:rPr>
                <w:rFonts w:ascii="Arial" w:eastAsia="Times New Roman" w:hAnsi="Arial" w:cs="Arial"/>
                <w:b/>
                <w:sz w:val="18"/>
                <w:szCs w:val="18"/>
                <w:lang w:eastAsia="cs-CZ"/>
              </w:rPr>
              <w:t xml:space="preserve">Č. </w:t>
            </w:r>
          </w:p>
        </w:tc>
        <w:tc>
          <w:tcPr>
            <w:tcW w:w="4752" w:type="pct"/>
            <w:gridSpan w:val="3"/>
            <w:shd w:val="clear" w:color="auto" w:fill="auto"/>
          </w:tcPr>
          <w:p w14:paraId="7778AA22" w14:textId="77777777" w:rsidR="006D6037" w:rsidRPr="003E158D" w:rsidRDefault="006D6037" w:rsidP="003E158D">
            <w:pPr>
              <w:autoSpaceDE w:val="0"/>
              <w:autoSpaceDN w:val="0"/>
              <w:adjustRightInd w:val="0"/>
              <w:spacing w:after="0" w:line="240" w:lineRule="auto"/>
              <w:rPr>
                <w:rFonts w:ascii="Arial" w:eastAsia="Times New Roman" w:hAnsi="Arial" w:cs="Arial"/>
                <w:b/>
                <w:sz w:val="18"/>
                <w:szCs w:val="18"/>
                <w:lang w:eastAsia="cs-CZ"/>
              </w:rPr>
            </w:pPr>
            <w:r w:rsidRPr="003E158D">
              <w:rPr>
                <w:rFonts w:ascii="Arial" w:eastAsia="Times New Roman" w:hAnsi="Arial" w:cs="Arial"/>
                <w:b/>
                <w:sz w:val="18"/>
                <w:szCs w:val="18"/>
                <w:lang w:eastAsia="cs-CZ"/>
              </w:rPr>
              <w:t xml:space="preserve">OZNÁMENÍ O ZAKÁZCE A ZADÁVACÍ PODMÍNKY </w:t>
            </w:r>
          </w:p>
        </w:tc>
      </w:tr>
      <w:tr w:rsidR="006D6037" w:rsidRPr="006D6037" w14:paraId="55FDDED2" w14:textId="77777777" w:rsidTr="003E158D">
        <w:trPr>
          <w:trHeight w:val="240"/>
        </w:trPr>
        <w:tc>
          <w:tcPr>
            <w:tcW w:w="248" w:type="pct"/>
          </w:tcPr>
          <w:p w14:paraId="59816B8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w:t>
            </w:r>
          </w:p>
        </w:tc>
        <w:tc>
          <w:tcPr>
            <w:tcW w:w="2052" w:type="pct"/>
            <w:shd w:val="clear" w:color="auto" w:fill="auto"/>
          </w:tcPr>
          <w:p w14:paraId="5507524A" w14:textId="77777777" w:rsidR="006D6037" w:rsidRPr="003E158D" w:rsidRDefault="006D6037" w:rsidP="003E158D">
            <w:pPr>
              <w:autoSpaceDE w:val="0"/>
              <w:autoSpaceDN w:val="0"/>
              <w:adjustRightInd w:val="0"/>
              <w:spacing w:after="0" w:line="240" w:lineRule="auto"/>
              <w:rPr>
                <w:rFonts w:ascii="Arial" w:eastAsia="Times New Roman" w:hAnsi="Arial" w:cs="Arial"/>
                <w:bCs/>
                <w:i/>
                <w:sz w:val="18"/>
                <w:szCs w:val="18"/>
                <w:lang w:eastAsia="cs-CZ"/>
              </w:rPr>
            </w:pPr>
            <w:r w:rsidRPr="003E158D">
              <w:rPr>
                <w:rFonts w:ascii="Arial" w:eastAsia="Times New Roman" w:hAnsi="Arial" w:cs="Arial"/>
                <w:bCs/>
                <w:i/>
                <w:sz w:val="18"/>
                <w:szCs w:val="18"/>
                <w:lang w:eastAsia="cs-CZ"/>
              </w:rPr>
              <w:t>Nezveřejnění oznámení o zakázce</w:t>
            </w:r>
          </w:p>
          <w:p w14:paraId="14ECD3D3" w14:textId="77777777" w:rsidR="006D6037" w:rsidRPr="003E158D" w:rsidRDefault="006D6037" w:rsidP="003E158D">
            <w:pPr>
              <w:autoSpaceDE w:val="0"/>
              <w:autoSpaceDN w:val="0"/>
              <w:adjustRightInd w:val="0"/>
              <w:spacing w:after="0" w:line="240" w:lineRule="auto"/>
              <w:rPr>
                <w:rFonts w:ascii="Arial" w:eastAsia="Times New Roman" w:hAnsi="Arial" w:cs="Arial"/>
                <w:bCs/>
                <w:i/>
                <w:sz w:val="18"/>
                <w:szCs w:val="18"/>
                <w:lang w:eastAsia="cs-CZ"/>
              </w:rPr>
            </w:pPr>
          </w:p>
          <w:p w14:paraId="5C87118E" w14:textId="77777777" w:rsidR="006D6037" w:rsidRPr="003E158D" w:rsidRDefault="006D6037" w:rsidP="003E158D">
            <w:pPr>
              <w:autoSpaceDE w:val="0"/>
              <w:autoSpaceDN w:val="0"/>
              <w:adjustRightInd w:val="0"/>
              <w:spacing w:after="0" w:line="240" w:lineRule="auto"/>
              <w:rPr>
                <w:rFonts w:ascii="Arial" w:eastAsia="Times New Roman" w:hAnsi="Arial" w:cs="Arial"/>
                <w:bCs/>
                <w:sz w:val="18"/>
                <w:szCs w:val="18"/>
                <w:u w:val="single"/>
                <w:lang w:eastAsia="cs-CZ"/>
              </w:rPr>
            </w:pPr>
            <w:r w:rsidRPr="003E158D">
              <w:rPr>
                <w:rFonts w:ascii="Arial" w:eastAsia="Times New Roman" w:hAnsi="Arial" w:cs="Arial"/>
                <w:bCs/>
                <w:sz w:val="18"/>
                <w:szCs w:val="18"/>
                <w:u w:val="single"/>
                <w:lang w:eastAsia="cs-CZ"/>
              </w:rPr>
              <w:t xml:space="preserve">Oznámení o zakázce nebylo zveřejněno v souladu s příslušnými právními předpisy (např. zveřejnění v Úředním věstníku Evropské unie (dále jen „Úřední věstník EU“), pokud to směrnice[1] vyžadují). </w:t>
            </w:r>
            <w:r w:rsidRPr="003E158D">
              <w:rPr>
                <w:rFonts w:ascii="Arial" w:eastAsia="Times New Roman" w:hAnsi="Arial" w:cs="Arial"/>
                <w:bCs/>
                <w:sz w:val="18"/>
                <w:szCs w:val="18"/>
                <w:u w:val="single"/>
                <w:lang w:eastAsia="cs-CZ"/>
              </w:rPr>
              <w:cr/>
            </w:r>
          </w:p>
          <w:p w14:paraId="44B94E80" w14:textId="77777777" w:rsidR="006D6037" w:rsidRPr="003E158D" w:rsidRDefault="006D6037" w:rsidP="003E158D">
            <w:pPr>
              <w:autoSpaceDE w:val="0"/>
              <w:autoSpaceDN w:val="0"/>
              <w:adjustRightInd w:val="0"/>
              <w:spacing w:after="0" w:line="240" w:lineRule="auto"/>
              <w:rPr>
                <w:rFonts w:ascii="Arial" w:eastAsia="Times New Roman" w:hAnsi="Arial" w:cs="Arial"/>
                <w:bCs/>
                <w:i/>
                <w:sz w:val="18"/>
                <w:szCs w:val="18"/>
                <w:lang w:eastAsia="cs-CZ"/>
              </w:rPr>
            </w:pPr>
          </w:p>
          <w:p w14:paraId="14055D25" w14:textId="77777777" w:rsidR="006D6037" w:rsidRPr="003E158D" w:rsidRDefault="006D6037" w:rsidP="003E158D">
            <w:pPr>
              <w:autoSpaceDE w:val="0"/>
              <w:autoSpaceDN w:val="0"/>
              <w:adjustRightInd w:val="0"/>
              <w:spacing w:after="0" w:line="240" w:lineRule="auto"/>
              <w:rPr>
                <w:rFonts w:ascii="Arial" w:eastAsia="Times New Roman" w:hAnsi="Arial" w:cs="Arial"/>
                <w:bCs/>
                <w:i/>
                <w:sz w:val="18"/>
                <w:szCs w:val="18"/>
                <w:lang w:eastAsia="cs-CZ"/>
              </w:rPr>
            </w:pPr>
          </w:p>
        </w:tc>
        <w:tc>
          <w:tcPr>
            <w:tcW w:w="923" w:type="pct"/>
            <w:shd w:val="clear" w:color="auto" w:fill="auto"/>
          </w:tcPr>
          <w:p w14:paraId="2CD3035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color w:val="000000"/>
                <w:sz w:val="18"/>
                <w:szCs w:val="18"/>
                <w:lang w:eastAsia="cs-CZ"/>
              </w:rPr>
              <w:t>Články 35 a 58 směrnice 2004/18/ES Článek 42 směrnice 2004/17/ES Oddíl 2.1 interpretačního sdělení Komise č. 2006/C 179/02</w:t>
            </w:r>
          </w:p>
        </w:tc>
        <w:tc>
          <w:tcPr>
            <w:tcW w:w="1776" w:type="pct"/>
          </w:tcPr>
          <w:p w14:paraId="36343BEF"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bCs/>
                <w:sz w:val="18"/>
                <w:szCs w:val="18"/>
                <w:lang w:eastAsia="cs-CZ"/>
              </w:rPr>
            </w:pPr>
            <w:r w:rsidRPr="003E158D">
              <w:rPr>
                <w:rFonts w:ascii="Arial" w:eastAsia="Times New Roman" w:hAnsi="Arial" w:cs="Arial"/>
                <w:bCs/>
                <w:sz w:val="18"/>
                <w:szCs w:val="18"/>
                <w:lang w:eastAsia="cs-CZ"/>
              </w:rPr>
              <w:t>100%</w:t>
            </w:r>
          </w:p>
          <w:p w14:paraId="0CEC080F"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bCs/>
                <w:sz w:val="18"/>
                <w:szCs w:val="18"/>
                <w:lang w:eastAsia="cs-CZ"/>
              </w:rPr>
            </w:pPr>
            <w:r w:rsidRPr="003E158D">
              <w:rPr>
                <w:rFonts w:ascii="Arial" w:eastAsia="Times New Roman" w:hAnsi="Arial" w:cs="Arial"/>
                <w:bCs/>
                <w:sz w:val="18"/>
                <w:szCs w:val="18"/>
                <w:lang w:eastAsia="cs-CZ"/>
              </w:rPr>
              <w:t xml:space="preserve">25 %, pokud zveřejnění oznámení o zakázce vyžadují směrnice a oznámení o zakázce nebylo zveřejněno v Úředním věstníku Evropské unie, ale bylo zveřejněno takovým způsobem, aby bylo zajištěno, že podnik nacházející se na území jiného členského státu měl přístup k příslušným informacím týkajícím se zakázky ještě před tím, než byla udělena, tak aby mohl podat nabídku nebo dát najevo svůj zájem o získání této zakázky. V praxi to znamená, že buď bylo oznámení o zakázce zveřejněno na </w:t>
            </w:r>
            <w:r w:rsidRPr="003E158D">
              <w:rPr>
                <w:rFonts w:ascii="Arial" w:eastAsia="Times New Roman" w:hAnsi="Arial" w:cs="Arial"/>
                <w:bCs/>
                <w:sz w:val="18"/>
                <w:szCs w:val="18"/>
                <w:lang w:eastAsia="cs-CZ"/>
              </w:rPr>
              <w:lastRenderedPageBreak/>
              <w:t>vnitrostátní úrovni (podle vnitrostátních právních předpisů nebo pravidel v tomto ohledu), nebo byly dodrženy základní normy pro zveřejňování oznámení o zakázkách. Další podrobnosti o těchto normách obsahuje oddíl 2.1 interpretačního sdělení Komise č. 2006/C 179/02.</w:t>
            </w:r>
          </w:p>
        </w:tc>
      </w:tr>
      <w:tr w:rsidR="006D6037" w:rsidRPr="006D6037" w14:paraId="75AD18F6" w14:textId="77777777" w:rsidTr="003E158D">
        <w:trPr>
          <w:trHeight w:val="240"/>
        </w:trPr>
        <w:tc>
          <w:tcPr>
            <w:tcW w:w="248" w:type="pct"/>
          </w:tcPr>
          <w:p w14:paraId="075A010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8.1.2</w:t>
            </w:r>
          </w:p>
        </w:tc>
        <w:tc>
          <w:tcPr>
            <w:tcW w:w="2052" w:type="pct"/>
            <w:shd w:val="clear" w:color="auto" w:fill="auto"/>
          </w:tcPr>
          <w:p w14:paraId="22E6EC4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Umělé rozdělení zakázek na práce / služby / dodávky</w:t>
            </w:r>
          </w:p>
          <w:p w14:paraId="1002F4C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p>
          <w:p w14:paraId="5C75245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Projekt prací nebo navrhovaný nákup určitého množství dodávek nebo služeb je dále rozdělen, následkem čehož se dostane mimo oblast působnosti směrnic, takže celý soubor dotčených prací, služeb nebo dodávek není zveřejněn v Úředním věstníku EU.</w:t>
            </w:r>
          </w:p>
        </w:tc>
        <w:tc>
          <w:tcPr>
            <w:tcW w:w="923" w:type="pct"/>
            <w:shd w:val="clear" w:color="auto" w:fill="auto"/>
          </w:tcPr>
          <w:p w14:paraId="1501458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color w:val="000000"/>
                <w:sz w:val="18"/>
                <w:szCs w:val="18"/>
                <w:lang w:eastAsia="cs-CZ"/>
              </w:rPr>
              <w:t>Čl. 9 odst. 3 směrnice 2004/18/ES Čl. 17 odst. 2 směrnice 2004/17/ES</w:t>
            </w:r>
          </w:p>
        </w:tc>
        <w:tc>
          <w:tcPr>
            <w:tcW w:w="1776" w:type="pct"/>
          </w:tcPr>
          <w:p w14:paraId="6CD6016B"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100%</w:t>
            </w:r>
          </w:p>
          <w:p w14:paraId="690165D9"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 pokud zveřejnění oznámení o zakázce vyžadují směrnice a oznámení o zakázce nebylo zveřejněno v Úředním věstníku Evropské unie, ale bylo zveřejněno takovým způsobem, aby bylo zajištěno, že podnik nacházející se na území jiného členského státu měl přístup k příslušným informacím týkajícím se zakázky ještě před tím, než byla udělena, tak aby mohl podat nabídku nebo dát najevo svůj zájem o získání této zakázky. V praxi to znamená, že buď bylo oznámení o zakázce zveřejněno na vnitrostátní úrovni (podle vnitrostátních právních předpisů nebo pravidel v tomto ohledu), nebo byly dodrženy základní normy pro zveřejňování oznámení o zakázkách. Další podrobnosti o těchto normách obsahuje oddíl 2.1 interpretačního sdělení Komise č. 2006/C 179/02.</w:t>
            </w:r>
          </w:p>
        </w:tc>
      </w:tr>
      <w:tr w:rsidR="006D6037" w:rsidRPr="006D6037" w14:paraId="00C54D0B" w14:textId="77777777" w:rsidTr="003E158D">
        <w:trPr>
          <w:trHeight w:val="176"/>
        </w:trPr>
        <w:tc>
          <w:tcPr>
            <w:tcW w:w="248" w:type="pct"/>
          </w:tcPr>
          <w:p w14:paraId="0CA37B20"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8.1.3</w:t>
            </w:r>
          </w:p>
        </w:tc>
        <w:tc>
          <w:tcPr>
            <w:tcW w:w="2052" w:type="pct"/>
            <w:shd w:val="clear" w:color="auto" w:fill="auto"/>
          </w:tcPr>
          <w:p w14:paraId="76B72183"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Nedodržení</w:t>
            </w:r>
          </w:p>
          <w:p w14:paraId="6A8D82D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 lhůt pro doručení nabídek,</w:t>
            </w:r>
          </w:p>
          <w:p w14:paraId="51E173CE"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nebo</w:t>
            </w:r>
          </w:p>
          <w:p w14:paraId="51248FC9"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 lhůt pro doručení žádostí o účast[2]</w:t>
            </w:r>
            <w:r w:rsidRPr="003E158D">
              <w:rPr>
                <w:rFonts w:ascii="Arial" w:eastAsia="Times New Roman" w:hAnsi="Arial" w:cs="Arial"/>
                <w:i/>
                <w:sz w:val="18"/>
                <w:szCs w:val="18"/>
                <w:lang w:eastAsia="cs-CZ"/>
              </w:rPr>
              <w:cr/>
            </w:r>
          </w:p>
          <w:p w14:paraId="02ACE5B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Lhůty pro doručení nabídek (nebo doručení žádostí o účast) byly kratší než lhůty stanovené ve směrnicích.    </w:t>
            </w:r>
          </w:p>
        </w:tc>
        <w:tc>
          <w:tcPr>
            <w:tcW w:w="923" w:type="pct"/>
            <w:shd w:val="clear" w:color="auto" w:fill="auto"/>
          </w:tcPr>
          <w:p w14:paraId="3DF5733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38 směrnice 2004/18/ES Článek 45 směrnice 2004/17/ES</w:t>
            </w:r>
          </w:p>
        </w:tc>
        <w:tc>
          <w:tcPr>
            <w:tcW w:w="1776" w:type="pct"/>
          </w:tcPr>
          <w:p w14:paraId="0C513D9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 pokud zkrácení lhůt &gt;= 50 %</w:t>
            </w:r>
          </w:p>
          <w:p w14:paraId="23B41D46"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4FD3DD59"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10 %, pokud zkrácení lhůt &gt;= 30 %</w:t>
            </w:r>
          </w:p>
          <w:p w14:paraId="0DDF6DC9"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4F83725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5 % v případě jakéhokoli jiného zkrácení lhůt (tuto sazbu opravy lze snížit na 2 % až 5 %, pokud povaha a závažnost nedostatku neodůvodňuje 5% sazbu opravy).</w:t>
            </w:r>
          </w:p>
        </w:tc>
      </w:tr>
      <w:tr w:rsidR="006D6037" w:rsidRPr="006D6037" w14:paraId="5433138A" w14:textId="77777777" w:rsidTr="003E158D">
        <w:trPr>
          <w:trHeight w:val="832"/>
        </w:trPr>
        <w:tc>
          <w:tcPr>
            <w:tcW w:w="248" w:type="pct"/>
          </w:tcPr>
          <w:p w14:paraId="2C295AA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8.1.4</w:t>
            </w:r>
          </w:p>
        </w:tc>
        <w:tc>
          <w:tcPr>
            <w:tcW w:w="2052" w:type="pct"/>
            <w:shd w:val="clear" w:color="auto" w:fill="auto"/>
          </w:tcPr>
          <w:p w14:paraId="49870F89"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Nedostatečná doba k tomu, aby si potenciální uchazeči nebo zájemci opatřili zadávací dokumentaci</w:t>
            </w:r>
          </w:p>
          <w:p w14:paraId="5D6BC47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p>
          <w:p w14:paraId="0A5CC22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Doba k tomu, aby si potenciální uchazeči nebo zájemci opatřili zadávací dokumentaci, je příliš krátká, a vytváří tak neodůvodněnou překážku pro otevření veřejné zakázky hospodářské soutěži. Opravy se uplatňují na individuálním základě. Při určování výše opravy se zohlední případné polehčující faktory vztahující se k specifičnosti a složitosti zakázky, zejména možná administrativní zátěž nebo obtíže s poskytováním zadávací dokumentace.      </w:t>
            </w:r>
          </w:p>
          <w:p w14:paraId="239213F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36158A0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tc>
        <w:tc>
          <w:tcPr>
            <w:tcW w:w="923" w:type="pct"/>
            <w:shd w:val="clear" w:color="auto" w:fill="auto"/>
          </w:tcPr>
          <w:p w14:paraId="735C31E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32F49B68" w14:textId="77777777" w:rsidR="006D6037" w:rsidRPr="003E158D" w:rsidRDefault="006D6037" w:rsidP="003E158D">
            <w:pPr>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39 odst. 1 směrnice 2004/18/ES Čl. 46 odst. 1 směrnice 2004/17/ES</w:t>
            </w:r>
          </w:p>
        </w:tc>
        <w:tc>
          <w:tcPr>
            <w:tcW w:w="1776" w:type="pct"/>
          </w:tcPr>
          <w:p w14:paraId="6CFAA8BD"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 je-li doba, do kdy si potenciální uchazeči nebo zájemci musí opatřit zadávací dokumentaci, kratší než 50 % lhůt pro doručení nabídek (v souladu s příslušnými předpisy).</w:t>
            </w:r>
          </w:p>
          <w:p w14:paraId="67285132"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10BFD2CB"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10 %, je-li doba, do kdy si potenciální uchazeči nebo zájemci musí opatřit zadávací dokumentaci, kratší než 60 % lhůt pro doručení nabídek (v souladu s příslušnými předpisy).</w:t>
            </w:r>
          </w:p>
          <w:p w14:paraId="2A06713E"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5 %, je-li doba, do kdy si potenciální uchazeči nebo zájemci musí opatřit zadávací dokumentaci, kratší než 80 % lhůt pro doručení nabídek (v souladu s příslušnými předpisy).</w:t>
            </w:r>
          </w:p>
        </w:tc>
      </w:tr>
      <w:tr w:rsidR="006D6037" w:rsidRPr="006D6037" w14:paraId="4B7A4CEB" w14:textId="77777777" w:rsidTr="003E158D">
        <w:trPr>
          <w:trHeight w:val="240"/>
        </w:trPr>
        <w:tc>
          <w:tcPr>
            <w:tcW w:w="248" w:type="pct"/>
          </w:tcPr>
          <w:p w14:paraId="468181E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8.1.5</w:t>
            </w:r>
          </w:p>
        </w:tc>
        <w:tc>
          <w:tcPr>
            <w:tcW w:w="2052" w:type="pct"/>
            <w:shd w:val="clear" w:color="auto" w:fill="auto"/>
          </w:tcPr>
          <w:p w14:paraId="71625768"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Nedostatečné zveřejnění (nezveřejnění)</w:t>
            </w:r>
          </w:p>
          <w:p w14:paraId="64C029B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 prodloužených lhůt pro doručení nabídek,</w:t>
            </w:r>
          </w:p>
          <w:p w14:paraId="3B0D31EA"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nebo</w:t>
            </w:r>
          </w:p>
          <w:p w14:paraId="0440AF1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u w:val="single"/>
                <w:lang w:eastAsia="cs-CZ"/>
              </w:rPr>
            </w:pPr>
            <w:r w:rsidRPr="003E158D">
              <w:rPr>
                <w:rFonts w:ascii="Arial" w:eastAsia="Times New Roman" w:hAnsi="Arial" w:cs="Arial"/>
                <w:i/>
                <w:sz w:val="18"/>
                <w:szCs w:val="18"/>
                <w:u w:val="single"/>
                <w:lang w:eastAsia="cs-CZ"/>
              </w:rPr>
              <w:t>– prodloužených lhůt pro doručení žádostí o účast[3]</w:t>
            </w:r>
            <w:r w:rsidRPr="003E158D">
              <w:rPr>
                <w:rFonts w:ascii="Arial" w:eastAsia="Times New Roman" w:hAnsi="Arial" w:cs="Arial"/>
                <w:i/>
                <w:sz w:val="18"/>
                <w:szCs w:val="18"/>
                <w:u w:val="single"/>
                <w:lang w:eastAsia="cs-CZ"/>
              </w:rPr>
              <w:cr/>
            </w:r>
          </w:p>
          <w:p w14:paraId="408980A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Lhůty pro doručení nabídek (nebo doručení žádostí o účast) byly prodlouženy bez zveřejnění v souladu s příslušnými právními předpisy (tj. zveřejnění v Úředním věstníku EU, jestliže se na veřejnou zakázku vztahují směrnice).   </w:t>
            </w:r>
          </w:p>
        </w:tc>
        <w:tc>
          <w:tcPr>
            <w:tcW w:w="923" w:type="pct"/>
            <w:shd w:val="clear" w:color="auto" w:fill="auto"/>
          </w:tcPr>
          <w:p w14:paraId="7618B60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2 a čl. 38 odst. 7 směrnice 2004/18/ES Čl. 10 a čl. 45 odst. 9 směrnice 2004/17/ES</w:t>
            </w:r>
          </w:p>
        </w:tc>
        <w:tc>
          <w:tcPr>
            <w:tcW w:w="1776" w:type="pct"/>
          </w:tcPr>
          <w:p w14:paraId="2D0CB31E"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w:t>
            </w:r>
          </w:p>
          <w:p w14:paraId="5B4047C2"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4C0DD0B7"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5 % podle závažnosti dané nesrovnalosti.</w:t>
            </w:r>
          </w:p>
          <w:p w14:paraId="490CE442"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0E9D8169"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tc>
      </w:tr>
      <w:tr w:rsidR="006D6037" w:rsidRPr="006D6037" w14:paraId="5C55B39C" w14:textId="77777777" w:rsidTr="003E158D">
        <w:trPr>
          <w:trHeight w:val="420"/>
        </w:trPr>
        <w:tc>
          <w:tcPr>
            <w:tcW w:w="248" w:type="pct"/>
          </w:tcPr>
          <w:p w14:paraId="2DE5C0E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8.1.6</w:t>
            </w:r>
          </w:p>
        </w:tc>
        <w:tc>
          <w:tcPr>
            <w:tcW w:w="2052" w:type="pct"/>
            <w:shd w:val="clear" w:color="auto" w:fill="auto"/>
          </w:tcPr>
          <w:p w14:paraId="6226C046" w14:textId="77777777" w:rsidR="006D6037" w:rsidRPr="003E158D" w:rsidRDefault="006D6037" w:rsidP="003E158D">
            <w:pPr>
              <w:autoSpaceDE w:val="0"/>
              <w:autoSpaceDN w:val="0"/>
              <w:adjustRightInd w:val="0"/>
              <w:spacing w:after="0" w:line="240" w:lineRule="auto"/>
              <w:rPr>
                <w:rFonts w:ascii="Arial" w:eastAsia="Times New Roman" w:hAnsi="Arial" w:cs="Arial"/>
                <w:i/>
                <w:color w:val="000000"/>
                <w:sz w:val="18"/>
                <w:szCs w:val="18"/>
                <w:lang w:eastAsia="cs-CZ"/>
              </w:rPr>
            </w:pPr>
            <w:r w:rsidRPr="003E158D">
              <w:rPr>
                <w:rFonts w:ascii="Arial" w:eastAsia="Times New Roman" w:hAnsi="Arial" w:cs="Arial"/>
                <w:i/>
                <w:color w:val="000000"/>
                <w:sz w:val="18"/>
                <w:szCs w:val="18"/>
                <w:lang w:eastAsia="cs-CZ"/>
              </w:rPr>
              <w:t xml:space="preserve">Případy neodůvodňující použití jednacího řízení s předchozím zveřejněním oznámení o zakázce. </w:t>
            </w:r>
          </w:p>
          <w:p w14:paraId="03AB3385" w14:textId="77777777" w:rsidR="006D6037" w:rsidRPr="003E158D" w:rsidRDefault="006D6037" w:rsidP="003E158D">
            <w:pPr>
              <w:autoSpaceDE w:val="0"/>
              <w:autoSpaceDN w:val="0"/>
              <w:adjustRightInd w:val="0"/>
              <w:spacing w:after="0" w:line="240" w:lineRule="auto"/>
              <w:rPr>
                <w:rFonts w:ascii="Arial" w:eastAsia="Times New Roman" w:hAnsi="Arial" w:cs="Arial"/>
                <w:i/>
                <w:color w:val="000000"/>
                <w:sz w:val="18"/>
                <w:szCs w:val="18"/>
                <w:lang w:eastAsia="cs-CZ"/>
              </w:rPr>
            </w:pPr>
          </w:p>
          <w:p w14:paraId="59E432FB" w14:textId="77777777" w:rsidR="006D6037" w:rsidRPr="003E158D" w:rsidRDefault="006D6037" w:rsidP="003E158D">
            <w:pPr>
              <w:autoSpaceDE w:val="0"/>
              <w:autoSpaceDN w:val="0"/>
              <w:adjustRightInd w:val="0"/>
              <w:spacing w:after="0" w:line="240" w:lineRule="auto"/>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 xml:space="preserve">Zadavatel přidělí veřejnou zakázku v jednacím řízení po zveřejnění oznámení o zakázce, avšak tento postup není odůvodněn příslušnými ustanoveními.                 </w:t>
            </w:r>
          </w:p>
        </w:tc>
        <w:tc>
          <w:tcPr>
            <w:tcW w:w="923" w:type="pct"/>
            <w:shd w:val="clear" w:color="auto" w:fill="auto"/>
          </w:tcPr>
          <w:p w14:paraId="2284B3D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30 odst. 1 směrnice 2004/18/ES</w:t>
            </w:r>
          </w:p>
        </w:tc>
        <w:tc>
          <w:tcPr>
            <w:tcW w:w="1776" w:type="pct"/>
          </w:tcPr>
          <w:p w14:paraId="57F3B46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w:t>
            </w:r>
          </w:p>
          <w:p w14:paraId="3B5C3B2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753EF621" w14:textId="77777777" w:rsidTr="003E158D">
        <w:trPr>
          <w:trHeight w:val="832"/>
        </w:trPr>
        <w:tc>
          <w:tcPr>
            <w:tcW w:w="248" w:type="pct"/>
          </w:tcPr>
          <w:p w14:paraId="5ED8583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8.1.7</w:t>
            </w:r>
          </w:p>
        </w:tc>
        <w:tc>
          <w:tcPr>
            <w:tcW w:w="2052" w:type="pct"/>
            <w:shd w:val="clear" w:color="auto" w:fill="auto"/>
          </w:tcPr>
          <w:p w14:paraId="2CBD0914"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Zvláště u zadávání zakázek v oblasti obrany a bezpečnosti, na něž se vztahuje směrnice 2009/81/ES,</w:t>
            </w:r>
          </w:p>
          <w:p w14:paraId="6B12089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 </w:t>
            </w:r>
          </w:p>
          <w:p w14:paraId="2DE0C89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Nedostatečně zdůvodněné nezveřejnění oznámení o zakázce - Zadavatel zadává veřejnou zakázku i prostřednictvím soutěžního dialogu nebo jednacího řízení bez zveřejnění oznámení o zakázce, ovšem okolnosti použití takového řízení neodůvodňují.</w:t>
            </w:r>
          </w:p>
        </w:tc>
        <w:tc>
          <w:tcPr>
            <w:tcW w:w="923" w:type="pct"/>
            <w:shd w:val="clear" w:color="auto" w:fill="auto"/>
          </w:tcPr>
          <w:p w14:paraId="237C688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Směrnice 2009/81/ES</w:t>
            </w:r>
          </w:p>
        </w:tc>
        <w:tc>
          <w:tcPr>
            <w:tcW w:w="1776" w:type="pct"/>
          </w:tcPr>
          <w:p w14:paraId="76C2DFCD"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100%</w:t>
            </w:r>
          </w:p>
          <w:p w14:paraId="2D10B6BB"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25 %, 10 % nebo 5 % podle závažnosti dané nesrovnalosti.</w:t>
            </w:r>
          </w:p>
        </w:tc>
      </w:tr>
      <w:tr w:rsidR="006D6037" w:rsidRPr="006D6037" w14:paraId="55384E09" w14:textId="77777777" w:rsidTr="003E158D">
        <w:trPr>
          <w:trHeight w:val="535"/>
        </w:trPr>
        <w:tc>
          <w:tcPr>
            <w:tcW w:w="248" w:type="pct"/>
          </w:tcPr>
          <w:p w14:paraId="0B7533C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8.1.8</w:t>
            </w:r>
          </w:p>
        </w:tc>
        <w:tc>
          <w:tcPr>
            <w:tcW w:w="2052" w:type="pct"/>
            <w:shd w:val="clear" w:color="auto" w:fill="auto"/>
          </w:tcPr>
          <w:p w14:paraId="2A50CA7D"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Neuvedení:</w:t>
            </w:r>
          </w:p>
          <w:p w14:paraId="7874EBC8"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 kritérií pro výběr v oznámení o zakázce,</w:t>
            </w:r>
          </w:p>
          <w:p w14:paraId="388657B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a/nebo</w:t>
            </w:r>
          </w:p>
          <w:p w14:paraId="14DFA4EE"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 kritérií pro zadání zakázky (a jejich váhu) v oznámení o zakázce nebo v zadávacích podmínkách</w:t>
            </w:r>
          </w:p>
          <w:p w14:paraId="62C700B2"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p>
          <w:p w14:paraId="07729C6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Oznámení o zakázce nestanoví kritéria pro výběr a/nebo pokud ani oznámení o zakázce, ani zadávací podmínky nepopisují dostatečně podrobně kritéria pro zadání zakázky a jejich váhu.   </w:t>
            </w:r>
          </w:p>
        </w:tc>
        <w:tc>
          <w:tcPr>
            <w:tcW w:w="923" w:type="pct"/>
            <w:shd w:val="clear" w:color="auto" w:fill="auto"/>
          </w:tcPr>
          <w:p w14:paraId="52E62EC5" w14:textId="2EBB56E8"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Články 36, 44, 45 až 50 a 53 směrnice 2004/1</w:t>
            </w:r>
            <w:r w:rsidR="0015379B">
              <w:rPr>
                <w:rFonts w:ascii="Arial" w:eastAsia="Times New Roman" w:hAnsi="Arial" w:cs="Arial"/>
                <w:sz w:val="18"/>
                <w:szCs w:val="18"/>
                <w:lang w:eastAsia="cs-CZ"/>
              </w:rPr>
              <w:t>8/ES a její přílohy VII A (ozná</w:t>
            </w:r>
            <w:r w:rsidRPr="003E158D">
              <w:rPr>
                <w:rFonts w:ascii="Arial" w:eastAsia="Times New Roman" w:hAnsi="Arial" w:cs="Arial"/>
                <w:sz w:val="18"/>
                <w:szCs w:val="18"/>
                <w:lang w:eastAsia="cs-CZ"/>
              </w:rPr>
              <w:t>mení o veřejné zakázce: body 17 a 23) a VII B (oznámení o koncesi na stavební práce: bod 5). Články 42, 54 a 55 a Příloha XIII směrnice 2004/17/ES § 6, 44, 50, 78 ZVZ a 53 směrnice 2004/18/ES</w:t>
            </w:r>
          </w:p>
        </w:tc>
        <w:tc>
          <w:tcPr>
            <w:tcW w:w="1776" w:type="pct"/>
          </w:tcPr>
          <w:p w14:paraId="639D2D3B"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w:t>
            </w:r>
          </w:p>
          <w:p w14:paraId="1FDD1F5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jestliže byla kritéria pro výběr nebo kritéria pro zadání zakázky uvedena v oznámení o zakázce (nebo v zadávacích podmínkách, pokud jde o kritéria pro zadání zakázky), avšak nikoli dostatečně podrobně.</w:t>
            </w:r>
          </w:p>
          <w:p w14:paraId="0107ACC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1E7B871D"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03FB27F3"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tc>
      </w:tr>
      <w:tr w:rsidR="006D6037" w:rsidRPr="006D6037" w14:paraId="74E8662F" w14:textId="77777777" w:rsidTr="003E158D">
        <w:trPr>
          <w:trHeight w:val="832"/>
        </w:trPr>
        <w:tc>
          <w:tcPr>
            <w:tcW w:w="248" w:type="pct"/>
          </w:tcPr>
          <w:p w14:paraId="6C168CA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8.1.9</w:t>
            </w:r>
          </w:p>
        </w:tc>
        <w:tc>
          <w:tcPr>
            <w:tcW w:w="2052" w:type="pct"/>
            <w:shd w:val="clear" w:color="auto" w:fill="auto"/>
          </w:tcPr>
          <w:p w14:paraId="381F52BD" w14:textId="77777777" w:rsidR="006D6037" w:rsidRPr="003E158D" w:rsidRDefault="006D6037" w:rsidP="003E158D">
            <w:pPr>
              <w:autoSpaceDE w:val="0"/>
              <w:autoSpaceDN w:val="0"/>
              <w:adjustRightInd w:val="0"/>
              <w:spacing w:after="0" w:line="240" w:lineRule="auto"/>
              <w:ind w:right="-108"/>
              <w:rPr>
                <w:rFonts w:ascii="Arial" w:eastAsia="Times New Roman" w:hAnsi="Arial" w:cs="Arial"/>
                <w:i/>
                <w:sz w:val="18"/>
                <w:szCs w:val="18"/>
                <w:lang w:eastAsia="cs-CZ"/>
              </w:rPr>
            </w:pPr>
            <w:r w:rsidRPr="003E158D">
              <w:rPr>
                <w:rFonts w:ascii="Arial" w:eastAsia="Times New Roman" w:hAnsi="Arial" w:cs="Arial"/>
                <w:i/>
                <w:sz w:val="18"/>
                <w:szCs w:val="18"/>
                <w:lang w:eastAsia="cs-CZ"/>
              </w:rPr>
              <w:t>Protiprávní a/nebo diskriminační kritéria pro výběr a/nebo kritéria pro zadání zakázky stanovená v oznámení o zakázce nebo v zadávací dokumentaci</w:t>
            </w:r>
          </w:p>
          <w:p w14:paraId="24B5F59A" w14:textId="77777777" w:rsidR="006D6037" w:rsidRPr="003E158D" w:rsidRDefault="006D6037" w:rsidP="003E158D">
            <w:pPr>
              <w:autoSpaceDE w:val="0"/>
              <w:autoSpaceDN w:val="0"/>
              <w:adjustRightInd w:val="0"/>
              <w:spacing w:after="0" w:line="240" w:lineRule="auto"/>
              <w:ind w:right="-108"/>
              <w:rPr>
                <w:rFonts w:ascii="Arial" w:eastAsia="Times New Roman" w:hAnsi="Arial" w:cs="Arial"/>
                <w:sz w:val="18"/>
                <w:szCs w:val="18"/>
                <w:lang w:eastAsia="cs-CZ"/>
              </w:rPr>
            </w:pPr>
            <w:r w:rsidRPr="003E158D">
              <w:rPr>
                <w:rFonts w:ascii="Arial" w:eastAsia="Times New Roman" w:hAnsi="Arial" w:cs="Arial"/>
                <w:sz w:val="18"/>
                <w:szCs w:val="18"/>
                <w:lang w:eastAsia="cs-CZ"/>
              </w:rPr>
              <w:t>Případy, kdy byly hospodářské subjekty odrazeny od podání nabídky v důsledku nezákonných kritérií pro výběr a/nebo kritérií pro zadání zakázky stanovených v oznámení o zakázce nebo v zadávací dokumentaci. Například:</w:t>
            </w:r>
          </w:p>
          <w:p w14:paraId="739BDFB9" w14:textId="77777777" w:rsidR="006D6037" w:rsidRPr="003E158D" w:rsidRDefault="006D6037" w:rsidP="003E158D">
            <w:pPr>
              <w:autoSpaceDE w:val="0"/>
              <w:autoSpaceDN w:val="0"/>
              <w:adjustRightInd w:val="0"/>
              <w:spacing w:after="0" w:line="240" w:lineRule="auto"/>
              <w:ind w:right="-108"/>
              <w:rPr>
                <w:rFonts w:ascii="Arial" w:eastAsia="Times New Roman" w:hAnsi="Arial" w:cs="Arial"/>
                <w:sz w:val="18"/>
                <w:szCs w:val="18"/>
                <w:lang w:eastAsia="cs-CZ"/>
              </w:rPr>
            </w:pPr>
          </w:p>
          <w:p w14:paraId="3DE2A0B0" w14:textId="77777777" w:rsidR="006D6037" w:rsidRPr="003E158D" w:rsidRDefault="006D6037" w:rsidP="003E158D">
            <w:pPr>
              <w:autoSpaceDE w:val="0"/>
              <w:autoSpaceDN w:val="0"/>
              <w:adjustRightInd w:val="0"/>
              <w:spacing w:after="0" w:line="240" w:lineRule="auto"/>
              <w:ind w:right="-108"/>
              <w:rPr>
                <w:rFonts w:ascii="Arial" w:eastAsia="Times New Roman" w:hAnsi="Arial" w:cs="Arial"/>
                <w:sz w:val="18"/>
                <w:szCs w:val="18"/>
                <w:lang w:eastAsia="cs-CZ"/>
              </w:rPr>
            </w:pPr>
            <w:r w:rsidRPr="003E158D">
              <w:rPr>
                <w:rFonts w:ascii="Arial" w:eastAsia="Times New Roman" w:hAnsi="Arial" w:cs="Arial"/>
                <w:sz w:val="18"/>
                <w:szCs w:val="18"/>
                <w:lang w:eastAsia="cs-CZ"/>
              </w:rPr>
              <w:t>– povinnost již mít provozovnu nebo zástupce v zemi nebo regionu,</w:t>
            </w:r>
          </w:p>
          <w:p w14:paraId="3A3B49BE" w14:textId="77777777" w:rsidR="006D6037" w:rsidRPr="003E158D" w:rsidRDefault="006D6037" w:rsidP="003E158D">
            <w:pPr>
              <w:autoSpaceDE w:val="0"/>
              <w:autoSpaceDN w:val="0"/>
              <w:adjustRightInd w:val="0"/>
              <w:spacing w:after="0" w:line="240" w:lineRule="auto"/>
              <w:ind w:right="-108"/>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 již nabyté zkušenosti uchazečů v dané zemi nebo regionu.                 </w:t>
            </w:r>
          </w:p>
        </w:tc>
        <w:tc>
          <w:tcPr>
            <w:tcW w:w="923" w:type="pct"/>
            <w:shd w:val="clear" w:color="auto" w:fill="auto"/>
          </w:tcPr>
          <w:p w14:paraId="0F88D4A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color w:val="000000"/>
                <w:sz w:val="18"/>
                <w:szCs w:val="18"/>
                <w:lang w:eastAsia="cs-CZ"/>
              </w:rPr>
              <w:t>Články 45 až 50 a 53 směrnice 2004/18/ES Články 54 a 55 směrnice 2004/17/ES</w:t>
            </w:r>
          </w:p>
        </w:tc>
        <w:tc>
          <w:tcPr>
            <w:tcW w:w="1776" w:type="pct"/>
          </w:tcPr>
          <w:p w14:paraId="0F527085"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w:t>
            </w:r>
          </w:p>
          <w:p w14:paraId="68B3691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p w14:paraId="45D3A233"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63024841"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699ADBA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tc>
      </w:tr>
      <w:tr w:rsidR="006D6037" w:rsidRPr="006D6037" w14:paraId="1612D345" w14:textId="77777777" w:rsidTr="003E158D">
        <w:trPr>
          <w:trHeight w:val="832"/>
        </w:trPr>
        <w:tc>
          <w:tcPr>
            <w:tcW w:w="248" w:type="pct"/>
          </w:tcPr>
          <w:p w14:paraId="12A509D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8.1.10</w:t>
            </w:r>
          </w:p>
        </w:tc>
        <w:tc>
          <w:tcPr>
            <w:tcW w:w="2052" w:type="pct"/>
            <w:shd w:val="clear" w:color="auto" w:fill="auto"/>
          </w:tcPr>
          <w:p w14:paraId="6077652E"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Kritéria pro výběr se nevztahují k předmětu zakázky a nejsou mu úměrná</w:t>
            </w:r>
          </w:p>
          <w:p w14:paraId="5F717B0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Pokud lze doložit, že minimální úrovně způsobilosti pro konkrétní zakázku se nevztahují k jejímu předmětu a nejsou mu úměrná, a není tedy pro zájemce zajištěn rovný přístup nebo to má za následek vytváření neodůvodněných překážek pro otevření veřejné zakázky hospodářské soutěži.              </w:t>
            </w:r>
          </w:p>
        </w:tc>
        <w:tc>
          <w:tcPr>
            <w:tcW w:w="923" w:type="pct"/>
            <w:shd w:val="clear" w:color="auto" w:fill="auto"/>
          </w:tcPr>
          <w:p w14:paraId="1F89121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color w:val="000000"/>
                <w:sz w:val="18"/>
                <w:szCs w:val="18"/>
                <w:lang w:eastAsia="cs-CZ"/>
              </w:rPr>
              <w:t>Čl. 44 odst. 2 směrnice 2004/18/ES Čl. 54 odst. 2 směrnice 2004/17/ES</w:t>
            </w:r>
          </w:p>
        </w:tc>
        <w:tc>
          <w:tcPr>
            <w:tcW w:w="1776" w:type="pct"/>
          </w:tcPr>
          <w:p w14:paraId="688884DA"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w:t>
            </w:r>
          </w:p>
          <w:p w14:paraId="585D806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7DFC4DAB" w14:textId="77777777" w:rsidTr="003E158D">
        <w:trPr>
          <w:trHeight w:val="832"/>
        </w:trPr>
        <w:tc>
          <w:tcPr>
            <w:tcW w:w="248" w:type="pct"/>
          </w:tcPr>
          <w:p w14:paraId="6B3FC33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8.1.11</w:t>
            </w:r>
          </w:p>
        </w:tc>
        <w:tc>
          <w:tcPr>
            <w:tcW w:w="2052" w:type="pct"/>
            <w:shd w:val="clear" w:color="auto" w:fill="auto"/>
          </w:tcPr>
          <w:p w14:paraId="083154A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Diskriminační technické podmínky</w:t>
            </w:r>
          </w:p>
          <w:p w14:paraId="6789305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Stanovení technických norem, které jsou příliš specifické, a není tedy pro zájemce zajištěn rovný přístup nebo to má za následek vytváření neodůvodněných překážek pro otevření veřejné zakázky hospodářské soutěži.                    </w:t>
            </w:r>
          </w:p>
        </w:tc>
        <w:tc>
          <w:tcPr>
            <w:tcW w:w="923" w:type="pct"/>
            <w:shd w:val="clear" w:color="auto" w:fill="auto"/>
          </w:tcPr>
          <w:p w14:paraId="1510FAE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23 odst. 2 směrnice</w:t>
            </w:r>
          </w:p>
          <w:p w14:paraId="47768D0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2A0DB50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6AE6220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34 odst. 2 směrnice</w:t>
            </w:r>
          </w:p>
          <w:p w14:paraId="19B3927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tc>
        <w:tc>
          <w:tcPr>
            <w:tcW w:w="1776" w:type="pct"/>
          </w:tcPr>
          <w:p w14:paraId="19070D97"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i/>
                <w:sz w:val="18"/>
                <w:szCs w:val="18"/>
                <w:lang w:eastAsia="cs-CZ"/>
              </w:rPr>
            </w:pPr>
            <w:r w:rsidRPr="003E158D">
              <w:rPr>
                <w:rFonts w:ascii="Arial" w:eastAsia="Times New Roman" w:hAnsi="Arial" w:cs="Arial"/>
                <w:sz w:val="18"/>
                <w:szCs w:val="18"/>
                <w:lang w:eastAsia="cs-CZ"/>
              </w:rPr>
              <w:t>25 %</w:t>
            </w:r>
          </w:p>
          <w:p w14:paraId="3EA12755"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476EBAAD"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092C11D8" w14:textId="77777777" w:rsidTr="003E158D">
        <w:trPr>
          <w:trHeight w:val="832"/>
        </w:trPr>
        <w:tc>
          <w:tcPr>
            <w:tcW w:w="248" w:type="pct"/>
          </w:tcPr>
          <w:p w14:paraId="533C9C9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8.1.12</w:t>
            </w:r>
          </w:p>
        </w:tc>
        <w:tc>
          <w:tcPr>
            <w:tcW w:w="2052" w:type="pct"/>
            <w:shd w:val="clear" w:color="auto" w:fill="auto"/>
          </w:tcPr>
          <w:p w14:paraId="57515135"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Nedostatečné vymezení předmětu zakázky</w:t>
            </w:r>
          </w:p>
          <w:p w14:paraId="65A5491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Popis v oznámení o zakázce nebo v zadávacích podmínkách nestačí potenciálním uchazečům/zájemcům k určení předmětu zakázky.          </w:t>
            </w:r>
          </w:p>
        </w:tc>
        <w:tc>
          <w:tcPr>
            <w:tcW w:w="923" w:type="pct"/>
            <w:shd w:val="clear" w:color="auto" w:fill="auto"/>
          </w:tcPr>
          <w:p w14:paraId="10F2450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w:t>
            </w:r>
          </w:p>
          <w:p w14:paraId="394F34E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2EAD321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4567BB0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w:t>
            </w:r>
          </w:p>
          <w:p w14:paraId="377FD6F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2004/17/ES </w:t>
            </w:r>
          </w:p>
          <w:p w14:paraId="3E6765A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1FB384E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Věci C-340/02 (Komise v. Francie) a C-299/08 (Komise v. Francie)</w:t>
            </w:r>
          </w:p>
        </w:tc>
        <w:tc>
          <w:tcPr>
            <w:tcW w:w="1776" w:type="pct"/>
          </w:tcPr>
          <w:p w14:paraId="44FF0FA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10 %</w:t>
            </w:r>
          </w:p>
          <w:p w14:paraId="08074851"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1A6E011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5 % podle závažnosti dané nesrovnalosti. V případě, že provedené práce nebyly zveřejněny, se na odpovídající částku uplatní oprava ve výši 100 %.</w:t>
            </w:r>
          </w:p>
        </w:tc>
      </w:tr>
      <w:tr w:rsidR="006D6037" w:rsidRPr="006D6037" w14:paraId="37FD0905" w14:textId="77777777" w:rsidTr="003E158D">
        <w:trPr>
          <w:trHeight w:val="281"/>
        </w:trPr>
        <w:tc>
          <w:tcPr>
            <w:tcW w:w="248" w:type="pct"/>
          </w:tcPr>
          <w:p w14:paraId="7AB53A1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tc>
        <w:tc>
          <w:tcPr>
            <w:tcW w:w="4752" w:type="pct"/>
            <w:gridSpan w:val="3"/>
            <w:shd w:val="clear" w:color="auto" w:fill="auto"/>
          </w:tcPr>
          <w:p w14:paraId="2E48C011" w14:textId="042B022D" w:rsidR="006D6037" w:rsidRPr="003E158D" w:rsidRDefault="006D6037" w:rsidP="0015379B">
            <w:pPr>
              <w:autoSpaceDE w:val="0"/>
              <w:autoSpaceDN w:val="0"/>
              <w:adjustRightInd w:val="0"/>
              <w:spacing w:after="0" w:line="240" w:lineRule="auto"/>
              <w:rPr>
                <w:rFonts w:ascii="Arial" w:eastAsia="Times New Roman" w:hAnsi="Arial" w:cs="Arial"/>
                <w:b/>
                <w:sz w:val="18"/>
                <w:szCs w:val="18"/>
                <w:lang w:eastAsia="cs-CZ"/>
              </w:rPr>
            </w:pPr>
            <w:r w:rsidRPr="003E158D">
              <w:rPr>
                <w:rFonts w:ascii="Arial" w:eastAsia="Times New Roman" w:hAnsi="Arial" w:cs="Arial"/>
                <w:b/>
                <w:sz w:val="18"/>
                <w:szCs w:val="18"/>
                <w:lang w:eastAsia="cs-CZ"/>
              </w:rPr>
              <w:t>HODNOCENÍ NABÍDEK</w:t>
            </w:r>
          </w:p>
        </w:tc>
      </w:tr>
      <w:tr w:rsidR="006D6037" w:rsidRPr="006D6037" w14:paraId="4FDE790A" w14:textId="77777777" w:rsidTr="003E158D">
        <w:trPr>
          <w:trHeight w:val="832"/>
        </w:trPr>
        <w:tc>
          <w:tcPr>
            <w:tcW w:w="248" w:type="pct"/>
          </w:tcPr>
          <w:p w14:paraId="014FCB2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8.1.13</w:t>
            </w:r>
          </w:p>
        </w:tc>
        <w:tc>
          <w:tcPr>
            <w:tcW w:w="2052" w:type="pct"/>
            <w:shd w:val="clear" w:color="auto" w:fill="auto"/>
          </w:tcPr>
          <w:p w14:paraId="6D324653"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Změna kritérií pro výběr po otevření nabídek, jež vede k nesprávnému přijetí uchazečů.</w:t>
            </w:r>
          </w:p>
          <w:p w14:paraId="3CC0DB3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Kritéria pro výběr byla upravena během fáze výběru, což vedlo k přijetí uchazečů, kteří by podle kritérií pro výběr, jež byla zveřejněna, přijati nebyli.                  </w:t>
            </w:r>
          </w:p>
        </w:tc>
        <w:tc>
          <w:tcPr>
            <w:tcW w:w="923" w:type="pct"/>
            <w:shd w:val="clear" w:color="auto" w:fill="auto"/>
          </w:tcPr>
          <w:p w14:paraId="4DA66BC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2 a čl. 44 odst. 1 směrnice 2004/18/ES</w:t>
            </w:r>
          </w:p>
          <w:p w14:paraId="04817DE0"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76C69FE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10 a čl. 54 odst. 2 směrnice 2004/17/ES</w:t>
            </w:r>
          </w:p>
        </w:tc>
        <w:tc>
          <w:tcPr>
            <w:tcW w:w="1776" w:type="pct"/>
          </w:tcPr>
          <w:p w14:paraId="3CF1ADEC"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1EAA0F6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7D1CAB24"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35A4A52B" w14:textId="77777777" w:rsidTr="003E158D">
        <w:trPr>
          <w:trHeight w:val="266"/>
        </w:trPr>
        <w:tc>
          <w:tcPr>
            <w:tcW w:w="248" w:type="pct"/>
          </w:tcPr>
          <w:p w14:paraId="24D6634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8.1.14</w:t>
            </w:r>
          </w:p>
        </w:tc>
        <w:tc>
          <w:tcPr>
            <w:tcW w:w="2052" w:type="pct"/>
            <w:shd w:val="clear" w:color="auto" w:fill="auto"/>
          </w:tcPr>
          <w:p w14:paraId="4FAC65AD"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Změna kritérií pro výběr po otevření nabídek, jež vede k nesprávnému odmítnutí uchazečů.</w:t>
            </w:r>
          </w:p>
          <w:p w14:paraId="23C57C7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Kritéria pro výběr byla upravena během fáze výběru, což vedlo k odmítnutí uchazečů, kteří by podle kritérií pro výběr, jež byla zveřejněna, byli přijati.               </w:t>
            </w:r>
          </w:p>
        </w:tc>
        <w:tc>
          <w:tcPr>
            <w:tcW w:w="923" w:type="pct"/>
            <w:shd w:val="clear" w:color="auto" w:fill="auto"/>
          </w:tcPr>
          <w:p w14:paraId="6A45645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2 a čl. 44 odst. 1 směrnice 2004/18/ES</w:t>
            </w:r>
          </w:p>
          <w:p w14:paraId="0326EF1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07AE1F0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10 a čl. 54 odst. 2 směrnice 2004/17/ES</w:t>
            </w:r>
          </w:p>
        </w:tc>
        <w:tc>
          <w:tcPr>
            <w:tcW w:w="1776" w:type="pct"/>
          </w:tcPr>
          <w:p w14:paraId="3DE8AD01"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2241D3F3"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526CDE9A"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3DCD645D" w14:textId="77777777" w:rsidTr="003E158D">
        <w:trPr>
          <w:trHeight w:val="832"/>
        </w:trPr>
        <w:tc>
          <w:tcPr>
            <w:tcW w:w="248" w:type="pct"/>
          </w:tcPr>
          <w:p w14:paraId="086139B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8.1.15</w:t>
            </w:r>
          </w:p>
        </w:tc>
        <w:tc>
          <w:tcPr>
            <w:tcW w:w="2052" w:type="pct"/>
            <w:shd w:val="clear" w:color="auto" w:fill="auto"/>
          </w:tcPr>
          <w:p w14:paraId="14EEF154"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Hodnocení uchazečů/zájemců podle nezákonných kritérií pro výběr nebo zadání zakázky</w:t>
            </w:r>
          </w:p>
          <w:p w14:paraId="2DACD59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 průběhu hodnocení uchazečů/zájemců byla kritéria pro výběr použita jako kritéria pro zadání zakázky nebo se nepostupovalo podle kritérií pro zadání zakázky (nebo příslušných dílčích kritérií nebo vah) uvedených v oznámení o zakázce nebo zadávacích podmínkách, což</w:t>
            </w:r>
          </w:p>
          <w:p w14:paraId="5A8A026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vedlo k použití nezákonných kritérií pro výběr nebo zadání zakázky.</w:t>
            </w:r>
          </w:p>
          <w:p w14:paraId="7B8B046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Příklad: Dílčí kritéria použitá pro zadání zakázky se nevztahují ke kritériím pro zadání zakázky uvedeným v oznámení o zakázce nebo zadávacích podmínkách.             </w:t>
            </w:r>
          </w:p>
        </w:tc>
        <w:tc>
          <w:tcPr>
            <w:tcW w:w="923" w:type="pct"/>
            <w:shd w:val="clear" w:color="auto" w:fill="auto"/>
          </w:tcPr>
          <w:p w14:paraId="1F33EAB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53 směrnice</w:t>
            </w:r>
          </w:p>
          <w:p w14:paraId="25C00A2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53516EC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76148E0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55 směrnice</w:t>
            </w:r>
          </w:p>
          <w:p w14:paraId="0D98ACE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tc>
        <w:tc>
          <w:tcPr>
            <w:tcW w:w="1776" w:type="pct"/>
          </w:tcPr>
          <w:p w14:paraId="352E1387"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43AFF45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503C8BD6"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04CFF886" w14:textId="77777777" w:rsidTr="003E158D">
        <w:trPr>
          <w:trHeight w:val="832"/>
        </w:trPr>
        <w:tc>
          <w:tcPr>
            <w:tcW w:w="248" w:type="pct"/>
          </w:tcPr>
          <w:p w14:paraId="0B90128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8.1.16</w:t>
            </w:r>
          </w:p>
        </w:tc>
        <w:tc>
          <w:tcPr>
            <w:tcW w:w="2052" w:type="pct"/>
            <w:shd w:val="clear" w:color="auto" w:fill="auto"/>
          </w:tcPr>
          <w:p w14:paraId="3123E7F0"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Nedostatek transparentnosti nebo rovného zacházení při hodnocení</w:t>
            </w:r>
          </w:p>
          <w:p w14:paraId="4985B7A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Auditní stopa týkající se zejména bodového hodnocení uděleného každé nabídce je nejasná / neodůvodněná / nedostatečně transparentní nebo vůbec neexistuje </w:t>
            </w:r>
          </w:p>
          <w:p w14:paraId="29E471B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a/nebo hodnotící zpráva neexistuje nebo neobsahuje všechny prvky požadované příslušnými předpisy.</w:t>
            </w:r>
            <w:r w:rsidRPr="003E158D">
              <w:rPr>
                <w:rFonts w:ascii="Arial" w:eastAsia="Times New Roman" w:hAnsi="Arial" w:cs="Arial"/>
                <w:i/>
                <w:sz w:val="18"/>
                <w:szCs w:val="18"/>
                <w:lang w:eastAsia="cs-CZ"/>
              </w:rPr>
              <w:t xml:space="preserve">       </w:t>
            </w:r>
          </w:p>
        </w:tc>
        <w:tc>
          <w:tcPr>
            <w:tcW w:w="923" w:type="pct"/>
            <w:shd w:val="clear" w:color="auto" w:fill="auto"/>
          </w:tcPr>
          <w:p w14:paraId="3BEB5BB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Články 2 a 43 směrnice 2004/18/ES</w:t>
            </w:r>
          </w:p>
          <w:p w14:paraId="4F2A33F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2118D60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w:t>
            </w:r>
          </w:p>
          <w:p w14:paraId="50D702E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tc>
        <w:tc>
          <w:tcPr>
            <w:tcW w:w="1776" w:type="pct"/>
          </w:tcPr>
          <w:p w14:paraId="63978BF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47E19571"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342EDC8E"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28A19A9D" w14:textId="77777777" w:rsidTr="003E158D">
        <w:trPr>
          <w:trHeight w:val="832"/>
        </w:trPr>
        <w:tc>
          <w:tcPr>
            <w:tcW w:w="248" w:type="pct"/>
          </w:tcPr>
          <w:p w14:paraId="397DE45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8.1.17</w:t>
            </w:r>
          </w:p>
        </w:tc>
        <w:tc>
          <w:tcPr>
            <w:tcW w:w="2052" w:type="pct"/>
            <w:shd w:val="clear" w:color="auto" w:fill="auto"/>
          </w:tcPr>
          <w:p w14:paraId="2DAE28F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Změna nabídky během hodnocení</w:t>
            </w:r>
          </w:p>
          <w:p w14:paraId="0D663E2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Zadavatel umožní uchazeči/zájemci, aby upravil svou nabídku během hodnocení nabídek.               </w:t>
            </w:r>
          </w:p>
        </w:tc>
        <w:tc>
          <w:tcPr>
            <w:tcW w:w="923" w:type="pct"/>
            <w:shd w:val="clear" w:color="auto" w:fill="auto"/>
          </w:tcPr>
          <w:p w14:paraId="266B67B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w:t>
            </w:r>
          </w:p>
          <w:p w14:paraId="0177840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61107CC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509074C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w:t>
            </w:r>
          </w:p>
        </w:tc>
        <w:tc>
          <w:tcPr>
            <w:tcW w:w="1776" w:type="pct"/>
          </w:tcPr>
          <w:p w14:paraId="50DDC7D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67488E7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658E8C19"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7732949D" w14:textId="77777777" w:rsidTr="003E158D">
        <w:trPr>
          <w:trHeight w:val="240"/>
        </w:trPr>
        <w:tc>
          <w:tcPr>
            <w:tcW w:w="248" w:type="pct"/>
          </w:tcPr>
          <w:p w14:paraId="5AB5325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8.1.18</w:t>
            </w:r>
          </w:p>
        </w:tc>
        <w:tc>
          <w:tcPr>
            <w:tcW w:w="2052" w:type="pct"/>
            <w:shd w:val="clear" w:color="auto" w:fill="auto"/>
          </w:tcPr>
          <w:p w14:paraId="7459A52C"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Jednání během zadávacího řízení</w:t>
            </w:r>
          </w:p>
          <w:p w14:paraId="2E227A3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V rámci otevřeného nebo omezeného řízení zadavatel během fáze hodnocení jedná s účastníky nabídkového řízení, což vede k významné změně původních podmínek uvedených v oznámení o zakázce nebo zadávacích podmínkách.       </w:t>
            </w:r>
          </w:p>
        </w:tc>
        <w:tc>
          <w:tcPr>
            <w:tcW w:w="923" w:type="pct"/>
            <w:shd w:val="clear" w:color="auto" w:fill="auto"/>
          </w:tcPr>
          <w:p w14:paraId="7BB6E20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 2004/18/ES</w:t>
            </w:r>
          </w:p>
          <w:p w14:paraId="320AD94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653F2B0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 2004/17/ES</w:t>
            </w:r>
          </w:p>
        </w:tc>
        <w:tc>
          <w:tcPr>
            <w:tcW w:w="1776" w:type="pct"/>
          </w:tcPr>
          <w:p w14:paraId="43626D0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31FD9C4E"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6962325A"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739B09EA" w14:textId="77777777" w:rsidTr="003E158D">
        <w:trPr>
          <w:trHeight w:val="832"/>
        </w:trPr>
        <w:tc>
          <w:tcPr>
            <w:tcW w:w="248" w:type="pct"/>
          </w:tcPr>
          <w:p w14:paraId="6A7C36C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highlight w:val="yellow"/>
                <w:lang w:eastAsia="cs-CZ"/>
              </w:rPr>
            </w:pPr>
            <w:r w:rsidRPr="003E158D">
              <w:rPr>
                <w:rFonts w:ascii="Arial" w:eastAsia="Times New Roman" w:hAnsi="Arial" w:cs="Arial"/>
                <w:sz w:val="18"/>
                <w:szCs w:val="18"/>
                <w:lang w:eastAsia="cs-CZ"/>
              </w:rPr>
              <w:t>8.1.19</w:t>
            </w:r>
          </w:p>
        </w:tc>
        <w:tc>
          <w:tcPr>
            <w:tcW w:w="2052" w:type="pct"/>
            <w:shd w:val="clear" w:color="auto" w:fill="auto"/>
          </w:tcPr>
          <w:p w14:paraId="3A4E784A" w14:textId="77777777" w:rsidR="006D6037" w:rsidRPr="003E158D" w:rsidRDefault="006D6037" w:rsidP="003E158D">
            <w:pPr>
              <w:autoSpaceDE w:val="0"/>
              <w:autoSpaceDN w:val="0"/>
              <w:adjustRightInd w:val="0"/>
              <w:spacing w:after="0" w:line="240" w:lineRule="auto"/>
              <w:rPr>
                <w:rFonts w:ascii="Arial" w:eastAsia="Times New Roman" w:hAnsi="Arial" w:cs="Arial"/>
                <w:color w:val="000000"/>
                <w:sz w:val="18"/>
                <w:szCs w:val="18"/>
                <w:u w:val="single"/>
                <w:lang w:eastAsia="cs-CZ"/>
              </w:rPr>
            </w:pPr>
            <w:r w:rsidRPr="003E158D">
              <w:rPr>
                <w:rFonts w:ascii="Arial" w:eastAsia="Times New Roman" w:hAnsi="Arial" w:cs="Arial"/>
                <w:color w:val="000000"/>
                <w:sz w:val="18"/>
                <w:szCs w:val="18"/>
                <w:u w:val="single"/>
                <w:lang w:eastAsia="cs-CZ"/>
              </w:rPr>
              <w:t>Jednací řízení s předchozím zveřejněním oznámení o zakázce s podstatnou změnou podmínek stanovených v oznámení o zakázce nebo specifikaci[4].</w:t>
            </w:r>
            <w:r w:rsidRPr="003E158D">
              <w:rPr>
                <w:rFonts w:ascii="Arial" w:eastAsia="Times New Roman" w:hAnsi="Arial" w:cs="Arial"/>
                <w:color w:val="000000"/>
                <w:sz w:val="18"/>
                <w:szCs w:val="18"/>
                <w:u w:val="single"/>
                <w:lang w:eastAsia="cs-CZ"/>
              </w:rPr>
              <w:cr/>
            </w:r>
          </w:p>
          <w:p w14:paraId="6F697C5B" w14:textId="77777777" w:rsidR="006D6037" w:rsidRPr="003E158D" w:rsidRDefault="006D6037" w:rsidP="003E158D">
            <w:pPr>
              <w:autoSpaceDE w:val="0"/>
              <w:autoSpaceDN w:val="0"/>
              <w:adjustRightInd w:val="0"/>
              <w:spacing w:after="0" w:line="240" w:lineRule="auto"/>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 xml:space="preserve">V souvislosti s jednacím řízením s předchozím zveřejněním oznámení o zakázce byly původní podmínky zakázky podstatně změněny, a tím bylo odůvodněno zveřejnění nové nabídky.     </w:t>
            </w:r>
          </w:p>
        </w:tc>
        <w:tc>
          <w:tcPr>
            <w:tcW w:w="923" w:type="pct"/>
            <w:shd w:val="clear" w:color="auto" w:fill="auto"/>
          </w:tcPr>
          <w:p w14:paraId="3CD4A83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30 směrnice</w:t>
            </w:r>
          </w:p>
          <w:p w14:paraId="45463B3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325B9DA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tc>
        <w:tc>
          <w:tcPr>
            <w:tcW w:w="1776" w:type="pct"/>
          </w:tcPr>
          <w:p w14:paraId="7FBAF6BC"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p w14:paraId="429894EA"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7295B058"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Oprava může být snížena na 10 % nebo 5 % podle závažnosti dané nesrovnalosti.</w:t>
            </w:r>
          </w:p>
        </w:tc>
      </w:tr>
      <w:tr w:rsidR="006D6037" w:rsidRPr="006D6037" w14:paraId="05419020" w14:textId="77777777" w:rsidTr="003E158D">
        <w:trPr>
          <w:trHeight w:val="832"/>
        </w:trPr>
        <w:tc>
          <w:tcPr>
            <w:tcW w:w="248" w:type="pct"/>
            <w:tcBorders>
              <w:bottom w:val="single" w:sz="4" w:space="0" w:color="auto"/>
            </w:tcBorders>
          </w:tcPr>
          <w:p w14:paraId="1DD8503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8.1.20</w:t>
            </w:r>
          </w:p>
        </w:tc>
        <w:tc>
          <w:tcPr>
            <w:tcW w:w="2052" w:type="pct"/>
            <w:tcBorders>
              <w:bottom w:val="single" w:sz="4" w:space="0" w:color="auto"/>
            </w:tcBorders>
            <w:shd w:val="clear" w:color="auto" w:fill="auto"/>
          </w:tcPr>
          <w:p w14:paraId="0E8A31B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Odmítnutí mimořádně nízkých nabídek</w:t>
            </w:r>
          </w:p>
          <w:p w14:paraId="66A1E3E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Nabídky se zdají být mimořádně nízké v poměru k výrobkům, stavebním pracím nebo službám, zadavatel však tyto nabídky odmítne, aniž by nejdříve písemně požádal o upřesnění základních prvků nabídky, které považuje za důležité. </w:t>
            </w:r>
          </w:p>
        </w:tc>
        <w:tc>
          <w:tcPr>
            <w:tcW w:w="923" w:type="pct"/>
            <w:tcBorders>
              <w:bottom w:val="single" w:sz="4" w:space="0" w:color="auto"/>
            </w:tcBorders>
            <w:shd w:val="clear" w:color="auto" w:fill="auto"/>
          </w:tcPr>
          <w:p w14:paraId="6BB0745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55 směrnice</w:t>
            </w:r>
          </w:p>
          <w:p w14:paraId="6B6B6D7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13535BD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7FF78A2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57 směrnice</w:t>
            </w:r>
          </w:p>
          <w:p w14:paraId="567B800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tc>
        <w:tc>
          <w:tcPr>
            <w:tcW w:w="1776" w:type="pct"/>
            <w:tcBorders>
              <w:bottom w:val="single" w:sz="4" w:space="0" w:color="auto"/>
            </w:tcBorders>
          </w:tcPr>
          <w:p w14:paraId="5AEAD385"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7DC18CC0"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25 %</w:t>
            </w:r>
          </w:p>
        </w:tc>
      </w:tr>
      <w:tr w:rsidR="006D6037" w:rsidRPr="006D6037" w14:paraId="3BE900DF" w14:textId="77777777" w:rsidTr="003E158D">
        <w:trPr>
          <w:trHeight w:val="832"/>
        </w:trPr>
        <w:tc>
          <w:tcPr>
            <w:tcW w:w="248" w:type="pct"/>
            <w:tcBorders>
              <w:bottom w:val="single" w:sz="4" w:space="0" w:color="auto"/>
            </w:tcBorders>
          </w:tcPr>
          <w:p w14:paraId="3F42BE2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8.1.21</w:t>
            </w:r>
          </w:p>
        </w:tc>
        <w:tc>
          <w:tcPr>
            <w:tcW w:w="2052" w:type="pct"/>
            <w:tcBorders>
              <w:bottom w:val="single" w:sz="4" w:space="0" w:color="auto"/>
            </w:tcBorders>
            <w:shd w:val="clear" w:color="auto" w:fill="auto"/>
          </w:tcPr>
          <w:p w14:paraId="7E86475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Střet zájmů</w:t>
            </w:r>
          </w:p>
          <w:p w14:paraId="006BDF0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Zjistí-li příslušný soudní nebo správní orgán, že došlo ke střetu zájmů, a to buď u příjemce příspěvku poskytovaného Unií, nebo u zadavatele.                  </w:t>
            </w:r>
          </w:p>
        </w:tc>
        <w:tc>
          <w:tcPr>
            <w:tcW w:w="923" w:type="pct"/>
            <w:tcBorders>
              <w:bottom w:val="single" w:sz="4" w:space="0" w:color="auto"/>
            </w:tcBorders>
            <w:shd w:val="clear" w:color="auto" w:fill="auto"/>
          </w:tcPr>
          <w:p w14:paraId="4556C95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w:t>
            </w:r>
          </w:p>
          <w:p w14:paraId="2D779768"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5FF82C9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4ED2DB4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w:t>
            </w:r>
          </w:p>
          <w:p w14:paraId="0A33A890"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tc>
        <w:tc>
          <w:tcPr>
            <w:tcW w:w="1776" w:type="pct"/>
            <w:tcBorders>
              <w:bottom w:val="single" w:sz="4" w:space="0" w:color="auto"/>
            </w:tcBorders>
          </w:tcPr>
          <w:p w14:paraId="7AD64765"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p>
          <w:p w14:paraId="097DD88B" w14:textId="77777777" w:rsidR="006D6037" w:rsidRPr="003E158D" w:rsidRDefault="006D6037" w:rsidP="0061395A">
            <w:pPr>
              <w:autoSpaceDE w:val="0"/>
              <w:autoSpaceDN w:val="0"/>
              <w:adjustRightInd w:val="0"/>
              <w:spacing w:after="0" w:line="240" w:lineRule="auto"/>
              <w:jc w:val="center"/>
              <w:rPr>
                <w:rFonts w:ascii="Arial" w:eastAsia="Times New Roman" w:hAnsi="Arial" w:cs="Arial"/>
                <w:sz w:val="18"/>
                <w:szCs w:val="18"/>
                <w:lang w:eastAsia="cs-CZ"/>
              </w:rPr>
            </w:pPr>
            <w:r w:rsidRPr="003E158D">
              <w:rPr>
                <w:rFonts w:ascii="Arial" w:eastAsia="Times New Roman" w:hAnsi="Arial" w:cs="Arial"/>
                <w:sz w:val="18"/>
                <w:szCs w:val="18"/>
                <w:lang w:eastAsia="cs-CZ"/>
              </w:rPr>
              <w:t>100 %</w:t>
            </w:r>
          </w:p>
        </w:tc>
      </w:tr>
      <w:tr w:rsidR="006D6037" w:rsidRPr="006D6037" w14:paraId="56108D38" w14:textId="77777777" w:rsidTr="003E158D">
        <w:trPr>
          <w:trHeight w:val="549"/>
        </w:trPr>
        <w:tc>
          <w:tcPr>
            <w:tcW w:w="248" w:type="pct"/>
            <w:tcBorders>
              <w:top w:val="single" w:sz="4" w:space="0" w:color="auto"/>
              <w:left w:val="nil"/>
              <w:bottom w:val="single" w:sz="4" w:space="0" w:color="auto"/>
              <w:right w:val="nil"/>
            </w:tcBorders>
          </w:tcPr>
          <w:p w14:paraId="74D34393" w14:textId="77777777" w:rsidR="006D6037" w:rsidRPr="006D6037" w:rsidRDefault="006D6037" w:rsidP="006D6037">
            <w:pPr>
              <w:autoSpaceDE w:val="0"/>
              <w:autoSpaceDN w:val="0"/>
              <w:adjustRightInd w:val="0"/>
              <w:spacing w:after="0" w:line="240" w:lineRule="auto"/>
              <w:jc w:val="both"/>
              <w:rPr>
                <w:rFonts w:ascii="Arial" w:eastAsia="Times New Roman" w:hAnsi="Arial" w:cs="Arial"/>
                <w:sz w:val="20"/>
                <w:szCs w:val="20"/>
                <w:lang w:eastAsia="cs-CZ"/>
              </w:rPr>
            </w:pPr>
          </w:p>
          <w:p w14:paraId="6BB77047" w14:textId="77777777" w:rsidR="006D6037" w:rsidRPr="006D6037" w:rsidRDefault="006D6037" w:rsidP="006D6037">
            <w:pPr>
              <w:autoSpaceDE w:val="0"/>
              <w:autoSpaceDN w:val="0"/>
              <w:adjustRightInd w:val="0"/>
              <w:spacing w:after="0" w:line="240" w:lineRule="auto"/>
              <w:jc w:val="both"/>
              <w:rPr>
                <w:rFonts w:ascii="Arial" w:eastAsia="Times New Roman" w:hAnsi="Arial" w:cs="Arial"/>
                <w:sz w:val="20"/>
                <w:szCs w:val="20"/>
                <w:lang w:eastAsia="cs-CZ"/>
              </w:rPr>
            </w:pPr>
          </w:p>
          <w:p w14:paraId="775B574A" w14:textId="77777777" w:rsidR="006D6037" w:rsidRPr="006D6037" w:rsidRDefault="006D6037" w:rsidP="006D6037">
            <w:pPr>
              <w:autoSpaceDE w:val="0"/>
              <w:autoSpaceDN w:val="0"/>
              <w:adjustRightInd w:val="0"/>
              <w:spacing w:after="0" w:line="240" w:lineRule="auto"/>
              <w:jc w:val="both"/>
              <w:rPr>
                <w:rFonts w:ascii="Arial" w:eastAsia="Times New Roman" w:hAnsi="Arial" w:cs="Arial"/>
                <w:sz w:val="20"/>
                <w:szCs w:val="20"/>
                <w:lang w:eastAsia="cs-CZ"/>
              </w:rPr>
            </w:pPr>
          </w:p>
        </w:tc>
        <w:tc>
          <w:tcPr>
            <w:tcW w:w="4752" w:type="pct"/>
            <w:gridSpan w:val="3"/>
            <w:tcBorders>
              <w:top w:val="single" w:sz="4" w:space="0" w:color="auto"/>
              <w:left w:val="nil"/>
              <w:bottom w:val="single" w:sz="4" w:space="0" w:color="auto"/>
              <w:right w:val="nil"/>
            </w:tcBorders>
            <w:shd w:val="clear" w:color="auto" w:fill="auto"/>
          </w:tcPr>
          <w:p w14:paraId="0630A9B2" w14:textId="77777777" w:rsidR="006D6037" w:rsidRPr="0061395A" w:rsidRDefault="006D6037" w:rsidP="006D6037">
            <w:pPr>
              <w:autoSpaceDE w:val="0"/>
              <w:autoSpaceDN w:val="0"/>
              <w:adjustRightInd w:val="0"/>
              <w:spacing w:after="0" w:line="240" w:lineRule="auto"/>
              <w:jc w:val="both"/>
              <w:rPr>
                <w:rFonts w:ascii="TimesNewRoman" w:eastAsia="Times New Roman" w:hAnsi="TimesNewRoman" w:cs="TimesNewRoman"/>
                <w:sz w:val="8"/>
                <w:szCs w:val="10"/>
                <w:lang w:eastAsia="cs-CZ"/>
              </w:rPr>
            </w:pPr>
            <w:r w:rsidRPr="0061395A">
              <w:rPr>
                <w:rFonts w:ascii="Arial" w:eastAsia="Times New Roman" w:hAnsi="Arial" w:cs="Arial"/>
                <w:color w:val="000000"/>
                <w:sz w:val="18"/>
                <w:szCs w:val="20"/>
                <w:lang w:eastAsia="cs-CZ"/>
              </w:rPr>
              <w:t>**** Vymezení nadlimitní veřejné zakázky je stanoveno zákonem 137/2006 Sb.</w:t>
            </w:r>
          </w:p>
          <w:p w14:paraId="4D473936" w14:textId="77777777" w:rsidR="006D6037" w:rsidRPr="006D6037" w:rsidRDefault="006D6037" w:rsidP="006D6037">
            <w:pPr>
              <w:autoSpaceDE w:val="0"/>
              <w:autoSpaceDN w:val="0"/>
              <w:adjustRightInd w:val="0"/>
              <w:spacing w:after="0" w:line="240" w:lineRule="auto"/>
              <w:jc w:val="both"/>
              <w:rPr>
                <w:rFonts w:ascii="TimesNewRoman" w:eastAsia="Times New Roman" w:hAnsi="TimesNewRoman" w:cs="TimesNewRoman"/>
                <w:b/>
                <w:sz w:val="20"/>
                <w:szCs w:val="24"/>
                <w:lang w:eastAsia="cs-CZ"/>
              </w:rPr>
            </w:pPr>
          </w:p>
          <w:p w14:paraId="406AA389" w14:textId="77777777" w:rsidR="006D6037" w:rsidRPr="006D6037" w:rsidRDefault="006D6037" w:rsidP="006D6037">
            <w:pPr>
              <w:autoSpaceDE w:val="0"/>
              <w:autoSpaceDN w:val="0"/>
              <w:adjustRightInd w:val="0"/>
              <w:spacing w:after="0" w:line="240" w:lineRule="auto"/>
              <w:jc w:val="both"/>
              <w:rPr>
                <w:rFonts w:ascii="TimesNewRoman" w:eastAsia="Times New Roman" w:hAnsi="TimesNewRoman" w:cs="TimesNewRoman"/>
                <w:b/>
                <w:sz w:val="20"/>
                <w:szCs w:val="24"/>
                <w:lang w:eastAsia="cs-CZ"/>
              </w:rPr>
            </w:pPr>
          </w:p>
        </w:tc>
      </w:tr>
      <w:tr w:rsidR="006D6037" w:rsidRPr="006D6037" w14:paraId="1EFE77D4" w14:textId="77777777" w:rsidTr="003E158D">
        <w:trPr>
          <w:trHeight w:val="319"/>
        </w:trPr>
        <w:tc>
          <w:tcPr>
            <w:tcW w:w="248" w:type="pct"/>
            <w:tcBorders>
              <w:top w:val="single" w:sz="4" w:space="0" w:color="auto"/>
            </w:tcBorders>
          </w:tcPr>
          <w:p w14:paraId="54067E00"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tc>
        <w:tc>
          <w:tcPr>
            <w:tcW w:w="4752" w:type="pct"/>
            <w:gridSpan w:val="3"/>
            <w:tcBorders>
              <w:top w:val="single" w:sz="4" w:space="0" w:color="auto"/>
            </w:tcBorders>
            <w:shd w:val="clear" w:color="auto" w:fill="auto"/>
          </w:tcPr>
          <w:p w14:paraId="181CABF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b/>
                <w:sz w:val="18"/>
                <w:szCs w:val="18"/>
                <w:lang w:eastAsia="cs-CZ"/>
              </w:rPr>
              <w:t>PROVÁDĚNÍ ZAKÁZKY</w:t>
            </w:r>
          </w:p>
        </w:tc>
      </w:tr>
      <w:tr w:rsidR="006D6037" w:rsidRPr="006D6037" w14:paraId="512EA564" w14:textId="77777777" w:rsidTr="003E158D">
        <w:trPr>
          <w:trHeight w:val="832"/>
        </w:trPr>
        <w:tc>
          <w:tcPr>
            <w:tcW w:w="248" w:type="pct"/>
          </w:tcPr>
          <w:p w14:paraId="2347C9F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8.1.22</w:t>
            </w:r>
          </w:p>
        </w:tc>
        <w:tc>
          <w:tcPr>
            <w:tcW w:w="2052" w:type="pct"/>
            <w:shd w:val="clear" w:color="auto" w:fill="auto"/>
          </w:tcPr>
          <w:p w14:paraId="141C13A7"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Podstatná změna prvků zakázky uvedených v oznámení o zakázce</w:t>
            </w:r>
          </w:p>
          <w:p w14:paraId="142A9801"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nebo v zadávacích podmínkách[5]</w:t>
            </w:r>
            <w:r w:rsidRPr="003E158D">
              <w:rPr>
                <w:rFonts w:ascii="Arial" w:eastAsia="Times New Roman" w:hAnsi="Arial" w:cs="Arial"/>
                <w:i/>
                <w:sz w:val="18"/>
                <w:szCs w:val="18"/>
                <w:lang w:eastAsia="cs-CZ"/>
              </w:rPr>
              <w:cr/>
            </w:r>
          </w:p>
          <w:p w14:paraId="411629E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u w:val="single"/>
                <w:lang w:eastAsia="cs-CZ"/>
              </w:rPr>
            </w:pPr>
            <w:r w:rsidRPr="003E158D">
              <w:rPr>
                <w:rFonts w:ascii="Arial" w:eastAsia="Times New Roman" w:hAnsi="Arial" w:cs="Arial"/>
                <w:sz w:val="18"/>
                <w:szCs w:val="18"/>
                <w:u w:val="single"/>
                <w:lang w:eastAsia="cs-CZ"/>
              </w:rPr>
              <w:t xml:space="preserve">Základní prvky zadání zakázky mimo jiné zahrnují cenu[6], povahu prací, lhůtu pro dokončení, platební podmínky a použité materiály. Pokud jde o to, co představuje základní prvek, je vždy nezbytné provést analýzu na základě posouzení jednotlivých případů.       </w:t>
            </w:r>
          </w:p>
        </w:tc>
        <w:tc>
          <w:tcPr>
            <w:tcW w:w="923" w:type="pct"/>
            <w:shd w:val="clear" w:color="auto" w:fill="auto"/>
          </w:tcPr>
          <w:p w14:paraId="0A51ED4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w:t>
            </w:r>
          </w:p>
          <w:p w14:paraId="0408109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44711DE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42946DA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w:t>
            </w:r>
          </w:p>
          <w:p w14:paraId="5340420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2004/17/ES</w:t>
            </w:r>
          </w:p>
          <w:p w14:paraId="633167D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7968D15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Judikatura:</w:t>
            </w:r>
          </w:p>
          <w:p w14:paraId="453489B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Věc C-496/99 P, </w:t>
            </w:r>
            <w:r w:rsidRPr="003E158D">
              <w:rPr>
                <w:rFonts w:ascii="Arial" w:eastAsia="Times New Roman" w:hAnsi="Arial" w:cs="Arial"/>
                <w:i/>
                <w:iCs/>
                <w:sz w:val="18"/>
                <w:szCs w:val="18"/>
                <w:lang w:eastAsia="cs-CZ"/>
              </w:rPr>
              <w:t>CAS Succhi di</w:t>
            </w:r>
            <w:r w:rsidRPr="003E158D">
              <w:rPr>
                <w:rFonts w:ascii="Arial" w:eastAsia="Times New Roman" w:hAnsi="Arial" w:cs="Arial"/>
                <w:sz w:val="18"/>
                <w:szCs w:val="18"/>
                <w:lang w:eastAsia="cs-CZ"/>
              </w:rPr>
              <w:t xml:space="preserve"> </w:t>
            </w:r>
            <w:r w:rsidRPr="003E158D">
              <w:rPr>
                <w:rFonts w:ascii="Arial" w:eastAsia="Times New Roman" w:hAnsi="Arial" w:cs="Arial"/>
                <w:i/>
                <w:iCs/>
                <w:sz w:val="18"/>
                <w:szCs w:val="18"/>
                <w:lang w:eastAsia="cs-CZ"/>
              </w:rPr>
              <w:t>frutta SpA</w:t>
            </w:r>
            <w:r w:rsidRPr="003E158D">
              <w:rPr>
                <w:rFonts w:ascii="Arial" w:eastAsia="Times New Roman" w:hAnsi="Arial" w:cs="Arial"/>
                <w:sz w:val="18"/>
                <w:szCs w:val="18"/>
                <w:lang w:eastAsia="cs-CZ"/>
              </w:rPr>
              <w:t>,</w:t>
            </w:r>
          </w:p>
          <w:p w14:paraId="0B951744"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Sb. rozh. 2004, s. I-3801, body 116 a 118</w:t>
            </w:r>
          </w:p>
          <w:p w14:paraId="71AA4BF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Věc C-340/02, </w:t>
            </w:r>
            <w:r w:rsidRPr="003E158D">
              <w:rPr>
                <w:rFonts w:ascii="Arial" w:eastAsia="Times New Roman" w:hAnsi="Arial" w:cs="Arial"/>
                <w:i/>
                <w:iCs/>
                <w:sz w:val="18"/>
                <w:szCs w:val="18"/>
                <w:lang w:eastAsia="cs-CZ"/>
              </w:rPr>
              <w:t>Komise v.</w:t>
            </w:r>
          </w:p>
          <w:p w14:paraId="2D32234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i/>
                <w:iCs/>
                <w:sz w:val="18"/>
                <w:szCs w:val="18"/>
                <w:lang w:eastAsia="cs-CZ"/>
              </w:rPr>
              <w:t xml:space="preserve">Francie, </w:t>
            </w:r>
            <w:r w:rsidRPr="003E158D">
              <w:rPr>
                <w:rFonts w:ascii="Arial" w:eastAsia="Times New Roman" w:hAnsi="Arial" w:cs="Arial"/>
                <w:sz w:val="18"/>
                <w:szCs w:val="18"/>
                <w:lang w:eastAsia="cs-CZ"/>
              </w:rPr>
              <w:t>Sb. rozh. 2004, s. I-9845</w:t>
            </w:r>
          </w:p>
          <w:p w14:paraId="777FD95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Věc C-91/08, </w:t>
            </w:r>
            <w:r w:rsidRPr="003E158D">
              <w:rPr>
                <w:rFonts w:ascii="Arial" w:eastAsia="Times New Roman" w:hAnsi="Arial" w:cs="Arial"/>
                <w:i/>
                <w:iCs/>
                <w:sz w:val="18"/>
                <w:szCs w:val="18"/>
                <w:lang w:eastAsia="cs-CZ"/>
              </w:rPr>
              <w:t>Wall AG</w:t>
            </w:r>
            <w:r w:rsidRPr="003E158D">
              <w:rPr>
                <w:rFonts w:ascii="Arial" w:eastAsia="Times New Roman" w:hAnsi="Arial" w:cs="Arial"/>
                <w:sz w:val="18"/>
                <w:szCs w:val="18"/>
                <w:lang w:eastAsia="cs-CZ"/>
              </w:rPr>
              <w:t>,</w:t>
            </w:r>
          </w:p>
          <w:p w14:paraId="7EC2DA0A"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Sb. rozh. 2010, s. I-2815</w:t>
            </w:r>
          </w:p>
        </w:tc>
        <w:tc>
          <w:tcPr>
            <w:tcW w:w="1776" w:type="pct"/>
          </w:tcPr>
          <w:p w14:paraId="1433AB3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25 % výše zakázky</w:t>
            </w:r>
          </w:p>
          <w:p w14:paraId="1D3D3BD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plus výše dodatečné částky zakázky vyplývající z podstatných změn prvků zakázky.</w:t>
            </w:r>
          </w:p>
        </w:tc>
      </w:tr>
      <w:tr w:rsidR="006D6037" w:rsidRPr="006D6037" w14:paraId="0F3CE325" w14:textId="77777777" w:rsidTr="003E158D">
        <w:trPr>
          <w:trHeight w:val="832"/>
        </w:trPr>
        <w:tc>
          <w:tcPr>
            <w:tcW w:w="248" w:type="pct"/>
          </w:tcPr>
          <w:p w14:paraId="058BBCD5"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8.1.23</w:t>
            </w:r>
          </w:p>
        </w:tc>
        <w:tc>
          <w:tcPr>
            <w:tcW w:w="2052" w:type="pct"/>
            <w:shd w:val="clear" w:color="auto" w:fill="auto"/>
          </w:tcPr>
          <w:p w14:paraId="5CD7E023"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Omezení rozsahu zakázky</w:t>
            </w:r>
          </w:p>
          <w:p w14:paraId="60BE97B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Zakázka byla zadána v souladu se směrnicemi, ale následovalo omezení jejího rozsahu.              </w:t>
            </w:r>
          </w:p>
        </w:tc>
        <w:tc>
          <w:tcPr>
            <w:tcW w:w="923" w:type="pct"/>
            <w:shd w:val="clear" w:color="auto" w:fill="auto"/>
          </w:tcPr>
          <w:p w14:paraId="0ACF7B76"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2 směrnice</w:t>
            </w:r>
          </w:p>
          <w:p w14:paraId="54C01CE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6920DAB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2C73D622"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Článek 10 směrnice 2004/17/ES</w:t>
            </w:r>
          </w:p>
        </w:tc>
        <w:tc>
          <w:tcPr>
            <w:tcW w:w="1776" w:type="pct"/>
          </w:tcPr>
          <w:p w14:paraId="72EA918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Hodnota omezení rozsahu </w:t>
            </w:r>
          </w:p>
          <w:p w14:paraId="2BDE6E5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plus 25 % celkové hodnoty konečného rozsahu (pouze je-li uvedené omezení rozsahu zakázky významné).</w:t>
            </w:r>
          </w:p>
        </w:tc>
      </w:tr>
      <w:tr w:rsidR="006D6037" w:rsidRPr="006D6037" w14:paraId="16D74E8B" w14:textId="77777777" w:rsidTr="003E158D">
        <w:trPr>
          <w:trHeight w:val="832"/>
        </w:trPr>
        <w:tc>
          <w:tcPr>
            <w:tcW w:w="248" w:type="pct"/>
          </w:tcPr>
          <w:p w14:paraId="2DE2B17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lastRenderedPageBreak/>
              <w:t>8.1.24</w:t>
            </w:r>
          </w:p>
        </w:tc>
        <w:tc>
          <w:tcPr>
            <w:tcW w:w="2052" w:type="pct"/>
            <w:shd w:val="clear" w:color="auto" w:fill="auto"/>
          </w:tcPr>
          <w:p w14:paraId="6CC031A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u w:val="single"/>
                <w:lang w:eastAsia="cs-CZ"/>
              </w:rPr>
            </w:pPr>
            <w:r w:rsidRPr="003E158D">
              <w:rPr>
                <w:rFonts w:ascii="Arial" w:eastAsia="Times New Roman" w:hAnsi="Arial" w:cs="Arial"/>
                <w:sz w:val="18"/>
                <w:szCs w:val="18"/>
                <w:u w:val="single"/>
                <w:lang w:eastAsia="cs-CZ"/>
              </w:rPr>
              <w:t>Zadávání zakázek na dodatečné práce / služby / dodávky (pokud takové zadání představuje významnou změnu původních podmínek zakázky[7]) bez hospodářské soutěže, aniž je splněna jedna z následujících podmínek</w:t>
            </w:r>
            <w:r w:rsidRPr="003E158D">
              <w:rPr>
                <w:rFonts w:ascii="Arial" w:eastAsia="Times New Roman" w:hAnsi="Arial" w:cs="Arial"/>
                <w:sz w:val="18"/>
                <w:szCs w:val="18"/>
                <w:u w:val="single"/>
                <w:lang w:eastAsia="cs-CZ"/>
              </w:rPr>
              <w:cr/>
            </w:r>
          </w:p>
          <w:p w14:paraId="243E79D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krajní naléhavost způsobená nepředvídatelnými událostmi,</w:t>
            </w:r>
          </w:p>
          <w:p w14:paraId="0BD4E561"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u w:val="single"/>
                <w:lang w:eastAsia="cs-CZ"/>
              </w:rPr>
            </w:pPr>
            <w:r w:rsidRPr="003E158D">
              <w:rPr>
                <w:rFonts w:ascii="Arial" w:eastAsia="Times New Roman" w:hAnsi="Arial" w:cs="Arial"/>
                <w:sz w:val="18"/>
                <w:szCs w:val="18"/>
                <w:u w:val="single"/>
                <w:lang w:eastAsia="cs-CZ"/>
              </w:rPr>
              <w:t>– nepředvídaná okolnost[8] pro doplňkové práce, služby, dodávky.</w:t>
            </w:r>
            <w:r w:rsidRPr="003E158D">
              <w:rPr>
                <w:rFonts w:ascii="Arial" w:eastAsia="Times New Roman" w:hAnsi="Arial" w:cs="Arial"/>
                <w:sz w:val="18"/>
                <w:szCs w:val="18"/>
                <w:u w:val="single"/>
                <w:lang w:eastAsia="cs-CZ"/>
              </w:rPr>
              <w:cr/>
            </w:r>
          </w:p>
          <w:p w14:paraId="01707D8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Hlavní zakázka byla zadána v souladu s příslušnými předpisy, ale následovalo zadání jedné nebo více zakázek na dodatečné práce / služby / dodávky (ať už formalizované písemnou formou, či nikoli) v rozporu s ustanoveními uvedených směrnic, jmenovitě s ustanoveními týkajícími se vyjednávacího řízení bez uveřejnění z důvodů krajní naléhavosti způsobené nepředvídatelnými událostmi nebo zadání doplňkových dodávek, prací nebo služeb.       </w:t>
            </w:r>
          </w:p>
        </w:tc>
        <w:tc>
          <w:tcPr>
            <w:tcW w:w="923" w:type="pct"/>
            <w:shd w:val="clear" w:color="auto" w:fill="auto"/>
          </w:tcPr>
          <w:p w14:paraId="538C5BD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31 odst. 1 písm. c) a odst. 4 a) směrnice</w:t>
            </w:r>
          </w:p>
          <w:p w14:paraId="4AAD137D"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p w14:paraId="6CD17E6B"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tc>
        <w:tc>
          <w:tcPr>
            <w:tcW w:w="1776" w:type="pct"/>
          </w:tcPr>
          <w:p w14:paraId="3BEBD12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100 % hodnoty doplňkových zakázek.</w:t>
            </w:r>
          </w:p>
          <w:p w14:paraId="60C45A0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p>
          <w:p w14:paraId="67BE9E99"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Pokud celková hodnota dodatečných prací / služeb / dodávek (ať už formalizovaná písemnou formou, či nikoli) zadaná v rozporu s příslušnými ustanoveními nepřesahuje 50 % hodnoty původní zakázky, může být oprava snížena na 25 %.</w:t>
            </w:r>
          </w:p>
        </w:tc>
      </w:tr>
      <w:tr w:rsidR="006D6037" w:rsidRPr="006D6037" w14:paraId="124AAC8B" w14:textId="77777777" w:rsidTr="003E158D">
        <w:trPr>
          <w:trHeight w:val="535"/>
        </w:trPr>
        <w:tc>
          <w:tcPr>
            <w:tcW w:w="248" w:type="pct"/>
          </w:tcPr>
          <w:p w14:paraId="5CECE0BE"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8.1.25</w:t>
            </w:r>
          </w:p>
        </w:tc>
        <w:tc>
          <w:tcPr>
            <w:tcW w:w="2052" w:type="pct"/>
            <w:shd w:val="clear" w:color="auto" w:fill="auto"/>
          </w:tcPr>
          <w:p w14:paraId="0676C659"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Dodatečné práce nebo služby překračující limit stanovený</w:t>
            </w:r>
          </w:p>
          <w:p w14:paraId="15A3F856" w14:textId="77777777" w:rsidR="006D6037" w:rsidRPr="003E158D" w:rsidRDefault="006D6037" w:rsidP="003E158D">
            <w:pPr>
              <w:autoSpaceDE w:val="0"/>
              <w:autoSpaceDN w:val="0"/>
              <w:adjustRightInd w:val="0"/>
              <w:spacing w:after="0" w:line="240" w:lineRule="auto"/>
              <w:rPr>
                <w:rFonts w:ascii="Arial" w:eastAsia="Times New Roman" w:hAnsi="Arial" w:cs="Arial"/>
                <w:i/>
                <w:sz w:val="18"/>
                <w:szCs w:val="18"/>
                <w:lang w:eastAsia="cs-CZ"/>
              </w:rPr>
            </w:pPr>
            <w:r w:rsidRPr="003E158D">
              <w:rPr>
                <w:rFonts w:ascii="Arial" w:eastAsia="Times New Roman" w:hAnsi="Arial" w:cs="Arial"/>
                <w:i/>
                <w:sz w:val="18"/>
                <w:szCs w:val="18"/>
                <w:lang w:eastAsia="cs-CZ"/>
              </w:rPr>
              <w:t>v příslušných ustanoveních</w:t>
            </w:r>
          </w:p>
          <w:p w14:paraId="4E7AB0F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u w:val="single"/>
                <w:lang w:eastAsia="cs-CZ"/>
              </w:rPr>
            </w:pPr>
            <w:r w:rsidRPr="003E158D">
              <w:rPr>
                <w:rFonts w:ascii="Arial" w:eastAsia="Times New Roman" w:hAnsi="Arial" w:cs="Arial"/>
                <w:sz w:val="18"/>
                <w:szCs w:val="18"/>
                <w:u w:val="single"/>
                <w:lang w:eastAsia="cs-CZ"/>
              </w:rPr>
              <w:t xml:space="preserve">Hlavní zakázka byla zadána v souladu s ustanoveními směrnic, ale následovalo zadání jedné nebo více doplňkových zakázek, které překračují hodnotu původní zakázky o více než </w:t>
            </w:r>
            <w:r w:rsidR="004D47B0" w:rsidRPr="003E158D">
              <w:rPr>
                <w:rFonts w:ascii="Arial" w:eastAsia="Times New Roman" w:hAnsi="Arial" w:cs="Arial"/>
                <w:sz w:val="18"/>
                <w:szCs w:val="18"/>
                <w:u w:val="single"/>
                <w:lang w:eastAsia="cs-CZ"/>
              </w:rPr>
              <w:t>5</w:t>
            </w:r>
            <w:r w:rsidRPr="003E158D">
              <w:rPr>
                <w:rFonts w:ascii="Arial" w:eastAsia="Times New Roman" w:hAnsi="Arial" w:cs="Arial"/>
                <w:sz w:val="18"/>
                <w:szCs w:val="18"/>
                <w:u w:val="single"/>
                <w:lang w:eastAsia="cs-CZ"/>
              </w:rPr>
              <w:t xml:space="preserve">0 %[9]. </w:t>
            </w:r>
          </w:p>
        </w:tc>
        <w:tc>
          <w:tcPr>
            <w:tcW w:w="923" w:type="pct"/>
            <w:shd w:val="clear" w:color="auto" w:fill="auto"/>
          </w:tcPr>
          <w:p w14:paraId="53E3D6A3"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Čl. 31 odst. 4</w:t>
            </w:r>
          </w:p>
          <w:p w14:paraId="66ADFC0F"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písm. a) pos-lední pod- odstavec směrnice</w:t>
            </w:r>
          </w:p>
          <w:p w14:paraId="3BABCB47"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2004/18/ES</w:t>
            </w:r>
          </w:p>
        </w:tc>
        <w:tc>
          <w:tcPr>
            <w:tcW w:w="1776" w:type="pct"/>
          </w:tcPr>
          <w:p w14:paraId="48A237FC" w14:textId="77777777" w:rsidR="006D6037" w:rsidRPr="003E158D" w:rsidRDefault="006D6037" w:rsidP="003E158D">
            <w:pPr>
              <w:autoSpaceDE w:val="0"/>
              <w:autoSpaceDN w:val="0"/>
              <w:adjustRightInd w:val="0"/>
              <w:spacing w:after="0" w:line="240" w:lineRule="auto"/>
              <w:rPr>
                <w:rFonts w:ascii="Arial" w:eastAsia="Times New Roman" w:hAnsi="Arial" w:cs="Arial"/>
                <w:sz w:val="18"/>
                <w:szCs w:val="18"/>
                <w:lang w:eastAsia="cs-CZ"/>
              </w:rPr>
            </w:pPr>
            <w:r w:rsidRPr="003E158D">
              <w:rPr>
                <w:rFonts w:ascii="Arial" w:eastAsia="Times New Roman" w:hAnsi="Arial" w:cs="Arial"/>
                <w:sz w:val="18"/>
                <w:szCs w:val="18"/>
                <w:lang w:eastAsia="cs-CZ"/>
              </w:rPr>
              <w:t>100 % částky přesahující 50 % hodnoty původní zakázky.</w:t>
            </w:r>
          </w:p>
        </w:tc>
      </w:tr>
    </w:tbl>
    <w:p w14:paraId="55CA1CD9" w14:textId="77777777" w:rsidR="00136F7E" w:rsidRDefault="00136F7E"/>
    <w:tbl>
      <w:tblPr>
        <w:tblStyle w:val="Mkatabulky"/>
        <w:tblW w:w="5000" w:type="pct"/>
        <w:tblLook w:val="04A0" w:firstRow="1" w:lastRow="0" w:firstColumn="1" w:lastColumn="0" w:noHBand="0" w:noVBand="1"/>
      </w:tblPr>
      <w:tblGrid>
        <w:gridCol w:w="717"/>
        <w:gridCol w:w="5762"/>
        <w:gridCol w:w="2546"/>
        <w:gridCol w:w="4969"/>
      </w:tblGrid>
      <w:tr w:rsidR="00763D91" w14:paraId="0F6CDAC9" w14:textId="77777777" w:rsidTr="003E158D">
        <w:trPr>
          <w:trHeight w:val="354"/>
        </w:trPr>
        <w:tc>
          <w:tcPr>
            <w:tcW w:w="5000" w:type="pct"/>
            <w:gridSpan w:val="4"/>
          </w:tcPr>
          <w:p w14:paraId="45C18E31" w14:textId="77777777" w:rsidR="00763D91" w:rsidRPr="003E158D" w:rsidRDefault="00763D91" w:rsidP="003E158D">
            <w:pPr>
              <w:rPr>
                <w:rFonts w:ascii="Arial" w:eastAsia="Times New Roman" w:hAnsi="Arial" w:cs="Arial"/>
                <w:b/>
                <w:bCs/>
                <w:sz w:val="18"/>
                <w:szCs w:val="18"/>
                <w:lang w:eastAsia="cs-CZ"/>
              </w:rPr>
            </w:pPr>
          </w:p>
          <w:p w14:paraId="2D78D414" w14:textId="77777777" w:rsidR="00763D91" w:rsidRPr="003E158D" w:rsidRDefault="00763D91" w:rsidP="003E158D">
            <w:pPr>
              <w:rPr>
                <w:sz w:val="18"/>
                <w:szCs w:val="18"/>
              </w:rPr>
            </w:pPr>
            <w:r w:rsidRPr="003E158D">
              <w:rPr>
                <w:rFonts w:ascii="Arial" w:eastAsia="Times New Roman" w:hAnsi="Arial" w:cs="Arial"/>
                <w:b/>
                <w:bCs/>
                <w:sz w:val="18"/>
                <w:szCs w:val="18"/>
                <w:lang w:eastAsia="cs-CZ"/>
              </w:rPr>
              <w:t>JINÉ PORUŠENÍ PRAVIDEL</w:t>
            </w:r>
          </w:p>
        </w:tc>
      </w:tr>
      <w:tr w:rsidR="00763D91" w14:paraId="767F40C5" w14:textId="77777777" w:rsidTr="003E158D">
        <w:trPr>
          <w:trHeight w:val="275"/>
        </w:trPr>
        <w:tc>
          <w:tcPr>
            <w:tcW w:w="252" w:type="pct"/>
          </w:tcPr>
          <w:p w14:paraId="5E120A7D" w14:textId="77777777" w:rsidR="00763D91" w:rsidRPr="003E158D" w:rsidRDefault="00763D91" w:rsidP="003E158D">
            <w:pP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8.1.26</w:t>
            </w:r>
          </w:p>
        </w:tc>
        <w:tc>
          <w:tcPr>
            <w:tcW w:w="2060" w:type="pct"/>
          </w:tcPr>
          <w:p w14:paraId="75294376"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Jiné porušení výše neuvedené</w:t>
            </w:r>
          </w:p>
        </w:tc>
        <w:tc>
          <w:tcPr>
            <w:tcW w:w="911" w:type="pct"/>
          </w:tcPr>
          <w:p w14:paraId="4B0DEED7"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Jiné porušení zadávání zakázek dle zákona, které mělo nebo mohlo mít vliv na výběr nejvhodnější nabídky.</w:t>
            </w:r>
          </w:p>
        </w:tc>
        <w:tc>
          <w:tcPr>
            <w:tcW w:w="1776" w:type="pct"/>
          </w:tcPr>
          <w:p w14:paraId="70909A60"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min. 25 % nebo min. 10 % nebo 5 % s ohledem na závažnost porušení</w:t>
            </w:r>
          </w:p>
        </w:tc>
      </w:tr>
      <w:tr w:rsidR="00763D91" w14:paraId="5A5BFC14" w14:textId="77777777" w:rsidTr="003E158D">
        <w:trPr>
          <w:trHeight w:val="275"/>
        </w:trPr>
        <w:tc>
          <w:tcPr>
            <w:tcW w:w="252" w:type="pct"/>
          </w:tcPr>
          <w:p w14:paraId="0AE4B4FD" w14:textId="77777777" w:rsidR="00763D91" w:rsidRPr="003E158D" w:rsidRDefault="00763D91" w:rsidP="003E158D">
            <w:pPr>
              <w:rPr>
                <w:rFonts w:ascii="Arial" w:eastAsia="Times New Roman" w:hAnsi="Arial" w:cs="Arial"/>
                <w:color w:val="000000"/>
                <w:sz w:val="18"/>
                <w:szCs w:val="18"/>
                <w:lang w:eastAsia="cs-CZ"/>
              </w:rPr>
            </w:pPr>
            <w:r w:rsidRPr="003E158D">
              <w:rPr>
                <w:rFonts w:ascii="Arial" w:eastAsia="Times New Roman" w:hAnsi="Arial" w:cs="Arial"/>
                <w:color w:val="000000"/>
                <w:sz w:val="18"/>
                <w:szCs w:val="18"/>
                <w:lang w:eastAsia="cs-CZ"/>
              </w:rPr>
              <w:t>8.1.27</w:t>
            </w:r>
          </w:p>
        </w:tc>
        <w:tc>
          <w:tcPr>
            <w:tcW w:w="2060" w:type="pct"/>
          </w:tcPr>
          <w:p w14:paraId="03000549"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Jiné porušení výše neuvedené</w:t>
            </w:r>
          </w:p>
        </w:tc>
        <w:tc>
          <w:tcPr>
            <w:tcW w:w="911" w:type="pct"/>
          </w:tcPr>
          <w:p w14:paraId="32D77DEA"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 xml:space="preserve">Jiné porušení zadávání zakázek dle zákona, které nemělo vliv na výběr nejvhodnější nabídky. Zejména pochybení formálního charakteru. </w:t>
            </w:r>
          </w:p>
        </w:tc>
        <w:tc>
          <w:tcPr>
            <w:tcW w:w="1776" w:type="pct"/>
          </w:tcPr>
          <w:p w14:paraId="10063CED" w14:textId="77777777" w:rsidR="00763D91" w:rsidRPr="003E158D" w:rsidRDefault="00763D91" w:rsidP="003E158D">
            <w:pPr>
              <w:rPr>
                <w:rFonts w:ascii="Arial" w:eastAsia="Times New Roman" w:hAnsi="Arial" w:cs="Arial"/>
                <w:sz w:val="18"/>
                <w:szCs w:val="18"/>
                <w:lang w:eastAsia="cs-CZ"/>
              </w:rPr>
            </w:pPr>
            <w:r w:rsidRPr="003E158D">
              <w:rPr>
                <w:rFonts w:ascii="Arial" w:eastAsia="Times New Roman" w:hAnsi="Arial" w:cs="Arial"/>
                <w:sz w:val="18"/>
                <w:szCs w:val="18"/>
                <w:lang w:eastAsia="cs-CZ"/>
              </w:rPr>
              <w:t>0 %</w:t>
            </w:r>
          </w:p>
        </w:tc>
      </w:tr>
    </w:tbl>
    <w:p w14:paraId="15E27D02" w14:textId="77777777" w:rsidR="00763D91" w:rsidRDefault="00763D91"/>
    <w:p w14:paraId="2CE2853A" w14:textId="77777777" w:rsidR="00572E77" w:rsidRPr="00A05433" w:rsidRDefault="00572E77" w:rsidP="00572E77">
      <w:pPr>
        <w:rPr>
          <w:rFonts w:ascii="Arial" w:hAnsi="Arial" w:cs="Arial"/>
          <w:sz w:val="18"/>
          <w:szCs w:val="18"/>
        </w:rPr>
      </w:pPr>
      <w:r w:rsidRPr="00A05433">
        <w:rPr>
          <w:rFonts w:ascii="Arial" w:hAnsi="Arial" w:cs="Arial"/>
          <w:sz w:val="18"/>
          <w:szCs w:val="18"/>
        </w:rPr>
        <w:lastRenderedPageBreak/>
        <w:t xml:space="preserve">[1] U zakázek, na které se plně nebo částečně nevztahují směrnice, je třeba určit existenci nepochybného přeshraničního významu nebo porušení vnitrostátních právních předpisů o zadávání veřejných zakázek. V tomto kontextu viz oddíl 1.2.2 těchto pokynů. Pokud má zakázka nepochybný přeshraniční význam nebo došlo k porušení vnitrostátního práva, je třeba určit, jaké úrovně zveřejnění mělo být v tomto případě použito. V této souvislosti, jak je uvedeno v oddíle 2.1.1 interpretačního sdělení Komise č. 2006/C 179/02, povinnost transparentnosti znamená, že podnik nacházející se na území jiného členského státu musí mít přístup k příslušným informacím týkajícím se zakázky ještě před tím, než bude udělena, tak aby tento podnik mohl podat nabídku nebo dát najevo svůj zájem o získání této zakázky, pokud by si to přál. V praxi to znamená, že buď bylo oznámení o zakázce zveřejněno na vnitrostátní úrovni (podle vnitrostátních právních předpisů nebo pravidel v tomto ohledu), nebo byly dodrženy základní normy pro vyhlašování zakázek. Další podrobnosti o těchto normách obsahuje oddíl 2.1 uvedeného </w:t>
      </w:r>
      <w:r w:rsidR="00444380" w:rsidRPr="00A05433">
        <w:rPr>
          <w:rFonts w:ascii="Arial" w:hAnsi="Arial" w:cs="Arial"/>
          <w:sz w:val="18"/>
          <w:szCs w:val="18"/>
        </w:rPr>
        <w:t>interpretačního sdělení Komise.</w:t>
      </w:r>
    </w:p>
    <w:p w14:paraId="091DD133" w14:textId="77777777" w:rsidR="00572E77" w:rsidRPr="00A05433" w:rsidRDefault="00572E77" w:rsidP="00572E77">
      <w:pPr>
        <w:rPr>
          <w:rFonts w:ascii="Arial" w:hAnsi="Arial" w:cs="Arial"/>
          <w:sz w:val="18"/>
          <w:szCs w:val="18"/>
        </w:rPr>
      </w:pPr>
      <w:r w:rsidRPr="00A05433">
        <w:rPr>
          <w:rFonts w:ascii="Arial" w:hAnsi="Arial" w:cs="Arial"/>
          <w:sz w:val="18"/>
          <w:szCs w:val="18"/>
        </w:rPr>
        <w:t xml:space="preserve">[2] Tyto lhůty se vztahují na užší řízení a jednací řízení s </w:t>
      </w:r>
      <w:r w:rsidR="00444380" w:rsidRPr="00A05433">
        <w:rPr>
          <w:rFonts w:ascii="Arial" w:hAnsi="Arial" w:cs="Arial"/>
          <w:sz w:val="18"/>
          <w:szCs w:val="18"/>
        </w:rPr>
        <w:t>uveřejněním oznámení o zakázce.</w:t>
      </w:r>
    </w:p>
    <w:p w14:paraId="57EF3DCF" w14:textId="77777777" w:rsidR="00572E77" w:rsidRPr="00A05433" w:rsidRDefault="00572E77" w:rsidP="00572E77">
      <w:pPr>
        <w:rPr>
          <w:rFonts w:ascii="Arial" w:hAnsi="Arial" w:cs="Arial"/>
          <w:sz w:val="18"/>
          <w:szCs w:val="18"/>
        </w:rPr>
      </w:pPr>
      <w:r w:rsidRPr="00A05433">
        <w:rPr>
          <w:rFonts w:ascii="Arial" w:hAnsi="Arial" w:cs="Arial"/>
          <w:sz w:val="18"/>
          <w:szCs w:val="18"/>
        </w:rPr>
        <w:t xml:space="preserve">[3] Tyto lhůty se vztahují na užší řízení a jednací řízení s </w:t>
      </w:r>
      <w:r w:rsidR="00444380" w:rsidRPr="00A05433">
        <w:rPr>
          <w:rFonts w:ascii="Arial" w:hAnsi="Arial" w:cs="Arial"/>
          <w:sz w:val="18"/>
          <w:szCs w:val="18"/>
        </w:rPr>
        <w:t>uveřejněním oznámení o zakázce.</w:t>
      </w:r>
    </w:p>
    <w:p w14:paraId="10231574" w14:textId="77777777" w:rsidR="00572E77" w:rsidRPr="00A05433" w:rsidRDefault="00572E77" w:rsidP="00572E77">
      <w:pPr>
        <w:rPr>
          <w:rFonts w:ascii="Arial" w:hAnsi="Arial" w:cs="Arial"/>
          <w:sz w:val="18"/>
          <w:szCs w:val="18"/>
        </w:rPr>
      </w:pPr>
      <w:r w:rsidRPr="00A05433">
        <w:rPr>
          <w:rFonts w:ascii="Arial" w:hAnsi="Arial" w:cs="Arial"/>
          <w:sz w:val="18"/>
          <w:szCs w:val="18"/>
        </w:rPr>
        <w:t>[4] U změn zakázky po jejím udělení je možné využít omezené míry pružnosti, a to i v případě, kdy tato možnost ani příslušná podrobná prováděcí pravidla nejsou stanoveny jasným a přesným způsobem v oznámení o zakázce nebo v zadávací dokumentaci (viz věc C-496/99, Succhi di frutta, bod 118). Pokud tato možnost není v zadávací dokumentaci upravena, jsou změny zakázky přijatelné, pokud nejsou podstatné. Změna se</w:t>
      </w:r>
      <w:r w:rsidR="00444380" w:rsidRPr="00A05433">
        <w:rPr>
          <w:rFonts w:ascii="Arial" w:hAnsi="Arial" w:cs="Arial"/>
          <w:sz w:val="18"/>
          <w:szCs w:val="18"/>
        </w:rPr>
        <w:t xml:space="preserve"> považuje za podstatnou, pokud:</w:t>
      </w:r>
    </w:p>
    <w:p w14:paraId="2CFAC228" w14:textId="77777777" w:rsidR="00572E77" w:rsidRPr="00A05433" w:rsidRDefault="00572E77" w:rsidP="00572E77">
      <w:pPr>
        <w:rPr>
          <w:rFonts w:ascii="Arial" w:hAnsi="Arial" w:cs="Arial"/>
          <w:sz w:val="18"/>
          <w:szCs w:val="18"/>
        </w:rPr>
      </w:pPr>
      <w:r w:rsidRPr="00A05433">
        <w:rPr>
          <w:rFonts w:ascii="Arial" w:hAnsi="Arial" w:cs="Arial"/>
          <w:sz w:val="18"/>
          <w:szCs w:val="18"/>
        </w:rPr>
        <w:t>(a) zadavatel zavádí podmínky, které – kdyby byly součástí původního zadávacího řízení – by umožnily přijetí jiných uchazečů než těch, kteří byli původně přijati;</w:t>
      </w:r>
    </w:p>
    <w:p w14:paraId="2AF74928" w14:textId="77777777" w:rsidR="00572E77" w:rsidRPr="00A05433" w:rsidRDefault="00572E77" w:rsidP="00572E77">
      <w:pPr>
        <w:rPr>
          <w:rFonts w:ascii="Arial" w:hAnsi="Arial" w:cs="Arial"/>
          <w:sz w:val="18"/>
          <w:szCs w:val="18"/>
        </w:rPr>
      </w:pPr>
      <w:r w:rsidRPr="00A05433">
        <w:rPr>
          <w:rFonts w:ascii="Arial" w:hAnsi="Arial" w:cs="Arial"/>
          <w:sz w:val="18"/>
          <w:szCs w:val="18"/>
        </w:rPr>
        <w:t>(b) změna umožňuje zadat zakázku jinému uchazeči než tomu, který byl přijat původně;</w:t>
      </w:r>
    </w:p>
    <w:p w14:paraId="6BBE4817" w14:textId="77777777" w:rsidR="00572E77" w:rsidRPr="00A05433" w:rsidRDefault="00572E77" w:rsidP="00572E77">
      <w:pPr>
        <w:rPr>
          <w:rFonts w:ascii="Arial" w:hAnsi="Arial" w:cs="Arial"/>
          <w:sz w:val="18"/>
          <w:szCs w:val="18"/>
        </w:rPr>
      </w:pPr>
      <w:r w:rsidRPr="00A05433">
        <w:rPr>
          <w:rFonts w:ascii="Arial" w:hAnsi="Arial" w:cs="Arial"/>
          <w:sz w:val="18"/>
          <w:szCs w:val="18"/>
        </w:rPr>
        <w:t>(c) zadavatel rozšíří rozsah zakázky na práce / služby / dodávky, které v ní původně nebyly zahrnuty;</w:t>
      </w:r>
    </w:p>
    <w:p w14:paraId="7DE07BE9" w14:textId="77777777" w:rsidR="00572E77" w:rsidRPr="00A05433" w:rsidRDefault="00572E77" w:rsidP="00572E77">
      <w:pPr>
        <w:rPr>
          <w:rFonts w:ascii="Arial" w:hAnsi="Arial" w:cs="Arial"/>
          <w:sz w:val="18"/>
          <w:szCs w:val="18"/>
        </w:rPr>
      </w:pPr>
      <w:r w:rsidRPr="00A05433">
        <w:rPr>
          <w:rFonts w:ascii="Arial" w:hAnsi="Arial" w:cs="Arial"/>
          <w:sz w:val="18"/>
          <w:szCs w:val="18"/>
        </w:rPr>
        <w:t>(d) změna má za následek změnu ekonomické rovnováhy ve prospěch dodavatele způsobem, který není v původní zakázce uveden.</w:t>
      </w:r>
    </w:p>
    <w:p w14:paraId="27FE86AB" w14:textId="77777777" w:rsidR="00572E77" w:rsidRPr="00A05433" w:rsidRDefault="00136F7E" w:rsidP="00572E77">
      <w:pPr>
        <w:rPr>
          <w:rFonts w:ascii="Arial" w:hAnsi="Arial" w:cs="Arial"/>
          <w:sz w:val="18"/>
          <w:szCs w:val="18"/>
        </w:rPr>
      </w:pPr>
      <w:r w:rsidRPr="00A05433">
        <w:rPr>
          <w:rFonts w:ascii="Arial" w:hAnsi="Arial" w:cs="Arial"/>
          <w:sz w:val="18"/>
          <w:szCs w:val="18"/>
        </w:rPr>
        <w:t>[5] Viz poznámka v výše.</w:t>
      </w:r>
    </w:p>
    <w:p w14:paraId="6A810CAF" w14:textId="77777777" w:rsidR="00572E77" w:rsidRPr="00A05433" w:rsidRDefault="00572E77" w:rsidP="00572E77">
      <w:pPr>
        <w:rPr>
          <w:rFonts w:ascii="Arial" w:hAnsi="Arial" w:cs="Arial"/>
          <w:sz w:val="18"/>
          <w:szCs w:val="18"/>
        </w:rPr>
      </w:pPr>
      <w:r w:rsidRPr="00A05433">
        <w:rPr>
          <w:rFonts w:ascii="Arial" w:hAnsi="Arial" w:cs="Arial"/>
          <w:sz w:val="18"/>
          <w:szCs w:val="18"/>
        </w:rPr>
        <w:t>[6] V současné době nepovažuje Soudní dvůr za podstatnou změnu původní ceny pouze její snížení o 1,47 a 2,94 % (viz věc C-454/06, Pressetext, body 61 a 62). Ve věcech T-540/10 a T-235/11 Tribunál přijal finanční opravy kvůli změn</w:t>
      </w:r>
      <w:r w:rsidR="00444380" w:rsidRPr="00A05433">
        <w:rPr>
          <w:rFonts w:ascii="Arial" w:hAnsi="Arial" w:cs="Arial"/>
          <w:sz w:val="18"/>
          <w:szCs w:val="18"/>
        </w:rPr>
        <w:t>ám nižším než 2 % původní ceny.</w:t>
      </w:r>
    </w:p>
    <w:p w14:paraId="73D0891C" w14:textId="77777777" w:rsidR="00572E77" w:rsidRPr="00A05433" w:rsidRDefault="00136F7E" w:rsidP="00572E77">
      <w:pPr>
        <w:rPr>
          <w:rFonts w:ascii="Arial" w:hAnsi="Arial" w:cs="Arial"/>
          <w:sz w:val="18"/>
          <w:szCs w:val="18"/>
        </w:rPr>
      </w:pPr>
      <w:r w:rsidRPr="00A05433">
        <w:rPr>
          <w:rFonts w:ascii="Arial" w:hAnsi="Arial" w:cs="Arial"/>
          <w:sz w:val="18"/>
          <w:szCs w:val="18"/>
        </w:rPr>
        <w:t>[7] Viz poznámka</w:t>
      </w:r>
      <w:r w:rsidR="00444380" w:rsidRPr="00A05433">
        <w:rPr>
          <w:rFonts w:ascii="Arial" w:hAnsi="Arial" w:cs="Arial"/>
          <w:sz w:val="18"/>
          <w:szCs w:val="18"/>
        </w:rPr>
        <w:t xml:space="preserve"> výše.</w:t>
      </w:r>
    </w:p>
    <w:p w14:paraId="2228FAD3" w14:textId="77777777" w:rsidR="00572E77" w:rsidRPr="00A05433" w:rsidRDefault="00572E77" w:rsidP="00572E77">
      <w:pPr>
        <w:rPr>
          <w:rFonts w:ascii="Arial" w:hAnsi="Arial" w:cs="Arial"/>
          <w:sz w:val="18"/>
          <w:szCs w:val="18"/>
        </w:rPr>
      </w:pPr>
      <w:r w:rsidRPr="00A05433">
        <w:rPr>
          <w:rFonts w:ascii="Arial" w:hAnsi="Arial" w:cs="Arial"/>
          <w:sz w:val="18"/>
          <w:szCs w:val="18"/>
        </w:rPr>
        <w:t xml:space="preserve">[8] Pojem „nepředvídané okolnosti“ by měl být vykládán s ohledem na to, co by měl pečlivý veřejný zadavatel předvídat (např. nové požadavky vyplývající z přijetí nových předpisů EU nebo vnitrostátních právních předpisů nebo technických podmínek, které nebylo možné předvídat, a to i přes technické šetření v rámci vypracovávání návrhu provedené v souladu se současným stavem). Dodatečné práce / služby / dodávky způsobené nedostatečnou přípravou nabídkového řízení / projektu nelze považovat za „nepředvídané okolnosti“ – viz věci T-540/10 a T-235/11 (uvedené </w:t>
      </w:r>
      <w:r w:rsidR="00444380" w:rsidRPr="00A05433">
        <w:rPr>
          <w:rFonts w:ascii="Arial" w:hAnsi="Arial" w:cs="Arial"/>
          <w:sz w:val="18"/>
          <w:szCs w:val="18"/>
        </w:rPr>
        <w:t>výše).</w:t>
      </w:r>
    </w:p>
    <w:p w14:paraId="192B29AD" w14:textId="77777777" w:rsidR="00572E77" w:rsidRPr="00A05433" w:rsidRDefault="00572E77" w:rsidP="00572E77">
      <w:pPr>
        <w:rPr>
          <w:rFonts w:ascii="Arial" w:hAnsi="Arial" w:cs="Arial"/>
          <w:sz w:val="18"/>
          <w:szCs w:val="18"/>
        </w:rPr>
      </w:pPr>
      <w:r w:rsidRPr="00A05433">
        <w:rPr>
          <w:rFonts w:ascii="Arial" w:hAnsi="Arial" w:cs="Arial"/>
          <w:sz w:val="18"/>
          <w:szCs w:val="18"/>
        </w:rPr>
        <w:lastRenderedPageBreak/>
        <w:t>[9] Ve směrnici 2004/17/ES není uveden žádný limit. Pro výpočet 20% prahové hodnoty zadavatel zohlední dodatečné práce/služby. Hodnota těchto dodatečných prací/služeb nemůže být kompenzována hodnotou zrušených prací/služeb. Částka za zrušené stavební práce/služby nemá žádný vliv na výpočet 20% prahové hodnoty.</w:t>
      </w:r>
      <w:r w:rsidRPr="00A05433">
        <w:rPr>
          <w:rFonts w:ascii="Arial" w:hAnsi="Arial" w:cs="Arial"/>
          <w:sz w:val="18"/>
          <w:szCs w:val="18"/>
        </w:rPr>
        <w:cr/>
      </w:r>
    </w:p>
    <w:p w14:paraId="6C59E3B1" w14:textId="77777777" w:rsidR="00572E77" w:rsidRPr="00742F7C" w:rsidRDefault="00572E77" w:rsidP="00572E77">
      <w:pPr>
        <w:rPr>
          <w:rFonts w:ascii="Arial" w:hAnsi="Arial" w:cs="Arial"/>
          <w:b/>
        </w:rPr>
      </w:pPr>
      <w:r w:rsidRPr="00742F7C">
        <w:rPr>
          <w:rFonts w:ascii="Arial" w:hAnsi="Arial" w:cs="Arial"/>
          <w:b/>
        </w:rPr>
        <w:t>8.2</w:t>
      </w:r>
      <w:r w:rsidRPr="00742F7C">
        <w:rPr>
          <w:rFonts w:ascii="Arial" w:hAnsi="Arial" w:cs="Arial"/>
          <w:b/>
        </w:rPr>
        <w:tab/>
        <w:t xml:space="preserve">Zakázky, které jsou zadávány mimo režim zákona č. 137/2006 Sb., o veřejných zakázkách </w:t>
      </w:r>
    </w:p>
    <w:p w14:paraId="1F345619" w14:textId="77777777" w:rsidR="00EB4EA0" w:rsidRPr="00EB4EA0" w:rsidRDefault="00EB4EA0" w:rsidP="00EB4EA0">
      <w:pPr>
        <w:autoSpaceDE w:val="0"/>
        <w:autoSpaceDN w:val="0"/>
        <w:adjustRightInd w:val="0"/>
        <w:rPr>
          <w:rFonts w:ascii="Arial" w:hAnsi="Arial" w:cs="Arial"/>
          <w:sz w:val="20"/>
          <w:szCs w:val="20"/>
        </w:rPr>
      </w:pPr>
      <w:r w:rsidRPr="00EB4EA0">
        <w:rPr>
          <w:rFonts w:ascii="Arial" w:hAnsi="Arial" w:cs="Arial"/>
          <w:sz w:val="20"/>
          <w:szCs w:val="20"/>
        </w:rPr>
        <w:t xml:space="preserve">Sazby opravy (korekce / </w:t>
      </w:r>
      <w:r w:rsidR="005C3235">
        <w:rPr>
          <w:rFonts w:ascii="Arial" w:hAnsi="Arial" w:cs="Arial"/>
          <w:sz w:val="20"/>
          <w:szCs w:val="20"/>
        </w:rPr>
        <w:t>nižší</w:t>
      </w:r>
      <w:r w:rsidRPr="00EB4EA0">
        <w:rPr>
          <w:rFonts w:ascii="Arial" w:hAnsi="Arial" w:cs="Arial"/>
          <w:sz w:val="20"/>
          <w:szCs w:val="20"/>
        </w:rPr>
        <w:t xml:space="preserve"> odvodu) uvedené v tabulce vycházejí z </w:t>
      </w:r>
      <w:r w:rsidR="00F911D5">
        <w:rPr>
          <w:rFonts w:ascii="Arial" w:hAnsi="Arial" w:cs="Arial"/>
          <w:i/>
          <w:sz w:val="20"/>
          <w:szCs w:val="20"/>
        </w:rPr>
        <w:t>Metodick</w:t>
      </w:r>
      <w:r w:rsidR="005C3235">
        <w:rPr>
          <w:rFonts w:ascii="Arial" w:hAnsi="Arial" w:cs="Arial"/>
          <w:i/>
          <w:sz w:val="20"/>
          <w:szCs w:val="20"/>
        </w:rPr>
        <w:t>ého</w:t>
      </w:r>
      <w:r w:rsidR="00F911D5">
        <w:rPr>
          <w:rFonts w:ascii="Arial" w:hAnsi="Arial" w:cs="Arial"/>
          <w:i/>
          <w:sz w:val="20"/>
          <w:szCs w:val="20"/>
        </w:rPr>
        <w:t xml:space="preserve"> pokyn</w:t>
      </w:r>
      <w:r w:rsidR="005C3235">
        <w:rPr>
          <w:rFonts w:ascii="Arial" w:hAnsi="Arial" w:cs="Arial"/>
          <w:i/>
          <w:sz w:val="20"/>
          <w:szCs w:val="20"/>
        </w:rPr>
        <w:t>u</w:t>
      </w:r>
      <w:r w:rsidR="00F911D5">
        <w:rPr>
          <w:rFonts w:ascii="Arial" w:hAnsi="Arial" w:cs="Arial"/>
          <w:i/>
          <w:sz w:val="20"/>
          <w:szCs w:val="20"/>
        </w:rPr>
        <w:t xml:space="preserve"> pro oblast zadávání zakázek pro programové období 2014 -2020</w:t>
      </w:r>
      <w:r w:rsidRPr="00EB4EA0">
        <w:rPr>
          <w:rFonts w:ascii="Arial" w:hAnsi="Arial" w:cs="Arial"/>
          <w:i/>
          <w:sz w:val="20"/>
          <w:szCs w:val="20"/>
        </w:rPr>
        <w:t xml:space="preserve"> (</w:t>
      </w:r>
      <w:r w:rsidRPr="00EB4EA0">
        <w:rPr>
          <w:rFonts w:ascii="Arial" w:hAnsi="Arial" w:cs="Arial"/>
          <w:sz w:val="20"/>
          <w:szCs w:val="20"/>
        </w:rPr>
        <w:t>Závazné postupy</w:t>
      </w:r>
      <w:r w:rsidRPr="00EB4EA0">
        <w:rPr>
          <w:rFonts w:ascii="Arial" w:hAnsi="Arial" w:cs="Arial"/>
          <w:i/>
          <w:sz w:val="20"/>
          <w:szCs w:val="20"/>
        </w:rPr>
        <w:t>).</w:t>
      </w:r>
      <w:r w:rsidR="005C3235">
        <w:rPr>
          <w:rFonts w:ascii="Arial" w:hAnsi="Arial" w:cs="Arial"/>
          <w:i/>
          <w:sz w:val="20"/>
          <w:szCs w:val="20"/>
        </w:rPr>
        <w:t xml:space="preserve"> </w:t>
      </w:r>
    </w:p>
    <w:p w14:paraId="3015BEAE" w14:textId="77777777" w:rsidR="00572E77" w:rsidRPr="004D47B0" w:rsidRDefault="00572E77" w:rsidP="00572E77">
      <w:pPr>
        <w:rPr>
          <w:rFonts w:ascii="Arial" w:hAnsi="Arial" w:cs="Arial"/>
          <w:sz w:val="20"/>
          <w:szCs w:val="20"/>
        </w:rPr>
      </w:pPr>
      <w:r w:rsidRPr="004D47B0">
        <w:rPr>
          <w:rFonts w:ascii="Arial" w:hAnsi="Arial" w:cs="Arial"/>
          <w:sz w:val="20"/>
          <w:szCs w:val="20"/>
        </w:rPr>
        <w:t>Vyskytne-li se v jednom výběrovém řízení více porušení pravidel uvedených v tomto MP, sazby oprav se nesčítají, ale zohlední se při rozhodování o sazbě opravy (5 %, 10 %, 25 % nebo 100 %) nejzávažnější porušení. Nižší odvod ve výši 100 % je možné uplatnit v nejzávažnějších případech, kdy porušení zvýhodňuje určité uchazeče/zájemce nebo kdy se porušení týká podvodu, jak určí příslušný soud</w:t>
      </w:r>
      <w:r w:rsidR="00444380" w:rsidRPr="004D47B0">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117"/>
        <w:gridCol w:w="747"/>
        <w:gridCol w:w="3697"/>
        <w:gridCol w:w="4716"/>
      </w:tblGrid>
      <w:tr w:rsidR="00D72276" w:rsidRPr="00A05433" w14:paraId="6BA35E23" w14:textId="77777777" w:rsidTr="00A05433">
        <w:trPr>
          <w:tblHeader/>
        </w:trPr>
        <w:tc>
          <w:tcPr>
            <w:tcW w:w="256" w:type="pct"/>
          </w:tcPr>
          <w:p w14:paraId="4D40EFD4" w14:textId="77777777" w:rsidR="00D72276" w:rsidRPr="00A05433" w:rsidRDefault="00D72276" w:rsidP="00A05433">
            <w:pPr>
              <w:spacing w:before="60" w:after="60"/>
              <w:rPr>
                <w:rFonts w:ascii="Arial" w:hAnsi="Arial" w:cs="Arial"/>
                <w:b/>
                <w:sz w:val="18"/>
                <w:szCs w:val="18"/>
              </w:rPr>
            </w:pPr>
            <w:r w:rsidRPr="00A05433">
              <w:rPr>
                <w:rFonts w:ascii="Arial" w:hAnsi="Arial" w:cs="Arial"/>
                <w:b/>
                <w:sz w:val="18"/>
                <w:szCs w:val="18"/>
              </w:rPr>
              <w:t xml:space="preserve">Č. </w:t>
            </w:r>
          </w:p>
        </w:tc>
        <w:tc>
          <w:tcPr>
            <w:tcW w:w="1738" w:type="pct"/>
            <w:gridSpan w:val="2"/>
            <w:shd w:val="clear" w:color="auto" w:fill="auto"/>
          </w:tcPr>
          <w:p w14:paraId="4F3D70F4" w14:textId="77777777" w:rsidR="00D72276" w:rsidRPr="00A05433" w:rsidRDefault="00D72276" w:rsidP="00A05433">
            <w:pPr>
              <w:spacing w:before="60" w:after="60"/>
              <w:rPr>
                <w:rFonts w:ascii="Arial" w:hAnsi="Arial" w:cs="Arial"/>
                <w:b/>
                <w:sz w:val="18"/>
                <w:szCs w:val="18"/>
              </w:rPr>
            </w:pPr>
            <w:r w:rsidRPr="00A05433">
              <w:rPr>
                <w:rFonts w:ascii="Arial" w:hAnsi="Arial" w:cs="Arial"/>
                <w:b/>
                <w:sz w:val="18"/>
                <w:szCs w:val="18"/>
              </w:rPr>
              <w:t>Typ nesrovnalosti</w:t>
            </w:r>
          </w:p>
          <w:p w14:paraId="032331C9" w14:textId="77777777" w:rsidR="00D72276" w:rsidRPr="00A05433" w:rsidRDefault="00D72276" w:rsidP="00A05433">
            <w:pPr>
              <w:spacing w:before="60" w:after="60"/>
              <w:rPr>
                <w:rFonts w:ascii="Arial" w:hAnsi="Arial" w:cs="Arial"/>
                <w:b/>
                <w:sz w:val="18"/>
                <w:szCs w:val="18"/>
              </w:rPr>
            </w:pPr>
            <w:r w:rsidRPr="00A05433">
              <w:rPr>
                <w:rFonts w:ascii="Arial" w:hAnsi="Arial" w:cs="Arial"/>
                <w:b/>
                <w:sz w:val="18"/>
                <w:szCs w:val="18"/>
              </w:rPr>
              <w:t>Popis pochybení</w:t>
            </w:r>
          </w:p>
        </w:tc>
        <w:tc>
          <w:tcPr>
            <w:tcW w:w="1321" w:type="pct"/>
          </w:tcPr>
          <w:p w14:paraId="7839AA22" w14:textId="77777777" w:rsidR="00D72276" w:rsidRPr="00A05433" w:rsidRDefault="00D72276" w:rsidP="00A05433">
            <w:pPr>
              <w:spacing w:before="60" w:after="60"/>
              <w:rPr>
                <w:rFonts w:ascii="Arial" w:hAnsi="Arial" w:cs="Arial"/>
                <w:b/>
                <w:sz w:val="18"/>
                <w:szCs w:val="18"/>
              </w:rPr>
            </w:pPr>
          </w:p>
        </w:tc>
        <w:tc>
          <w:tcPr>
            <w:tcW w:w="1686" w:type="pct"/>
          </w:tcPr>
          <w:p w14:paraId="5740CA72" w14:textId="77777777" w:rsidR="00D72276" w:rsidRPr="00A05433" w:rsidRDefault="00EB4EA0" w:rsidP="00A05433">
            <w:pPr>
              <w:spacing w:before="60" w:after="60"/>
              <w:rPr>
                <w:rFonts w:ascii="Arial" w:hAnsi="Arial" w:cs="Arial"/>
                <w:b/>
                <w:sz w:val="18"/>
                <w:szCs w:val="18"/>
              </w:rPr>
            </w:pPr>
            <w:r w:rsidRPr="00A05433">
              <w:rPr>
                <w:rFonts w:ascii="Arial" w:eastAsia="Times New Roman" w:hAnsi="Arial" w:cs="Arial"/>
                <w:b/>
                <w:bCs/>
                <w:sz w:val="18"/>
                <w:szCs w:val="18"/>
                <w:lang w:eastAsia="cs-CZ"/>
              </w:rPr>
              <w:t xml:space="preserve">Sazby opravy (korekce či </w:t>
            </w:r>
            <w:r w:rsidR="00FB5DF8" w:rsidRPr="00A05433">
              <w:rPr>
                <w:rFonts w:ascii="Arial" w:eastAsia="Times New Roman" w:hAnsi="Arial" w:cs="Arial"/>
                <w:b/>
                <w:bCs/>
                <w:sz w:val="18"/>
                <w:szCs w:val="18"/>
                <w:lang w:eastAsia="cs-CZ"/>
              </w:rPr>
              <w:t>nižší</w:t>
            </w:r>
            <w:r w:rsidRPr="00A05433">
              <w:rPr>
                <w:rFonts w:ascii="Arial" w:eastAsia="Times New Roman" w:hAnsi="Arial" w:cs="Arial"/>
                <w:b/>
                <w:bCs/>
                <w:sz w:val="18"/>
                <w:szCs w:val="18"/>
                <w:lang w:eastAsia="cs-CZ"/>
              </w:rPr>
              <w:t xml:space="preserve"> odvod)</w:t>
            </w:r>
          </w:p>
        </w:tc>
      </w:tr>
      <w:tr w:rsidR="00D72276" w:rsidRPr="00A05433" w14:paraId="43B73C90" w14:textId="77777777" w:rsidTr="00A05433">
        <w:trPr>
          <w:trHeight w:val="224"/>
        </w:trPr>
        <w:tc>
          <w:tcPr>
            <w:tcW w:w="5000" w:type="pct"/>
            <w:gridSpan w:val="5"/>
          </w:tcPr>
          <w:p w14:paraId="67DA7B40" w14:textId="77777777" w:rsidR="00D72276" w:rsidRPr="00A05433" w:rsidRDefault="00D72276" w:rsidP="00A05433">
            <w:pPr>
              <w:autoSpaceDE w:val="0"/>
              <w:autoSpaceDN w:val="0"/>
              <w:adjustRightInd w:val="0"/>
              <w:rPr>
                <w:rFonts w:ascii="Arial" w:hAnsi="Arial" w:cs="Arial"/>
                <w:b/>
                <w:sz w:val="18"/>
                <w:szCs w:val="18"/>
              </w:rPr>
            </w:pPr>
            <w:r w:rsidRPr="00A05433">
              <w:rPr>
                <w:rFonts w:ascii="Arial" w:hAnsi="Arial" w:cs="Arial"/>
                <w:b/>
                <w:sz w:val="18"/>
                <w:szCs w:val="18"/>
              </w:rPr>
              <w:t xml:space="preserve"> OZNÁMENÍ O ZAKÁZCE A ZADÁVACÍ PODMÍNKY</w:t>
            </w:r>
          </w:p>
        </w:tc>
      </w:tr>
      <w:tr w:rsidR="00D72276" w:rsidRPr="00A05433" w14:paraId="27E2DEBF" w14:textId="77777777" w:rsidTr="00A05433">
        <w:trPr>
          <w:trHeight w:val="240"/>
        </w:trPr>
        <w:tc>
          <w:tcPr>
            <w:tcW w:w="256" w:type="pct"/>
          </w:tcPr>
          <w:p w14:paraId="679B32E2" w14:textId="77777777" w:rsidR="00D72276" w:rsidRPr="00A05433" w:rsidRDefault="00D72276" w:rsidP="00A05433">
            <w:pPr>
              <w:pStyle w:val="Default"/>
              <w:rPr>
                <w:sz w:val="18"/>
                <w:szCs w:val="18"/>
              </w:rPr>
            </w:pPr>
            <w:r w:rsidRPr="00A05433">
              <w:rPr>
                <w:sz w:val="18"/>
                <w:szCs w:val="18"/>
              </w:rPr>
              <w:t>8.2.1</w:t>
            </w:r>
          </w:p>
        </w:tc>
        <w:tc>
          <w:tcPr>
            <w:tcW w:w="1738" w:type="pct"/>
            <w:gridSpan w:val="2"/>
            <w:shd w:val="clear" w:color="auto" w:fill="auto"/>
          </w:tcPr>
          <w:p w14:paraId="47FBE862"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Neuveřejnění nebo neodeslání oznámení výběrového řízení</w:t>
            </w:r>
          </w:p>
        </w:tc>
        <w:tc>
          <w:tcPr>
            <w:tcW w:w="1321" w:type="pct"/>
          </w:tcPr>
          <w:p w14:paraId="260EE11A"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Zakázka byla zadána, aniž by bylo uveřejněno nebo odesláno oznámení výběrového řízení dle platných Pravidel pro žadatele a příjemce, dle kapitoly Zadávání zakázek v rámci OP PPR</w:t>
            </w:r>
          </w:p>
        </w:tc>
        <w:tc>
          <w:tcPr>
            <w:tcW w:w="1686" w:type="pct"/>
          </w:tcPr>
          <w:p w14:paraId="23DE72B2"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100 % nebo min. 25 % pokud byla dodržena určitá míra uveřejnění</w:t>
            </w:r>
          </w:p>
        </w:tc>
      </w:tr>
      <w:tr w:rsidR="00D72276" w:rsidRPr="00A05433" w14:paraId="2515679B" w14:textId="77777777" w:rsidTr="00A05433">
        <w:trPr>
          <w:trHeight w:val="240"/>
        </w:trPr>
        <w:tc>
          <w:tcPr>
            <w:tcW w:w="256" w:type="pct"/>
          </w:tcPr>
          <w:p w14:paraId="4588152F" w14:textId="77777777" w:rsidR="00D72276" w:rsidRPr="00A05433" w:rsidRDefault="00D72276" w:rsidP="00A05433">
            <w:pPr>
              <w:pStyle w:val="Default"/>
              <w:rPr>
                <w:sz w:val="18"/>
                <w:szCs w:val="18"/>
              </w:rPr>
            </w:pPr>
            <w:r w:rsidRPr="00A05433">
              <w:rPr>
                <w:sz w:val="18"/>
                <w:szCs w:val="18"/>
              </w:rPr>
              <w:t>8.2.2</w:t>
            </w:r>
          </w:p>
        </w:tc>
        <w:tc>
          <w:tcPr>
            <w:tcW w:w="1738" w:type="pct"/>
            <w:gridSpan w:val="2"/>
            <w:shd w:val="clear" w:color="auto" w:fill="auto"/>
          </w:tcPr>
          <w:p w14:paraId="10A19713"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Umělé rozdělení předmětu zakázky</w:t>
            </w:r>
          </w:p>
        </w:tc>
        <w:tc>
          <w:tcPr>
            <w:tcW w:w="1321" w:type="pct"/>
          </w:tcPr>
          <w:p w14:paraId="222D761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Předmět zakázky je rozdělen tak, aby došlo ke snížení předpokládané hodnoty pod limity stanovené v tomto MP a jeho zadání v mírnějším režimu, než je stanoven pro předmět zakázky před jejím rozdělením.</w:t>
            </w:r>
          </w:p>
        </w:tc>
        <w:tc>
          <w:tcPr>
            <w:tcW w:w="1686" w:type="pct"/>
          </w:tcPr>
          <w:p w14:paraId="45172C90"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100 % nebo min. 25 % pokud byla dodržena určitá míra uveřejnění</w:t>
            </w:r>
          </w:p>
        </w:tc>
      </w:tr>
      <w:tr w:rsidR="00D72276" w:rsidRPr="00A05433" w14:paraId="5C10FC4A" w14:textId="77777777" w:rsidTr="00A05433">
        <w:trPr>
          <w:trHeight w:val="240"/>
        </w:trPr>
        <w:tc>
          <w:tcPr>
            <w:tcW w:w="256" w:type="pct"/>
          </w:tcPr>
          <w:p w14:paraId="4134703D" w14:textId="77777777" w:rsidR="00D72276" w:rsidRPr="00A05433" w:rsidRDefault="00D72276" w:rsidP="00A05433">
            <w:pPr>
              <w:pStyle w:val="Default"/>
              <w:rPr>
                <w:sz w:val="18"/>
                <w:szCs w:val="18"/>
              </w:rPr>
            </w:pPr>
            <w:r w:rsidRPr="00A05433">
              <w:rPr>
                <w:sz w:val="18"/>
                <w:szCs w:val="18"/>
              </w:rPr>
              <w:t>8.2.3.</w:t>
            </w:r>
          </w:p>
        </w:tc>
        <w:tc>
          <w:tcPr>
            <w:tcW w:w="1738" w:type="pct"/>
            <w:gridSpan w:val="2"/>
            <w:shd w:val="clear" w:color="auto" w:fill="auto"/>
          </w:tcPr>
          <w:p w14:paraId="13C2A037" w14:textId="77777777" w:rsidR="00D72276" w:rsidRPr="00A05433" w:rsidRDefault="00D72276" w:rsidP="00A05433">
            <w:pPr>
              <w:spacing w:after="0" w:line="240" w:lineRule="auto"/>
              <w:rPr>
                <w:rFonts w:ascii="Arial" w:eastAsia="Times New Roman" w:hAnsi="Arial" w:cs="Arial"/>
                <w:color w:val="212121"/>
                <w:sz w:val="18"/>
                <w:szCs w:val="18"/>
                <w:lang w:eastAsia="cs-CZ"/>
              </w:rPr>
            </w:pPr>
            <w:r w:rsidRPr="00A05433">
              <w:rPr>
                <w:rFonts w:ascii="Arial" w:eastAsia="Times New Roman" w:hAnsi="Arial" w:cs="Arial"/>
                <w:color w:val="212121"/>
                <w:sz w:val="18"/>
                <w:szCs w:val="18"/>
                <w:lang w:eastAsia="cs-CZ"/>
              </w:rPr>
              <w:t>Nedodržení minimální délky lhůty pro podání nabídek</w:t>
            </w:r>
          </w:p>
        </w:tc>
        <w:tc>
          <w:tcPr>
            <w:tcW w:w="1321" w:type="pct"/>
          </w:tcPr>
          <w:p w14:paraId="2C891F78"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Lhůty pro podání nabídek byly nižší než lhůty uvedené v platných Pravidlech pro žadatele a příjemce, dle kapitoly Zadávání zakázek v rámci OP PPR</w:t>
            </w:r>
          </w:p>
        </w:tc>
        <w:tc>
          <w:tcPr>
            <w:tcW w:w="1686" w:type="pct"/>
          </w:tcPr>
          <w:p w14:paraId="23890EF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pokud je délka lhůty kratší alespoň o 50 % její délky stanovené Pravidly pro žadatele a příjemce</w:t>
            </w:r>
            <w:r w:rsidRPr="00A05433">
              <w:rPr>
                <w:rFonts w:ascii="Arial" w:eastAsia="Times New Roman" w:hAnsi="Arial" w:cs="Arial"/>
                <w:sz w:val="18"/>
                <w:szCs w:val="18"/>
                <w:lang w:eastAsia="cs-CZ"/>
              </w:rPr>
              <w:br/>
              <w:t>min. 10 %, pokud je délka lhůty kratší alespoň o 30 % její délky stanovené Pravidly pro žadatele a příjemce</w:t>
            </w:r>
            <w:r w:rsidRPr="00A05433">
              <w:rPr>
                <w:rFonts w:ascii="Arial" w:eastAsia="Times New Roman" w:hAnsi="Arial" w:cs="Arial"/>
                <w:sz w:val="18"/>
                <w:szCs w:val="18"/>
                <w:lang w:eastAsia="cs-CZ"/>
              </w:rPr>
              <w:br/>
              <w:t>2 - 5 %, v případě jiného zkrácení lhůty pro podání nabídek</w:t>
            </w:r>
          </w:p>
        </w:tc>
      </w:tr>
      <w:tr w:rsidR="00D72276" w:rsidRPr="00A05433" w14:paraId="198507A0" w14:textId="77777777" w:rsidTr="00A05433">
        <w:trPr>
          <w:trHeight w:val="240"/>
        </w:trPr>
        <w:tc>
          <w:tcPr>
            <w:tcW w:w="256" w:type="pct"/>
          </w:tcPr>
          <w:p w14:paraId="12AB90CE" w14:textId="77777777" w:rsidR="00D72276" w:rsidRPr="00A05433" w:rsidRDefault="00D72276" w:rsidP="00A05433">
            <w:pPr>
              <w:pStyle w:val="Default"/>
              <w:rPr>
                <w:sz w:val="18"/>
                <w:szCs w:val="18"/>
              </w:rPr>
            </w:pPr>
            <w:r w:rsidRPr="00A05433">
              <w:rPr>
                <w:sz w:val="18"/>
                <w:szCs w:val="18"/>
              </w:rPr>
              <w:t>8.2.4</w:t>
            </w:r>
          </w:p>
        </w:tc>
        <w:tc>
          <w:tcPr>
            <w:tcW w:w="1738" w:type="pct"/>
            <w:gridSpan w:val="2"/>
            <w:shd w:val="clear" w:color="auto" w:fill="auto"/>
          </w:tcPr>
          <w:p w14:paraId="5ADEF438"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Nedostatečná doba k opatření zadávací dokumentace</w:t>
            </w:r>
          </w:p>
        </w:tc>
        <w:tc>
          <w:tcPr>
            <w:tcW w:w="1321" w:type="pct"/>
          </w:tcPr>
          <w:p w14:paraId="364BE9D4"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Doba k tomu, aby si dodavatelé opatřili zadávací dokumentaci, je příliš krátká, a vytváří tak neodůvodněnou překážku pro otevření veřejné zakázky hospodářské soutěži.</w:t>
            </w:r>
          </w:p>
        </w:tc>
        <w:tc>
          <w:tcPr>
            <w:tcW w:w="1686" w:type="pct"/>
          </w:tcPr>
          <w:p w14:paraId="1956298F"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je-li doba, do kdy si dodavatelé musí opatřit zadávací dokumentaci, kratší než 50 % lhůty pro doručení nabídek.</w:t>
            </w:r>
            <w:r w:rsidRPr="00A05433">
              <w:rPr>
                <w:rFonts w:ascii="Arial" w:eastAsia="Times New Roman" w:hAnsi="Arial" w:cs="Arial"/>
                <w:sz w:val="18"/>
                <w:szCs w:val="18"/>
                <w:lang w:eastAsia="cs-CZ"/>
              </w:rPr>
              <w:br/>
              <w:t xml:space="preserve">min. 10 %, je-li doba, do kdy si dodavatelé musí opatřit zadávací dokumentaci, kratší než 60 % lhůty pro </w:t>
            </w:r>
            <w:r w:rsidRPr="00A05433">
              <w:rPr>
                <w:rFonts w:ascii="Arial" w:eastAsia="Times New Roman" w:hAnsi="Arial" w:cs="Arial"/>
                <w:sz w:val="18"/>
                <w:szCs w:val="18"/>
                <w:lang w:eastAsia="cs-CZ"/>
              </w:rPr>
              <w:lastRenderedPageBreak/>
              <w:t>doručení nabídek</w:t>
            </w:r>
            <w:r w:rsidRPr="00A05433">
              <w:rPr>
                <w:rFonts w:ascii="Arial" w:eastAsia="Times New Roman" w:hAnsi="Arial" w:cs="Arial"/>
                <w:sz w:val="18"/>
                <w:szCs w:val="18"/>
                <w:lang w:eastAsia="cs-CZ"/>
              </w:rPr>
              <w:br/>
              <w:t>min. 5 %, je-li doba, do kdy si dodavatelé musí opatřit zadávací dokumentaci, kratší než 80% lhůty pro doručení nabídek</w:t>
            </w:r>
          </w:p>
        </w:tc>
      </w:tr>
      <w:tr w:rsidR="00D72276" w:rsidRPr="00A05433" w14:paraId="3FB5226B" w14:textId="77777777" w:rsidTr="00A05433">
        <w:trPr>
          <w:trHeight w:val="266"/>
        </w:trPr>
        <w:tc>
          <w:tcPr>
            <w:tcW w:w="256" w:type="pct"/>
          </w:tcPr>
          <w:p w14:paraId="1F825334" w14:textId="77777777" w:rsidR="00D72276" w:rsidRPr="00A05433" w:rsidRDefault="00D72276" w:rsidP="00A05433">
            <w:pPr>
              <w:pStyle w:val="Default"/>
              <w:rPr>
                <w:sz w:val="18"/>
                <w:szCs w:val="18"/>
              </w:rPr>
            </w:pPr>
            <w:r w:rsidRPr="00A05433">
              <w:rPr>
                <w:sz w:val="18"/>
                <w:szCs w:val="18"/>
              </w:rPr>
              <w:lastRenderedPageBreak/>
              <w:t>8.2.5</w:t>
            </w:r>
          </w:p>
        </w:tc>
        <w:tc>
          <w:tcPr>
            <w:tcW w:w="1738" w:type="pct"/>
            <w:gridSpan w:val="2"/>
            <w:shd w:val="clear" w:color="auto" w:fill="auto"/>
          </w:tcPr>
          <w:p w14:paraId="65BEAFB4"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Neuveřejnění informací o prodloužení lhůty pro podání nabídek</w:t>
            </w:r>
          </w:p>
        </w:tc>
        <w:tc>
          <w:tcPr>
            <w:tcW w:w="1321" w:type="pct"/>
          </w:tcPr>
          <w:p w14:paraId="5F6786F9"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Došlo k prodloužení lhůty pro podání nabídek, ale toto prodloužení nebylo uveřejněno stejným způsobem, jakým bylo zahájeno výběrové řízení.</w:t>
            </w:r>
          </w:p>
        </w:tc>
        <w:tc>
          <w:tcPr>
            <w:tcW w:w="1686" w:type="pct"/>
          </w:tcPr>
          <w:p w14:paraId="21B1DE98"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10 % nebo min. 5 %, s ohledem na závažnost porušení</w:t>
            </w:r>
          </w:p>
        </w:tc>
      </w:tr>
      <w:tr w:rsidR="00D72276" w:rsidRPr="00A05433" w14:paraId="4839F4A4" w14:textId="77777777" w:rsidTr="00A05433">
        <w:trPr>
          <w:trHeight w:val="583"/>
        </w:trPr>
        <w:tc>
          <w:tcPr>
            <w:tcW w:w="256" w:type="pct"/>
          </w:tcPr>
          <w:p w14:paraId="22F63B5D" w14:textId="77777777" w:rsidR="00D72276" w:rsidRPr="00A05433" w:rsidRDefault="00D72276" w:rsidP="00A05433">
            <w:pPr>
              <w:pStyle w:val="Default"/>
              <w:rPr>
                <w:sz w:val="18"/>
                <w:szCs w:val="18"/>
              </w:rPr>
            </w:pPr>
            <w:r w:rsidRPr="00A05433">
              <w:rPr>
                <w:sz w:val="18"/>
                <w:szCs w:val="18"/>
              </w:rPr>
              <w:t>8.2.6</w:t>
            </w:r>
          </w:p>
        </w:tc>
        <w:tc>
          <w:tcPr>
            <w:tcW w:w="1738" w:type="pct"/>
            <w:gridSpan w:val="2"/>
            <w:shd w:val="clear" w:color="auto" w:fill="auto"/>
          </w:tcPr>
          <w:p w14:paraId="5B50261E" w14:textId="77777777" w:rsidR="00D72276" w:rsidRPr="00A05433" w:rsidRDefault="00D72276" w:rsidP="00A05433">
            <w:pPr>
              <w:spacing w:after="0" w:line="240" w:lineRule="auto"/>
              <w:rPr>
                <w:rFonts w:ascii="Arial" w:eastAsia="Times New Roman" w:hAnsi="Arial" w:cs="Arial"/>
                <w:color w:val="212121"/>
                <w:sz w:val="18"/>
                <w:szCs w:val="18"/>
                <w:lang w:eastAsia="cs-CZ"/>
              </w:rPr>
            </w:pPr>
            <w:r w:rsidRPr="00A05433">
              <w:rPr>
                <w:rFonts w:ascii="Arial" w:eastAsia="Times New Roman" w:hAnsi="Arial" w:cs="Arial"/>
                <w:color w:val="212121"/>
                <w:sz w:val="18"/>
                <w:szCs w:val="18"/>
                <w:lang w:eastAsia="cs-CZ"/>
              </w:rPr>
              <w:t>Neuvedení hodnotících kritérií v zadávacích podmínkách</w:t>
            </w:r>
          </w:p>
        </w:tc>
        <w:tc>
          <w:tcPr>
            <w:tcW w:w="1321" w:type="pct"/>
          </w:tcPr>
          <w:p w14:paraId="2CD323B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Hodnotící kritéria, případ</w:t>
            </w:r>
            <w:r w:rsidR="002758BC" w:rsidRPr="00A05433">
              <w:rPr>
                <w:rFonts w:ascii="Arial" w:eastAsia="Times New Roman" w:hAnsi="Arial" w:cs="Arial"/>
                <w:sz w:val="18"/>
                <w:szCs w:val="18"/>
                <w:lang w:eastAsia="cs-CZ"/>
              </w:rPr>
              <w:t xml:space="preserve">ně jejich podrobná specifikace </w:t>
            </w:r>
            <w:r w:rsidRPr="00A05433">
              <w:rPr>
                <w:rFonts w:ascii="Arial" w:eastAsia="Times New Roman" w:hAnsi="Arial" w:cs="Arial"/>
                <w:sz w:val="18"/>
                <w:szCs w:val="18"/>
                <w:lang w:eastAsia="cs-CZ"/>
              </w:rPr>
              <w:t>nejsou uvedeny v zadávacích podmínkách.</w:t>
            </w:r>
          </w:p>
        </w:tc>
        <w:tc>
          <w:tcPr>
            <w:tcW w:w="1686" w:type="pct"/>
          </w:tcPr>
          <w:p w14:paraId="3B0EF78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nebo 5 % pokud byla hodnotící kritéria v zadávacích podmínkách uvedena, ale nedostatečně podrobně popsána</w:t>
            </w:r>
          </w:p>
        </w:tc>
      </w:tr>
      <w:tr w:rsidR="00D72276" w:rsidRPr="00A05433" w14:paraId="078A1308" w14:textId="77777777" w:rsidTr="00A05433">
        <w:trPr>
          <w:trHeight w:val="583"/>
        </w:trPr>
        <w:tc>
          <w:tcPr>
            <w:tcW w:w="256" w:type="pct"/>
          </w:tcPr>
          <w:p w14:paraId="726B1D2E" w14:textId="77777777" w:rsidR="00D72276" w:rsidRPr="00A05433" w:rsidRDefault="00D72276" w:rsidP="00A05433">
            <w:pPr>
              <w:pStyle w:val="Default"/>
              <w:rPr>
                <w:sz w:val="18"/>
                <w:szCs w:val="18"/>
              </w:rPr>
            </w:pPr>
            <w:r w:rsidRPr="00A05433">
              <w:rPr>
                <w:sz w:val="18"/>
                <w:szCs w:val="18"/>
              </w:rPr>
              <w:t>8.2.7</w:t>
            </w:r>
          </w:p>
        </w:tc>
        <w:tc>
          <w:tcPr>
            <w:tcW w:w="1738" w:type="pct"/>
            <w:gridSpan w:val="2"/>
            <w:shd w:val="clear" w:color="auto" w:fill="auto"/>
          </w:tcPr>
          <w:p w14:paraId="124B533E"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212121"/>
                <w:sz w:val="18"/>
                <w:szCs w:val="18"/>
                <w:lang w:eastAsia="cs-CZ"/>
              </w:rPr>
              <w:t>Diskriminační kvalifikační požadavky</w:t>
            </w:r>
          </w:p>
        </w:tc>
        <w:tc>
          <w:tcPr>
            <w:tcW w:w="1321" w:type="pct"/>
          </w:tcPr>
          <w:p w14:paraId="6EC529C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Stanovení diskriminačních kvalifikačních požadavků. Například:</w:t>
            </w:r>
            <w:r w:rsidRPr="00A05433">
              <w:rPr>
                <w:rFonts w:ascii="Arial" w:eastAsia="Times New Roman" w:hAnsi="Arial" w:cs="Arial"/>
                <w:sz w:val="18"/>
                <w:szCs w:val="18"/>
                <w:lang w:eastAsia="cs-CZ"/>
              </w:rPr>
              <w:br/>
              <w:t>-   Povinnost   mít provozovnu nebo zástupce v dané zemi nebo regionu;</w:t>
            </w:r>
            <w:r w:rsidRPr="00A05433">
              <w:rPr>
                <w:rFonts w:ascii="Arial" w:eastAsia="Times New Roman" w:hAnsi="Arial" w:cs="Arial"/>
                <w:sz w:val="18"/>
                <w:szCs w:val="18"/>
                <w:lang w:eastAsia="cs-CZ"/>
              </w:rPr>
              <w:br/>
              <w:t>- Povinnost uchazečů, mít zkušenosti v dané zemi nebo regionu;</w:t>
            </w:r>
            <w:r w:rsidRPr="00A05433">
              <w:rPr>
                <w:rFonts w:ascii="Arial" w:eastAsia="Times New Roman" w:hAnsi="Arial" w:cs="Arial"/>
                <w:sz w:val="18"/>
                <w:szCs w:val="18"/>
                <w:lang w:eastAsia="cs-CZ"/>
              </w:rPr>
              <w:br/>
              <w:t>- Stanovení kvalifikačních předpokladů, které neodpovídají předmětu zadávané veřejné zakázky.</w:t>
            </w:r>
          </w:p>
        </w:tc>
        <w:tc>
          <w:tcPr>
            <w:tcW w:w="1686" w:type="pct"/>
          </w:tcPr>
          <w:p w14:paraId="1CE13A66"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1B3EF760" w14:textId="77777777" w:rsidTr="00A05433">
        <w:trPr>
          <w:trHeight w:val="583"/>
        </w:trPr>
        <w:tc>
          <w:tcPr>
            <w:tcW w:w="256" w:type="pct"/>
          </w:tcPr>
          <w:p w14:paraId="5708C151" w14:textId="77777777" w:rsidR="00D72276" w:rsidRPr="00A05433" w:rsidRDefault="00D72276" w:rsidP="00A05433">
            <w:pPr>
              <w:pStyle w:val="Default"/>
              <w:rPr>
                <w:sz w:val="18"/>
                <w:szCs w:val="18"/>
              </w:rPr>
            </w:pPr>
            <w:r w:rsidRPr="00A05433">
              <w:rPr>
                <w:sz w:val="18"/>
                <w:szCs w:val="18"/>
              </w:rPr>
              <w:t>8.2.8</w:t>
            </w:r>
          </w:p>
        </w:tc>
        <w:tc>
          <w:tcPr>
            <w:tcW w:w="1738" w:type="pct"/>
            <w:gridSpan w:val="2"/>
            <w:shd w:val="clear" w:color="auto" w:fill="auto"/>
          </w:tcPr>
          <w:p w14:paraId="05ED2F19" w14:textId="77777777" w:rsidR="00D72276" w:rsidRPr="00A05433" w:rsidRDefault="00D72276" w:rsidP="00A05433">
            <w:pPr>
              <w:spacing w:after="0" w:line="240" w:lineRule="auto"/>
              <w:rPr>
                <w:rFonts w:ascii="Arial" w:eastAsia="Times New Roman" w:hAnsi="Arial" w:cs="Arial"/>
                <w:color w:val="212121"/>
                <w:sz w:val="18"/>
                <w:szCs w:val="18"/>
                <w:lang w:eastAsia="cs-CZ"/>
              </w:rPr>
            </w:pPr>
            <w:r w:rsidRPr="00A05433">
              <w:rPr>
                <w:rFonts w:ascii="Arial" w:eastAsia="Times New Roman" w:hAnsi="Arial" w:cs="Arial"/>
                <w:color w:val="212121"/>
                <w:sz w:val="18"/>
                <w:szCs w:val="18"/>
                <w:lang w:eastAsia="cs-CZ"/>
              </w:rPr>
              <w:t>Hodnotící kritéria stanovená v rozporu se zásadami bodu 6.1.1</w:t>
            </w:r>
          </w:p>
        </w:tc>
        <w:tc>
          <w:tcPr>
            <w:tcW w:w="1321" w:type="pct"/>
          </w:tcPr>
          <w:p w14:paraId="7734906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Stanovení hodnotících kritérií, která nevyjadřují vztah užitné hodnoty a ceny.</w:t>
            </w:r>
          </w:p>
        </w:tc>
        <w:tc>
          <w:tcPr>
            <w:tcW w:w="1686" w:type="pct"/>
          </w:tcPr>
          <w:p w14:paraId="36955DDF"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513D77E4" w14:textId="77777777" w:rsidTr="00A05433">
        <w:trPr>
          <w:trHeight w:val="445"/>
        </w:trPr>
        <w:tc>
          <w:tcPr>
            <w:tcW w:w="256" w:type="pct"/>
            <w:tcBorders>
              <w:bottom w:val="single" w:sz="4" w:space="0" w:color="auto"/>
            </w:tcBorders>
          </w:tcPr>
          <w:p w14:paraId="59A4DCAA" w14:textId="77777777" w:rsidR="00D72276" w:rsidRPr="00A05433" w:rsidRDefault="00D72276" w:rsidP="00A05433">
            <w:pPr>
              <w:pStyle w:val="Default"/>
              <w:rPr>
                <w:sz w:val="18"/>
                <w:szCs w:val="18"/>
              </w:rPr>
            </w:pPr>
            <w:r w:rsidRPr="00A05433">
              <w:rPr>
                <w:sz w:val="18"/>
                <w:szCs w:val="18"/>
              </w:rPr>
              <w:t>8.2.9</w:t>
            </w:r>
          </w:p>
        </w:tc>
        <w:tc>
          <w:tcPr>
            <w:tcW w:w="1738" w:type="pct"/>
            <w:gridSpan w:val="2"/>
            <w:tcBorders>
              <w:bottom w:val="single" w:sz="4" w:space="0" w:color="auto"/>
            </w:tcBorders>
            <w:shd w:val="clear" w:color="auto" w:fill="auto"/>
          </w:tcPr>
          <w:p w14:paraId="24B247D7"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Diskriminační vymezení předmětu zakázky</w:t>
            </w:r>
          </w:p>
        </w:tc>
        <w:tc>
          <w:tcPr>
            <w:tcW w:w="1321" w:type="pct"/>
            <w:tcBorders>
              <w:bottom w:val="single" w:sz="4" w:space="0" w:color="auto"/>
            </w:tcBorders>
          </w:tcPr>
          <w:p w14:paraId="667AD407"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Předmět zakázky je v zadávacích podmínkách vymezen příliš konkrétně, tak že není zajištěn rovný přístup k jednotlivým dodavatelům, resp. někteří dodavatelé jsou takto vymezeným předmětem zakázky zvýhodněni.</w:t>
            </w:r>
          </w:p>
        </w:tc>
        <w:tc>
          <w:tcPr>
            <w:tcW w:w="1686" w:type="pct"/>
            <w:tcBorders>
              <w:bottom w:val="single" w:sz="4" w:space="0" w:color="auto"/>
            </w:tcBorders>
          </w:tcPr>
          <w:p w14:paraId="1124F0F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02EC795C" w14:textId="77777777" w:rsidTr="00A05433">
        <w:trPr>
          <w:trHeight w:val="583"/>
        </w:trPr>
        <w:tc>
          <w:tcPr>
            <w:tcW w:w="256" w:type="pct"/>
            <w:tcBorders>
              <w:bottom w:val="single" w:sz="4" w:space="0" w:color="auto"/>
              <w:right w:val="single" w:sz="4" w:space="0" w:color="auto"/>
            </w:tcBorders>
          </w:tcPr>
          <w:p w14:paraId="3E2D5433" w14:textId="77777777" w:rsidR="00D72276" w:rsidRPr="00A05433" w:rsidRDefault="00D72276" w:rsidP="00A05433">
            <w:pPr>
              <w:pStyle w:val="Default"/>
              <w:rPr>
                <w:sz w:val="18"/>
                <w:szCs w:val="18"/>
              </w:rPr>
            </w:pPr>
            <w:r w:rsidRPr="00A05433">
              <w:rPr>
                <w:sz w:val="18"/>
                <w:szCs w:val="18"/>
              </w:rPr>
              <w:t>8.2.10</w:t>
            </w:r>
          </w:p>
        </w:tc>
        <w:tc>
          <w:tcPr>
            <w:tcW w:w="1738" w:type="pct"/>
            <w:gridSpan w:val="2"/>
            <w:tcBorders>
              <w:left w:val="single" w:sz="4" w:space="0" w:color="auto"/>
              <w:bottom w:val="single" w:sz="4" w:space="0" w:color="auto"/>
              <w:right w:val="single" w:sz="4" w:space="0" w:color="auto"/>
            </w:tcBorders>
            <w:shd w:val="clear" w:color="auto" w:fill="auto"/>
          </w:tcPr>
          <w:p w14:paraId="6C03F15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Nedostatečné vymezení předmětu zakázky</w:t>
            </w:r>
          </w:p>
        </w:tc>
        <w:tc>
          <w:tcPr>
            <w:tcW w:w="1321" w:type="pct"/>
            <w:tcBorders>
              <w:left w:val="single" w:sz="4" w:space="0" w:color="auto"/>
              <w:bottom w:val="single" w:sz="4" w:space="0" w:color="auto"/>
              <w:right w:val="single" w:sz="4" w:space="0" w:color="auto"/>
            </w:tcBorders>
          </w:tcPr>
          <w:p w14:paraId="6E4F1F2D"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Předmět zakázky je v zadávacích podmínkách vymezen nedostatečně, takže zadávací podmínky neobsahují veškeré informace podstatné pro zpracování nabídky.</w:t>
            </w:r>
          </w:p>
        </w:tc>
        <w:tc>
          <w:tcPr>
            <w:tcW w:w="1686" w:type="pct"/>
            <w:tcBorders>
              <w:left w:val="single" w:sz="4" w:space="0" w:color="auto"/>
              <w:bottom w:val="single" w:sz="4" w:space="0" w:color="auto"/>
            </w:tcBorders>
          </w:tcPr>
          <w:p w14:paraId="6C6BE992"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10 % nebo min. 5 % s ohledem na závažnost porušení</w:t>
            </w:r>
          </w:p>
        </w:tc>
      </w:tr>
      <w:tr w:rsidR="00D72276" w:rsidRPr="00A05433" w14:paraId="76DEEE58" w14:textId="77777777" w:rsidTr="00A05433">
        <w:trPr>
          <w:trHeight w:val="275"/>
        </w:trPr>
        <w:tc>
          <w:tcPr>
            <w:tcW w:w="256" w:type="pct"/>
            <w:tcBorders>
              <w:top w:val="single" w:sz="4" w:space="0" w:color="auto"/>
              <w:left w:val="nil"/>
              <w:bottom w:val="single" w:sz="4" w:space="0" w:color="auto"/>
              <w:right w:val="nil"/>
            </w:tcBorders>
          </w:tcPr>
          <w:p w14:paraId="44F86084" w14:textId="77777777" w:rsidR="00D72276" w:rsidRPr="00A05433" w:rsidRDefault="00D72276" w:rsidP="00A05433">
            <w:pPr>
              <w:pStyle w:val="Default"/>
              <w:rPr>
                <w:b/>
                <w:sz w:val="18"/>
                <w:szCs w:val="18"/>
              </w:rPr>
            </w:pPr>
          </w:p>
        </w:tc>
        <w:tc>
          <w:tcPr>
            <w:tcW w:w="1471" w:type="pct"/>
            <w:tcBorders>
              <w:top w:val="single" w:sz="4" w:space="0" w:color="auto"/>
              <w:left w:val="nil"/>
              <w:bottom w:val="single" w:sz="4" w:space="0" w:color="auto"/>
              <w:right w:val="nil"/>
            </w:tcBorders>
          </w:tcPr>
          <w:p w14:paraId="079B743C" w14:textId="77777777" w:rsidR="00D72276" w:rsidRPr="00A05433" w:rsidRDefault="00D72276" w:rsidP="00A05433">
            <w:pPr>
              <w:pStyle w:val="Default"/>
              <w:rPr>
                <w:b/>
                <w:sz w:val="18"/>
                <w:szCs w:val="18"/>
              </w:rPr>
            </w:pPr>
          </w:p>
        </w:tc>
        <w:tc>
          <w:tcPr>
            <w:tcW w:w="3273" w:type="pct"/>
            <w:gridSpan w:val="3"/>
            <w:tcBorders>
              <w:top w:val="single" w:sz="4" w:space="0" w:color="auto"/>
              <w:left w:val="nil"/>
              <w:bottom w:val="single" w:sz="4" w:space="0" w:color="auto"/>
              <w:right w:val="nil"/>
            </w:tcBorders>
            <w:shd w:val="clear" w:color="auto" w:fill="auto"/>
          </w:tcPr>
          <w:p w14:paraId="71C6E8D4" w14:textId="77777777" w:rsidR="00D72276" w:rsidRPr="00A05433" w:rsidRDefault="00D72276" w:rsidP="00A05433">
            <w:pPr>
              <w:pStyle w:val="Default"/>
              <w:rPr>
                <w:b/>
                <w:sz w:val="18"/>
                <w:szCs w:val="18"/>
              </w:rPr>
            </w:pPr>
          </w:p>
        </w:tc>
      </w:tr>
      <w:tr w:rsidR="00D72276" w:rsidRPr="00A05433" w14:paraId="5330BAD6" w14:textId="77777777" w:rsidTr="00A05433">
        <w:trPr>
          <w:trHeight w:val="275"/>
        </w:trPr>
        <w:tc>
          <w:tcPr>
            <w:tcW w:w="5000" w:type="pct"/>
            <w:gridSpan w:val="5"/>
            <w:tcBorders>
              <w:top w:val="single" w:sz="4" w:space="0" w:color="auto"/>
              <w:bottom w:val="single" w:sz="4" w:space="0" w:color="auto"/>
            </w:tcBorders>
          </w:tcPr>
          <w:p w14:paraId="616AA45F" w14:textId="77777777" w:rsidR="00D72276" w:rsidRPr="00A05433" w:rsidRDefault="00D72276" w:rsidP="00A05433">
            <w:pPr>
              <w:pStyle w:val="Default"/>
              <w:keepNext/>
              <w:rPr>
                <w:b/>
                <w:sz w:val="18"/>
                <w:szCs w:val="18"/>
              </w:rPr>
            </w:pPr>
            <w:r w:rsidRPr="00A05433">
              <w:rPr>
                <w:rFonts w:eastAsia="Times New Roman"/>
                <w:b/>
                <w:bCs/>
                <w:sz w:val="18"/>
                <w:szCs w:val="18"/>
                <w:lang w:eastAsia="cs-CZ"/>
              </w:rPr>
              <w:t>POSOUZENÍ A HODNOCENÍ NABÍDEK</w:t>
            </w:r>
          </w:p>
        </w:tc>
      </w:tr>
      <w:tr w:rsidR="00D72276" w:rsidRPr="00A05433" w14:paraId="799141D0" w14:textId="77777777" w:rsidTr="00A05433">
        <w:trPr>
          <w:trHeight w:val="275"/>
        </w:trPr>
        <w:tc>
          <w:tcPr>
            <w:tcW w:w="256" w:type="pct"/>
            <w:tcBorders>
              <w:top w:val="single" w:sz="4" w:space="0" w:color="auto"/>
              <w:left w:val="single" w:sz="4" w:space="0" w:color="auto"/>
              <w:bottom w:val="single" w:sz="4" w:space="0" w:color="auto"/>
              <w:right w:val="single" w:sz="4" w:space="0" w:color="auto"/>
            </w:tcBorders>
          </w:tcPr>
          <w:p w14:paraId="0F7C73EB"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Č.</w:t>
            </w:r>
          </w:p>
        </w:tc>
        <w:tc>
          <w:tcPr>
            <w:tcW w:w="1738" w:type="pct"/>
            <w:gridSpan w:val="2"/>
            <w:tcBorders>
              <w:top w:val="single" w:sz="4" w:space="0" w:color="auto"/>
              <w:left w:val="single" w:sz="4" w:space="0" w:color="auto"/>
              <w:bottom w:val="single" w:sz="4" w:space="0" w:color="auto"/>
              <w:right w:val="single" w:sz="4" w:space="0" w:color="auto"/>
            </w:tcBorders>
            <w:shd w:val="clear" w:color="auto" w:fill="auto"/>
          </w:tcPr>
          <w:p w14:paraId="3477BF7C" w14:textId="77777777" w:rsidR="00D72276" w:rsidRPr="00A05433" w:rsidRDefault="00D72276" w:rsidP="00A05433">
            <w:pPr>
              <w:keepNext/>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Typ porušení</w:t>
            </w:r>
          </w:p>
        </w:tc>
        <w:tc>
          <w:tcPr>
            <w:tcW w:w="1321" w:type="pct"/>
            <w:tcBorders>
              <w:top w:val="single" w:sz="4" w:space="0" w:color="auto"/>
              <w:left w:val="single" w:sz="4" w:space="0" w:color="auto"/>
              <w:bottom w:val="single" w:sz="4" w:space="0" w:color="auto"/>
              <w:right w:val="single" w:sz="4" w:space="0" w:color="auto"/>
            </w:tcBorders>
          </w:tcPr>
          <w:p w14:paraId="70F9CBF7"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Popis porušení</w:t>
            </w:r>
          </w:p>
        </w:tc>
        <w:tc>
          <w:tcPr>
            <w:tcW w:w="1686" w:type="pct"/>
            <w:tcBorders>
              <w:top w:val="single" w:sz="4" w:space="0" w:color="auto"/>
              <w:left w:val="single" w:sz="4" w:space="0" w:color="auto"/>
              <w:bottom w:val="single" w:sz="4" w:space="0" w:color="auto"/>
              <w:right w:val="single" w:sz="4" w:space="0" w:color="auto"/>
            </w:tcBorders>
            <w:shd w:val="clear" w:color="auto" w:fill="auto"/>
          </w:tcPr>
          <w:p w14:paraId="3A12AD5B"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Sazba finanční opravy</w:t>
            </w:r>
          </w:p>
        </w:tc>
      </w:tr>
      <w:tr w:rsidR="00D72276" w:rsidRPr="00A05433" w14:paraId="27DBF86A" w14:textId="77777777" w:rsidTr="00A05433">
        <w:trPr>
          <w:trHeight w:val="275"/>
        </w:trPr>
        <w:tc>
          <w:tcPr>
            <w:tcW w:w="256" w:type="pct"/>
            <w:tcBorders>
              <w:top w:val="single" w:sz="4" w:space="0" w:color="auto"/>
            </w:tcBorders>
          </w:tcPr>
          <w:p w14:paraId="5496CCE3" w14:textId="77777777" w:rsidR="00D72276" w:rsidRPr="00A05433" w:rsidRDefault="00D72276" w:rsidP="00A05433">
            <w:pPr>
              <w:pStyle w:val="Default"/>
              <w:rPr>
                <w:sz w:val="18"/>
                <w:szCs w:val="18"/>
              </w:rPr>
            </w:pPr>
            <w:r w:rsidRPr="00A05433">
              <w:rPr>
                <w:sz w:val="18"/>
                <w:szCs w:val="18"/>
              </w:rPr>
              <w:lastRenderedPageBreak/>
              <w:t>8.2.11</w:t>
            </w:r>
          </w:p>
        </w:tc>
        <w:tc>
          <w:tcPr>
            <w:tcW w:w="1738" w:type="pct"/>
            <w:gridSpan w:val="2"/>
            <w:tcBorders>
              <w:top w:val="single" w:sz="4" w:space="0" w:color="auto"/>
            </w:tcBorders>
            <w:shd w:val="clear" w:color="auto" w:fill="auto"/>
          </w:tcPr>
          <w:p w14:paraId="383EF1EA"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Změna kvalifikačních požadavků po otevření obálek s nabídkami</w:t>
            </w:r>
          </w:p>
        </w:tc>
        <w:tc>
          <w:tcPr>
            <w:tcW w:w="1321" w:type="pct"/>
            <w:tcBorders>
              <w:top w:val="single" w:sz="4" w:space="0" w:color="auto"/>
            </w:tcBorders>
          </w:tcPr>
          <w:p w14:paraId="61D3627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1686" w:type="pct"/>
            <w:tcBorders>
              <w:top w:val="single" w:sz="4" w:space="0" w:color="auto"/>
            </w:tcBorders>
            <w:shd w:val="clear" w:color="auto" w:fill="auto"/>
          </w:tcPr>
          <w:p w14:paraId="0576565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3F5455FE" w14:textId="77777777" w:rsidTr="00A05433">
        <w:trPr>
          <w:trHeight w:val="275"/>
        </w:trPr>
        <w:tc>
          <w:tcPr>
            <w:tcW w:w="256" w:type="pct"/>
          </w:tcPr>
          <w:p w14:paraId="3CD5D10D" w14:textId="77777777" w:rsidR="00D72276" w:rsidRPr="00A05433" w:rsidRDefault="00D72276" w:rsidP="00A05433">
            <w:pPr>
              <w:pStyle w:val="Default"/>
              <w:rPr>
                <w:sz w:val="18"/>
                <w:szCs w:val="18"/>
              </w:rPr>
            </w:pPr>
            <w:r w:rsidRPr="00A05433">
              <w:rPr>
                <w:sz w:val="18"/>
                <w:szCs w:val="18"/>
              </w:rPr>
              <w:t>8.2.12</w:t>
            </w:r>
          </w:p>
        </w:tc>
        <w:tc>
          <w:tcPr>
            <w:tcW w:w="1738" w:type="pct"/>
            <w:gridSpan w:val="2"/>
            <w:shd w:val="clear" w:color="auto" w:fill="auto"/>
          </w:tcPr>
          <w:p w14:paraId="71C1B1B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Hodnocení nabídek podle jiných hodnotících kritérií, než byla uvedena</w:t>
            </w:r>
            <w:r w:rsidRPr="00A05433">
              <w:rPr>
                <w:rFonts w:ascii="Arial" w:eastAsia="Times New Roman" w:hAnsi="Arial" w:cs="Arial"/>
                <w:sz w:val="18"/>
                <w:szCs w:val="18"/>
                <w:lang w:eastAsia="cs-CZ"/>
              </w:rPr>
              <w:br/>
              <w:t>v zadávacích podmínkách</w:t>
            </w:r>
          </w:p>
        </w:tc>
        <w:tc>
          <w:tcPr>
            <w:tcW w:w="1321" w:type="pct"/>
          </w:tcPr>
          <w:p w14:paraId="2ECAC89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Při hodnocení nabídek byla použita jiná hodnotící kritéria (pří</w:t>
            </w:r>
            <w:r w:rsidR="002758BC" w:rsidRPr="00A05433">
              <w:rPr>
                <w:rFonts w:ascii="Arial" w:eastAsia="Times New Roman" w:hAnsi="Arial" w:cs="Arial"/>
                <w:sz w:val="18"/>
                <w:szCs w:val="18"/>
                <w:lang w:eastAsia="cs-CZ"/>
              </w:rPr>
              <w:t xml:space="preserve">padně sub-kritéria nebo jejich </w:t>
            </w:r>
            <w:r w:rsidRPr="00A05433">
              <w:rPr>
                <w:rFonts w:ascii="Arial" w:eastAsia="Times New Roman" w:hAnsi="Arial" w:cs="Arial"/>
                <w:sz w:val="18"/>
                <w:szCs w:val="18"/>
                <w:lang w:eastAsia="cs-CZ"/>
              </w:rPr>
              <w:t>váhy), než byla uvedena v zadávacích podmínkách a tato skutečnost měla vliv na výběr nejvhodnější nabídky.</w:t>
            </w:r>
          </w:p>
        </w:tc>
        <w:tc>
          <w:tcPr>
            <w:tcW w:w="1686" w:type="pct"/>
            <w:shd w:val="clear" w:color="auto" w:fill="auto"/>
          </w:tcPr>
          <w:p w14:paraId="347D207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5D7F573D" w14:textId="77777777" w:rsidTr="00A05433">
        <w:trPr>
          <w:trHeight w:val="275"/>
        </w:trPr>
        <w:tc>
          <w:tcPr>
            <w:tcW w:w="256" w:type="pct"/>
          </w:tcPr>
          <w:p w14:paraId="2173D169" w14:textId="77777777" w:rsidR="00D72276" w:rsidRPr="00A05433" w:rsidRDefault="00D72276" w:rsidP="00A05433">
            <w:pPr>
              <w:pStyle w:val="Default"/>
              <w:rPr>
                <w:sz w:val="18"/>
                <w:szCs w:val="18"/>
              </w:rPr>
            </w:pPr>
            <w:r w:rsidRPr="00A05433">
              <w:rPr>
                <w:sz w:val="18"/>
                <w:szCs w:val="18"/>
              </w:rPr>
              <w:t>8.2.13</w:t>
            </w:r>
          </w:p>
        </w:tc>
        <w:tc>
          <w:tcPr>
            <w:tcW w:w="1738" w:type="pct"/>
            <w:gridSpan w:val="2"/>
            <w:shd w:val="clear" w:color="auto" w:fill="auto"/>
          </w:tcPr>
          <w:p w14:paraId="73355E57"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Netransparentní posouzení a/nebo hodnocení nabídek</w:t>
            </w:r>
          </w:p>
        </w:tc>
        <w:tc>
          <w:tcPr>
            <w:tcW w:w="1321" w:type="pct"/>
          </w:tcPr>
          <w:p w14:paraId="61712E75"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Protokol o posouzení a hodnocení nabídek neexistuje nebo neobsahuje všechny náležitosti vyžadované dle Pravidel pro žadatele a příjemce</w:t>
            </w:r>
          </w:p>
        </w:tc>
        <w:tc>
          <w:tcPr>
            <w:tcW w:w="1686" w:type="pct"/>
            <w:shd w:val="clear" w:color="auto" w:fill="auto"/>
          </w:tcPr>
          <w:p w14:paraId="4E102C46"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650165B4" w14:textId="77777777" w:rsidTr="00A05433">
        <w:trPr>
          <w:trHeight w:val="275"/>
        </w:trPr>
        <w:tc>
          <w:tcPr>
            <w:tcW w:w="256" w:type="pct"/>
          </w:tcPr>
          <w:p w14:paraId="7942A8E1" w14:textId="77777777" w:rsidR="00D72276" w:rsidRPr="00A05433" w:rsidRDefault="00D72276" w:rsidP="00A05433">
            <w:pPr>
              <w:pStyle w:val="Default"/>
              <w:rPr>
                <w:sz w:val="18"/>
                <w:szCs w:val="18"/>
              </w:rPr>
            </w:pPr>
            <w:r w:rsidRPr="00A05433">
              <w:rPr>
                <w:sz w:val="18"/>
                <w:szCs w:val="18"/>
              </w:rPr>
              <w:t>8.2.14</w:t>
            </w:r>
          </w:p>
        </w:tc>
        <w:tc>
          <w:tcPr>
            <w:tcW w:w="1738" w:type="pct"/>
            <w:gridSpan w:val="2"/>
            <w:shd w:val="clear" w:color="auto" w:fill="auto"/>
          </w:tcPr>
          <w:p w14:paraId="0D55CB42"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Podstatná změna zadávacích podmínek</w:t>
            </w:r>
          </w:p>
        </w:tc>
        <w:tc>
          <w:tcPr>
            <w:tcW w:w="1321" w:type="pct"/>
          </w:tcPr>
          <w:p w14:paraId="2F635ED8"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Zadavatel v rámci jednání o nabídkách podstatně změní zadávací podmínky.</w:t>
            </w:r>
          </w:p>
        </w:tc>
        <w:tc>
          <w:tcPr>
            <w:tcW w:w="1686" w:type="pct"/>
            <w:shd w:val="clear" w:color="auto" w:fill="auto"/>
          </w:tcPr>
          <w:p w14:paraId="123A6355"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0B58F476" w14:textId="77777777" w:rsidTr="00A05433">
        <w:trPr>
          <w:trHeight w:val="275"/>
        </w:trPr>
        <w:tc>
          <w:tcPr>
            <w:tcW w:w="256" w:type="pct"/>
          </w:tcPr>
          <w:p w14:paraId="01A7A294" w14:textId="77777777" w:rsidR="00D72276" w:rsidRPr="00A05433" w:rsidRDefault="00D72276" w:rsidP="00A05433">
            <w:pPr>
              <w:pStyle w:val="Default"/>
              <w:rPr>
                <w:sz w:val="18"/>
                <w:szCs w:val="18"/>
              </w:rPr>
            </w:pPr>
            <w:r w:rsidRPr="00A05433">
              <w:rPr>
                <w:sz w:val="18"/>
                <w:szCs w:val="18"/>
              </w:rPr>
              <w:t>8.2.15</w:t>
            </w:r>
          </w:p>
        </w:tc>
        <w:tc>
          <w:tcPr>
            <w:tcW w:w="1738" w:type="pct"/>
            <w:gridSpan w:val="2"/>
            <w:shd w:val="clear" w:color="auto" w:fill="auto"/>
          </w:tcPr>
          <w:p w14:paraId="1714C8B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Zvýhodnění některého dodavatele nebo některých dodavatelů</w:t>
            </w:r>
          </w:p>
        </w:tc>
        <w:tc>
          <w:tcPr>
            <w:tcW w:w="1321" w:type="pct"/>
          </w:tcPr>
          <w:p w14:paraId="136573EC"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V průběhu lhůty pro podání nabídek nebo při jednání s dodavateli jsou některému dodavateli nebo některým dodavatelům poskytnuty informace, které nejsou poskytnuty jiným, případně je některý dodavatel nebo jsou někteří dodavatelé jiným způsobem zvýhodněni a tyto skutečnosti mají vliv/mohou mít vliv na výběr nejvhodnější nabídky.</w:t>
            </w:r>
          </w:p>
        </w:tc>
        <w:tc>
          <w:tcPr>
            <w:tcW w:w="1686" w:type="pct"/>
            <w:shd w:val="clear" w:color="auto" w:fill="auto"/>
          </w:tcPr>
          <w:p w14:paraId="361CD660"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63D79FF0" w14:textId="77777777" w:rsidTr="00A05433">
        <w:trPr>
          <w:trHeight w:val="275"/>
        </w:trPr>
        <w:tc>
          <w:tcPr>
            <w:tcW w:w="256" w:type="pct"/>
          </w:tcPr>
          <w:p w14:paraId="6EA70AE9" w14:textId="77777777" w:rsidR="00D72276" w:rsidRPr="00A05433" w:rsidRDefault="00D72276" w:rsidP="00A05433">
            <w:pPr>
              <w:pStyle w:val="Default"/>
              <w:rPr>
                <w:sz w:val="18"/>
                <w:szCs w:val="18"/>
              </w:rPr>
            </w:pPr>
            <w:r w:rsidRPr="00A05433">
              <w:rPr>
                <w:sz w:val="18"/>
                <w:szCs w:val="18"/>
              </w:rPr>
              <w:t>8.2.16</w:t>
            </w:r>
          </w:p>
        </w:tc>
        <w:tc>
          <w:tcPr>
            <w:tcW w:w="1738" w:type="pct"/>
            <w:gridSpan w:val="2"/>
            <w:shd w:val="clear" w:color="auto" w:fill="auto"/>
          </w:tcPr>
          <w:p w14:paraId="195A87C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Změna nabídky během hodnocení</w:t>
            </w:r>
          </w:p>
        </w:tc>
        <w:tc>
          <w:tcPr>
            <w:tcW w:w="1321" w:type="pct"/>
          </w:tcPr>
          <w:p w14:paraId="4116BB60"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Zadavatel umožní uchazeči/zájemci, aby upravil svou nabídku během hodnocení nabídek.</w:t>
            </w:r>
          </w:p>
        </w:tc>
        <w:tc>
          <w:tcPr>
            <w:tcW w:w="1686" w:type="pct"/>
            <w:shd w:val="clear" w:color="auto" w:fill="auto"/>
          </w:tcPr>
          <w:p w14:paraId="201F1790"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57ADD34F" w14:textId="77777777" w:rsidTr="00A05433">
        <w:trPr>
          <w:trHeight w:val="275"/>
        </w:trPr>
        <w:tc>
          <w:tcPr>
            <w:tcW w:w="256" w:type="pct"/>
          </w:tcPr>
          <w:p w14:paraId="621FB5F8" w14:textId="77777777" w:rsidR="00D72276" w:rsidRPr="00A05433" w:rsidRDefault="00D72276" w:rsidP="00A05433">
            <w:pPr>
              <w:pStyle w:val="Default"/>
              <w:rPr>
                <w:sz w:val="18"/>
                <w:szCs w:val="18"/>
              </w:rPr>
            </w:pPr>
            <w:r w:rsidRPr="00A05433">
              <w:rPr>
                <w:sz w:val="18"/>
                <w:szCs w:val="18"/>
              </w:rPr>
              <w:t>8.2.17</w:t>
            </w:r>
          </w:p>
        </w:tc>
        <w:tc>
          <w:tcPr>
            <w:tcW w:w="1738" w:type="pct"/>
            <w:gridSpan w:val="2"/>
            <w:shd w:val="clear" w:color="auto" w:fill="auto"/>
          </w:tcPr>
          <w:p w14:paraId="7594C7A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Odmítnutí mimořádně nízkých nabídek</w:t>
            </w:r>
          </w:p>
        </w:tc>
        <w:tc>
          <w:tcPr>
            <w:tcW w:w="1321" w:type="pct"/>
          </w:tcPr>
          <w:p w14:paraId="67BB51D7"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1686" w:type="pct"/>
            <w:shd w:val="clear" w:color="auto" w:fill="auto"/>
          </w:tcPr>
          <w:p w14:paraId="183F83B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w:t>
            </w:r>
          </w:p>
        </w:tc>
      </w:tr>
      <w:tr w:rsidR="00D72276" w:rsidRPr="00A05433" w14:paraId="321517C4" w14:textId="77777777" w:rsidTr="00A05433">
        <w:trPr>
          <w:trHeight w:val="275"/>
        </w:trPr>
        <w:tc>
          <w:tcPr>
            <w:tcW w:w="256" w:type="pct"/>
          </w:tcPr>
          <w:p w14:paraId="42905BE2" w14:textId="77777777" w:rsidR="00D72276" w:rsidRPr="00A05433" w:rsidRDefault="00D72276" w:rsidP="00A05433">
            <w:pPr>
              <w:pStyle w:val="Default"/>
              <w:rPr>
                <w:sz w:val="18"/>
                <w:szCs w:val="18"/>
              </w:rPr>
            </w:pPr>
            <w:r w:rsidRPr="00A05433">
              <w:rPr>
                <w:sz w:val="18"/>
                <w:szCs w:val="18"/>
              </w:rPr>
              <w:t>8.2.18</w:t>
            </w:r>
          </w:p>
        </w:tc>
        <w:tc>
          <w:tcPr>
            <w:tcW w:w="1738" w:type="pct"/>
            <w:gridSpan w:val="2"/>
            <w:shd w:val="clear" w:color="auto" w:fill="auto"/>
          </w:tcPr>
          <w:p w14:paraId="3721D34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Střet zájmů</w:t>
            </w:r>
          </w:p>
        </w:tc>
        <w:tc>
          <w:tcPr>
            <w:tcW w:w="1321" w:type="pct"/>
          </w:tcPr>
          <w:p w14:paraId="27B427E3"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 xml:space="preserve">Zadání zakázky v rozporu s body uvedenými v Pravidlech pro žadatele a </w:t>
            </w:r>
            <w:r w:rsidRPr="00A05433">
              <w:rPr>
                <w:rFonts w:ascii="Arial" w:eastAsia="Times New Roman" w:hAnsi="Arial" w:cs="Arial"/>
                <w:sz w:val="18"/>
                <w:szCs w:val="18"/>
                <w:lang w:eastAsia="cs-CZ"/>
              </w:rPr>
              <w:lastRenderedPageBreak/>
              <w:t>příjemce, v kapitole věnované zadáváním zakázek v rámci OP PPR</w:t>
            </w:r>
          </w:p>
        </w:tc>
        <w:tc>
          <w:tcPr>
            <w:tcW w:w="1686" w:type="pct"/>
            <w:shd w:val="clear" w:color="auto" w:fill="auto"/>
          </w:tcPr>
          <w:p w14:paraId="456AED0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lastRenderedPageBreak/>
              <w:t>100 %</w:t>
            </w:r>
          </w:p>
        </w:tc>
      </w:tr>
      <w:tr w:rsidR="00D72276" w:rsidRPr="00A05433" w14:paraId="3EB7325C" w14:textId="77777777" w:rsidTr="00A05433">
        <w:trPr>
          <w:trHeight w:val="275"/>
        </w:trPr>
        <w:tc>
          <w:tcPr>
            <w:tcW w:w="256" w:type="pct"/>
          </w:tcPr>
          <w:p w14:paraId="6E3D8055" w14:textId="77777777" w:rsidR="00D72276" w:rsidRPr="00A05433" w:rsidRDefault="00D72276" w:rsidP="00A05433">
            <w:pPr>
              <w:spacing w:after="0" w:line="240" w:lineRule="auto"/>
              <w:rPr>
                <w:rFonts w:ascii="Arial" w:eastAsia="Times New Roman" w:hAnsi="Arial" w:cs="Arial"/>
                <w:color w:val="000000"/>
                <w:sz w:val="18"/>
                <w:szCs w:val="18"/>
                <w:lang w:eastAsia="cs-CZ"/>
              </w:rPr>
            </w:pPr>
          </w:p>
        </w:tc>
        <w:tc>
          <w:tcPr>
            <w:tcW w:w="1471" w:type="pct"/>
          </w:tcPr>
          <w:p w14:paraId="48713DAE"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PLNĚNÍ ZAKÁZKY</w:t>
            </w:r>
          </w:p>
        </w:tc>
        <w:tc>
          <w:tcPr>
            <w:tcW w:w="3273" w:type="pct"/>
            <w:gridSpan w:val="3"/>
            <w:shd w:val="clear" w:color="auto" w:fill="auto"/>
          </w:tcPr>
          <w:p w14:paraId="3B581F57"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 </w:t>
            </w:r>
          </w:p>
        </w:tc>
      </w:tr>
      <w:tr w:rsidR="00D72276" w:rsidRPr="00A05433" w14:paraId="7825D2AA" w14:textId="77777777" w:rsidTr="00A05433">
        <w:trPr>
          <w:trHeight w:val="674"/>
        </w:trPr>
        <w:tc>
          <w:tcPr>
            <w:tcW w:w="256" w:type="pct"/>
          </w:tcPr>
          <w:p w14:paraId="1513C087"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Č.</w:t>
            </w:r>
          </w:p>
        </w:tc>
        <w:tc>
          <w:tcPr>
            <w:tcW w:w="1738" w:type="pct"/>
            <w:gridSpan w:val="2"/>
            <w:shd w:val="clear" w:color="auto" w:fill="auto"/>
          </w:tcPr>
          <w:p w14:paraId="31CDAB00"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Typ porušení</w:t>
            </w:r>
          </w:p>
        </w:tc>
        <w:tc>
          <w:tcPr>
            <w:tcW w:w="1321" w:type="pct"/>
          </w:tcPr>
          <w:p w14:paraId="3A25DC11"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Popis porušení</w:t>
            </w:r>
          </w:p>
        </w:tc>
        <w:tc>
          <w:tcPr>
            <w:tcW w:w="1686" w:type="pct"/>
            <w:shd w:val="clear" w:color="auto" w:fill="auto"/>
          </w:tcPr>
          <w:p w14:paraId="59785370" w14:textId="77777777" w:rsidR="00D72276" w:rsidRPr="00A05433" w:rsidRDefault="00D72276" w:rsidP="00A05433">
            <w:pPr>
              <w:spacing w:after="0" w:line="240" w:lineRule="auto"/>
              <w:rPr>
                <w:rFonts w:ascii="Arial" w:eastAsia="Times New Roman" w:hAnsi="Arial" w:cs="Arial"/>
                <w:b/>
                <w:bCs/>
                <w:sz w:val="18"/>
                <w:szCs w:val="18"/>
                <w:lang w:eastAsia="cs-CZ"/>
              </w:rPr>
            </w:pPr>
            <w:r w:rsidRPr="00A05433">
              <w:rPr>
                <w:rFonts w:ascii="Arial" w:eastAsia="Times New Roman" w:hAnsi="Arial" w:cs="Arial"/>
                <w:b/>
                <w:bCs/>
                <w:sz w:val="18"/>
                <w:szCs w:val="18"/>
                <w:lang w:eastAsia="cs-CZ"/>
              </w:rPr>
              <w:t>Sazba finanční opravy</w:t>
            </w:r>
          </w:p>
        </w:tc>
      </w:tr>
      <w:tr w:rsidR="00D72276" w:rsidRPr="00A05433" w14:paraId="19D48D93" w14:textId="77777777" w:rsidTr="00A05433">
        <w:trPr>
          <w:trHeight w:val="674"/>
        </w:trPr>
        <w:tc>
          <w:tcPr>
            <w:tcW w:w="256" w:type="pct"/>
          </w:tcPr>
          <w:p w14:paraId="5E0FC1EF"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8.2.19</w:t>
            </w:r>
          </w:p>
        </w:tc>
        <w:tc>
          <w:tcPr>
            <w:tcW w:w="1738" w:type="pct"/>
            <w:gridSpan w:val="2"/>
            <w:shd w:val="clear" w:color="auto" w:fill="auto"/>
          </w:tcPr>
          <w:p w14:paraId="1D8FE989" w14:textId="77777777" w:rsidR="00D72276" w:rsidRPr="00A05433" w:rsidRDefault="00D72276" w:rsidP="00A05433">
            <w:pPr>
              <w:spacing w:after="0" w:line="240" w:lineRule="auto"/>
              <w:rPr>
                <w:rFonts w:ascii="Arial" w:eastAsia="Times New Roman" w:hAnsi="Arial" w:cs="Arial"/>
                <w:color w:val="212121"/>
                <w:sz w:val="18"/>
                <w:szCs w:val="18"/>
                <w:lang w:eastAsia="cs-CZ"/>
              </w:rPr>
            </w:pPr>
            <w:r w:rsidRPr="00A05433">
              <w:rPr>
                <w:rFonts w:ascii="Arial" w:eastAsia="Times New Roman" w:hAnsi="Arial" w:cs="Arial"/>
                <w:color w:val="212121"/>
                <w:sz w:val="18"/>
                <w:szCs w:val="18"/>
                <w:lang w:eastAsia="cs-CZ"/>
              </w:rPr>
              <w:t>Podstatná změna smlouvy na plnění zakázky</w:t>
            </w:r>
          </w:p>
        </w:tc>
        <w:tc>
          <w:tcPr>
            <w:tcW w:w="1321" w:type="pct"/>
          </w:tcPr>
          <w:p w14:paraId="34FEDBFA" w14:textId="77777777" w:rsidR="00D72276" w:rsidRPr="00A05433" w:rsidRDefault="00D72276" w:rsidP="00A05433">
            <w:pPr>
              <w:spacing w:after="0" w:line="240" w:lineRule="auto"/>
              <w:rPr>
                <w:rFonts w:ascii="Arial" w:eastAsia="Times New Roman" w:hAnsi="Arial" w:cs="Arial"/>
                <w:color w:val="212121"/>
                <w:sz w:val="18"/>
                <w:szCs w:val="18"/>
                <w:lang w:eastAsia="cs-CZ"/>
              </w:rPr>
            </w:pPr>
            <w:r w:rsidRPr="00A05433">
              <w:rPr>
                <w:rFonts w:ascii="Arial" w:eastAsia="Times New Roman" w:hAnsi="Arial" w:cs="Arial"/>
                <w:color w:val="212121"/>
                <w:sz w:val="18"/>
                <w:szCs w:val="18"/>
                <w:lang w:eastAsia="cs-CZ"/>
              </w:rPr>
              <w:t>Podstatná změna smlouvy na plnění zakázky (definována v ZVZ), která by mohla mít vliv na výběr nejvhodnější nabídky.</w:t>
            </w:r>
          </w:p>
        </w:tc>
        <w:tc>
          <w:tcPr>
            <w:tcW w:w="1686" w:type="pct"/>
            <w:shd w:val="clear" w:color="auto" w:fill="auto"/>
          </w:tcPr>
          <w:p w14:paraId="3049C9EE"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212121"/>
                <w:sz w:val="18"/>
                <w:szCs w:val="18"/>
                <w:lang w:eastAsia="cs-CZ"/>
              </w:rPr>
              <w:t xml:space="preserve">100 % z hodnoty dodatečných zakázek vyplývajících z podstatné změny smlouvy a </w:t>
            </w:r>
            <w:r w:rsidRPr="00A05433">
              <w:rPr>
                <w:rFonts w:ascii="Arial" w:eastAsia="Times New Roman" w:hAnsi="Arial" w:cs="Arial"/>
                <w:sz w:val="18"/>
                <w:szCs w:val="18"/>
                <w:lang w:eastAsia="cs-CZ"/>
              </w:rPr>
              <w:t>min. 25 % ze smluvní ceny původní zakázky</w:t>
            </w:r>
          </w:p>
        </w:tc>
      </w:tr>
      <w:tr w:rsidR="00D72276" w:rsidRPr="00A05433" w14:paraId="5A0E82F5" w14:textId="77777777" w:rsidTr="00A05433">
        <w:trPr>
          <w:trHeight w:val="275"/>
        </w:trPr>
        <w:tc>
          <w:tcPr>
            <w:tcW w:w="256" w:type="pct"/>
          </w:tcPr>
          <w:p w14:paraId="0A47F947"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8.2.20</w:t>
            </w:r>
          </w:p>
        </w:tc>
        <w:tc>
          <w:tcPr>
            <w:tcW w:w="1738" w:type="pct"/>
            <w:gridSpan w:val="2"/>
            <w:shd w:val="clear" w:color="auto" w:fill="auto"/>
          </w:tcPr>
          <w:p w14:paraId="0632C71A"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Snížení rozsahu smlouvy na plnění zakázky</w:t>
            </w:r>
          </w:p>
        </w:tc>
        <w:tc>
          <w:tcPr>
            <w:tcW w:w="1321" w:type="pct"/>
          </w:tcPr>
          <w:p w14:paraId="650CEDA9"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Snížení rozsahu smlouvy na plnění zakázky (definována v  ZVZ), které by mohlo mít vliv na výběr nejvhodnější nabídky.</w:t>
            </w:r>
          </w:p>
        </w:tc>
        <w:tc>
          <w:tcPr>
            <w:tcW w:w="1686" w:type="pct"/>
            <w:shd w:val="clear" w:color="auto" w:fill="auto"/>
          </w:tcPr>
          <w:p w14:paraId="3C065598"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ze smluvní ceny po jejím snížení</w:t>
            </w:r>
          </w:p>
        </w:tc>
      </w:tr>
      <w:tr w:rsidR="00D72276" w:rsidRPr="00A05433" w14:paraId="6C90EDA8" w14:textId="77777777" w:rsidTr="00A05433">
        <w:trPr>
          <w:trHeight w:val="275"/>
        </w:trPr>
        <w:tc>
          <w:tcPr>
            <w:tcW w:w="256" w:type="pct"/>
            <w:tcBorders>
              <w:bottom w:val="single" w:sz="4" w:space="0" w:color="auto"/>
            </w:tcBorders>
          </w:tcPr>
          <w:p w14:paraId="79C2C991"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8.2.21</w:t>
            </w:r>
          </w:p>
        </w:tc>
        <w:tc>
          <w:tcPr>
            <w:tcW w:w="1738" w:type="pct"/>
            <w:gridSpan w:val="2"/>
            <w:tcBorders>
              <w:bottom w:val="single" w:sz="4" w:space="0" w:color="auto"/>
            </w:tcBorders>
            <w:shd w:val="clear" w:color="auto" w:fill="auto"/>
          </w:tcPr>
          <w:p w14:paraId="40BBB457"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Zadání dodatečných stavebních prací / služeb / dodávek bez důvodu dle zadávání zakázek podle Pravidel pro žadatele a příjemce</w:t>
            </w:r>
          </w:p>
        </w:tc>
        <w:tc>
          <w:tcPr>
            <w:tcW w:w="1321" w:type="pct"/>
            <w:tcBorders>
              <w:bottom w:val="single" w:sz="4" w:space="0" w:color="auto"/>
            </w:tcBorders>
          </w:tcPr>
          <w:p w14:paraId="7C024066"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Původní zakázka byla zadána v souladu s Pravidly pro žadatele a příjemce, ale dodatečné zakázky byly zadány bez důvodu dle těchto Pravidel pro žadatele a příjemce</w:t>
            </w:r>
          </w:p>
        </w:tc>
        <w:tc>
          <w:tcPr>
            <w:tcW w:w="1686" w:type="pct"/>
            <w:tcBorders>
              <w:bottom w:val="single" w:sz="4" w:space="0" w:color="auto"/>
            </w:tcBorders>
            <w:shd w:val="clear" w:color="auto" w:fill="auto"/>
          </w:tcPr>
          <w:p w14:paraId="7D6D7E3D"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100 % z hodnoty dodatečných zakázek min. 25 % v případě, kdy dodatečné zakázky nepřekročí 50% hodnoty původní zakázky</w:t>
            </w:r>
          </w:p>
        </w:tc>
      </w:tr>
      <w:tr w:rsidR="00D72276" w:rsidRPr="00A05433" w14:paraId="2F57E08F" w14:textId="77777777" w:rsidTr="00A05433">
        <w:trPr>
          <w:trHeight w:val="275"/>
        </w:trPr>
        <w:tc>
          <w:tcPr>
            <w:tcW w:w="256" w:type="pct"/>
            <w:tcBorders>
              <w:bottom w:val="single" w:sz="4" w:space="0" w:color="auto"/>
            </w:tcBorders>
          </w:tcPr>
          <w:p w14:paraId="0EFA3DD8"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8.2.22</w:t>
            </w:r>
          </w:p>
        </w:tc>
        <w:tc>
          <w:tcPr>
            <w:tcW w:w="1738" w:type="pct"/>
            <w:gridSpan w:val="2"/>
            <w:tcBorders>
              <w:bottom w:val="single" w:sz="4" w:space="0" w:color="auto"/>
            </w:tcBorders>
            <w:shd w:val="clear" w:color="auto" w:fill="auto"/>
          </w:tcPr>
          <w:p w14:paraId="31234C08"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Zadání dodatečných stavebních prací nebo služeb ve vyšším rozsahu než 50% původní zakázky</w:t>
            </w:r>
          </w:p>
        </w:tc>
        <w:tc>
          <w:tcPr>
            <w:tcW w:w="1321" w:type="pct"/>
            <w:tcBorders>
              <w:bottom w:val="single" w:sz="4" w:space="0" w:color="auto"/>
            </w:tcBorders>
          </w:tcPr>
          <w:p w14:paraId="32288A1A"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Původní zakázka byla zadána v souladu s Pravidly pro žadatele a příjemce, ale dodatečné stavební práce nebo služby</w:t>
            </w:r>
            <w:r w:rsidR="00AF63F6" w:rsidRPr="00A05433">
              <w:rPr>
                <w:rFonts w:ascii="Arial" w:eastAsia="Times New Roman" w:hAnsi="Arial" w:cs="Arial"/>
                <w:sz w:val="18"/>
                <w:szCs w:val="18"/>
                <w:lang w:eastAsia="cs-CZ"/>
              </w:rPr>
              <w:t xml:space="preserve"> </w:t>
            </w:r>
            <w:r w:rsidRPr="00A05433">
              <w:rPr>
                <w:rFonts w:ascii="Arial" w:eastAsia="Times New Roman" w:hAnsi="Arial" w:cs="Arial"/>
                <w:sz w:val="18"/>
                <w:szCs w:val="18"/>
                <w:lang w:eastAsia="cs-CZ"/>
              </w:rPr>
              <w:t>byly zadány v objemu vyšším než 50% původní zakázky.</w:t>
            </w:r>
          </w:p>
        </w:tc>
        <w:tc>
          <w:tcPr>
            <w:tcW w:w="1686" w:type="pct"/>
            <w:tcBorders>
              <w:bottom w:val="single" w:sz="4" w:space="0" w:color="auto"/>
            </w:tcBorders>
            <w:shd w:val="clear" w:color="auto" w:fill="auto"/>
          </w:tcPr>
          <w:p w14:paraId="5846CDF4"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100 % z částky přesahující 50 % ceny původní zakázky</w:t>
            </w:r>
          </w:p>
        </w:tc>
      </w:tr>
      <w:tr w:rsidR="00D72276" w:rsidRPr="00A05433" w14:paraId="37D2D5B7" w14:textId="77777777" w:rsidTr="00A05433">
        <w:trPr>
          <w:trHeight w:val="275"/>
        </w:trPr>
        <w:tc>
          <w:tcPr>
            <w:tcW w:w="5000" w:type="pct"/>
            <w:gridSpan w:val="5"/>
            <w:tcBorders>
              <w:top w:val="single" w:sz="4" w:space="0" w:color="auto"/>
              <w:left w:val="nil"/>
              <w:bottom w:val="single" w:sz="4" w:space="0" w:color="auto"/>
              <w:right w:val="nil"/>
            </w:tcBorders>
          </w:tcPr>
          <w:p w14:paraId="594E9C66" w14:textId="77777777" w:rsidR="00D72276" w:rsidRPr="00A05433" w:rsidRDefault="00D72276" w:rsidP="00A05433">
            <w:pPr>
              <w:spacing w:after="0" w:line="240" w:lineRule="auto"/>
              <w:rPr>
                <w:rFonts w:ascii="Arial" w:eastAsia="Times New Roman" w:hAnsi="Arial" w:cs="Arial"/>
                <w:sz w:val="18"/>
                <w:szCs w:val="18"/>
                <w:lang w:eastAsia="cs-CZ"/>
              </w:rPr>
            </w:pPr>
          </w:p>
        </w:tc>
      </w:tr>
      <w:tr w:rsidR="00D72276" w:rsidRPr="00A05433" w14:paraId="55FAB3B9" w14:textId="77777777" w:rsidTr="00A05433">
        <w:trPr>
          <w:trHeight w:val="275"/>
        </w:trPr>
        <w:tc>
          <w:tcPr>
            <w:tcW w:w="5000" w:type="pct"/>
            <w:gridSpan w:val="5"/>
            <w:tcBorders>
              <w:top w:val="single" w:sz="4" w:space="0" w:color="auto"/>
            </w:tcBorders>
          </w:tcPr>
          <w:p w14:paraId="2E5D8D19"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b/>
                <w:bCs/>
                <w:sz w:val="18"/>
                <w:szCs w:val="18"/>
                <w:lang w:eastAsia="cs-CZ"/>
              </w:rPr>
              <w:t>JINÉ PORUŠENÍ PRAVIDEL</w:t>
            </w:r>
          </w:p>
        </w:tc>
      </w:tr>
      <w:tr w:rsidR="00D72276" w:rsidRPr="00A05433" w14:paraId="4A264931" w14:textId="77777777" w:rsidTr="00A05433">
        <w:trPr>
          <w:trHeight w:val="275"/>
        </w:trPr>
        <w:tc>
          <w:tcPr>
            <w:tcW w:w="256" w:type="pct"/>
          </w:tcPr>
          <w:p w14:paraId="0DCDB087"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8.2.23</w:t>
            </w:r>
          </w:p>
        </w:tc>
        <w:tc>
          <w:tcPr>
            <w:tcW w:w="1738" w:type="pct"/>
            <w:gridSpan w:val="2"/>
            <w:shd w:val="clear" w:color="auto" w:fill="auto"/>
          </w:tcPr>
          <w:p w14:paraId="26F9E93C"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Jiné porušení výše neuvedené</w:t>
            </w:r>
          </w:p>
        </w:tc>
        <w:tc>
          <w:tcPr>
            <w:tcW w:w="1321" w:type="pct"/>
          </w:tcPr>
          <w:p w14:paraId="5C75737E"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Jiné porušení zadávání zakázek dle Pravidel pro žadatele a příjemce výše neuvedené, které mělo nebo mohlo mít vliv na výběr nejvhodnější nabídky.</w:t>
            </w:r>
          </w:p>
        </w:tc>
        <w:tc>
          <w:tcPr>
            <w:tcW w:w="1686" w:type="pct"/>
            <w:shd w:val="clear" w:color="auto" w:fill="auto"/>
          </w:tcPr>
          <w:p w14:paraId="20DC9AAB"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min. 25 % nebo min. 10 % nebo 5 % s ohledem na závažnost porušení</w:t>
            </w:r>
          </w:p>
        </w:tc>
      </w:tr>
      <w:tr w:rsidR="00D72276" w:rsidRPr="00A05433" w14:paraId="58114B28" w14:textId="77777777" w:rsidTr="00A05433">
        <w:trPr>
          <w:trHeight w:val="275"/>
        </w:trPr>
        <w:tc>
          <w:tcPr>
            <w:tcW w:w="256" w:type="pct"/>
          </w:tcPr>
          <w:p w14:paraId="39D2CA0C" w14:textId="77777777" w:rsidR="00D72276" w:rsidRPr="00A05433" w:rsidRDefault="00D72276" w:rsidP="00A05433">
            <w:pPr>
              <w:spacing w:after="0" w:line="240" w:lineRule="auto"/>
              <w:rPr>
                <w:rFonts w:ascii="Arial" w:eastAsia="Times New Roman" w:hAnsi="Arial" w:cs="Arial"/>
                <w:color w:val="000000"/>
                <w:sz w:val="18"/>
                <w:szCs w:val="18"/>
                <w:lang w:eastAsia="cs-CZ"/>
              </w:rPr>
            </w:pPr>
            <w:r w:rsidRPr="00A05433">
              <w:rPr>
                <w:rFonts w:ascii="Arial" w:eastAsia="Times New Roman" w:hAnsi="Arial" w:cs="Arial"/>
                <w:color w:val="000000"/>
                <w:sz w:val="18"/>
                <w:szCs w:val="18"/>
                <w:lang w:eastAsia="cs-CZ"/>
              </w:rPr>
              <w:t>8.2.24</w:t>
            </w:r>
          </w:p>
        </w:tc>
        <w:tc>
          <w:tcPr>
            <w:tcW w:w="1738" w:type="pct"/>
            <w:gridSpan w:val="2"/>
            <w:shd w:val="clear" w:color="auto" w:fill="auto"/>
          </w:tcPr>
          <w:p w14:paraId="669E01C1"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Jiné porušení výše neuvedené</w:t>
            </w:r>
          </w:p>
        </w:tc>
        <w:tc>
          <w:tcPr>
            <w:tcW w:w="1321" w:type="pct"/>
          </w:tcPr>
          <w:p w14:paraId="56B62952"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 xml:space="preserve">Jiné porušení zadávání zakázek dle zákona, které nemělo vliv na výběr nejvhodnější nabídky. Zejména pochybení formálního charakteru. </w:t>
            </w:r>
          </w:p>
        </w:tc>
        <w:tc>
          <w:tcPr>
            <w:tcW w:w="1686" w:type="pct"/>
            <w:shd w:val="clear" w:color="auto" w:fill="auto"/>
          </w:tcPr>
          <w:p w14:paraId="255C1152" w14:textId="77777777" w:rsidR="00D72276" w:rsidRPr="00A05433" w:rsidRDefault="00D72276" w:rsidP="00A05433">
            <w:pPr>
              <w:spacing w:after="0" w:line="240" w:lineRule="auto"/>
              <w:rPr>
                <w:rFonts w:ascii="Arial" w:eastAsia="Times New Roman" w:hAnsi="Arial" w:cs="Arial"/>
                <w:sz w:val="18"/>
                <w:szCs w:val="18"/>
                <w:lang w:eastAsia="cs-CZ"/>
              </w:rPr>
            </w:pPr>
            <w:r w:rsidRPr="00A05433">
              <w:rPr>
                <w:rFonts w:ascii="Arial" w:eastAsia="Times New Roman" w:hAnsi="Arial" w:cs="Arial"/>
                <w:sz w:val="18"/>
                <w:szCs w:val="18"/>
                <w:lang w:eastAsia="cs-CZ"/>
              </w:rPr>
              <w:t>0 %</w:t>
            </w:r>
          </w:p>
        </w:tc>
      </w:tr>
    </w:tbl>
    <w:p w14:paraId="2571B7F2" w14:textId="77777777" w:rsidR="00572E77" w:rsidRDefault="00572E77" w:rsidP="00A05433"/>
    <w:sectPr w:rsidR="00572E77" w:rsidSect="0005569A">
      <w:pgSz w:w="16838" w:h="11906" w:orient="landscape"/>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C048" w14:textId="77777777" w:rsidR="00556914" w:rsidRDefault="00556914" w:rsidP="006D6037">
      <w:pPr>
        <w:spacing w:after="0" w:line="240" w:lineRule="auto"/>
      </w:pPr>
      <w:r>
        <w:separator/>
      </w:r>
    </w:p>
  </w:endnote>
  <w:endnote w:type="continuationSeparator" w:id="0">
    <w:p w14:paraId="47CFFD72" w14:textId="77777777" w:rsidR="00556914" w:rsidRDefault="00556914" w:rsidP="006D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56299"/>
      <w:docPartObj>
        <w:docPartGallery w:val="Page Numbers (Bottom of Page)"/>
        <w:docPartUnique/>
      </w:docPartObj>
    </w:sdtPr>
    <w:sdtEndPr/>
    <w:sdtContent>
      <w:p w14:paraId="5FFDB71D" w14:textId="3A295318" w:rsidR="00632EAB" w:rsidRDefault="00632EAB">
        <w:pPr>
          <w:pStyle w:val="Zpat"/>
          <w:jc w:val="right"/>
        </w:pPr>
        <w:r>
          <w:fldChar w:fldCharType="begin"/>
        </w:r>
        <w:r>
          <w:instrText>PAGE   \* MERGEFORMAT</w:instrText>
        </w:r>
        <w:r>
          <w:fldChar w:fldCharType="separate"/>
        </w:r>
        <w:r w:rsidR="00024F44">
          <w:rPr>
            <w:noProof/>
          </w:rPr>
          <w:t>28</w:t>
        </w:r>
        <w:r>
          <w:fldChar w:fldCharType="end"/>
        </w:r>
      </w:p>
    </w:sdtContent>
  </w:sdt>
  <w:p w14:paraId="4F3612AC" w14:textId="77777777" w:rsidR="00632EAB" w:rsidRDefault="00632E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C98F" w14:textId="77777777" w:rsidR="00556914" w:rsidRDefault="00556914" w:rsidP="006D6037">
      <w:pPr>
        <w:spacing w:after="0" w:line="240" w:lineRule="auto"/>
      </w:pPr>
      <w:r>
        <w:separator/>
      </w:r>
    </w:p>
  </w:footnote>
  <w:footnote w:type="continuationSeparator" w:id="0">
    <w:p w14:paraId="06CF2738" w14:textId="77777777" w:rsidR="00556914" w:rsidRDefault="00556914" w:rsidP="006D6037">
      <w:pPr>
        <w:spacing w:after="0" w:line="240" w:lineRule="auto"/>
      </w:pPr>
      <w:r>
        <w:continuationSeparator/>
      </w:r>
    </w:p>
  </w:footnote>
  <w:footnote w:id="1">
    <w:p w14:paraId="6FE38D83" w14:textId="77777777" w:rsidR="008D38C7" w:rsidRDefault="008D38C7" w:rsidP="00D517FF">
      <w:pPr>
        <w:pStyle w:val="Textpoznpodarou"/>
      </w:pPr>
      <w:r>
        <w:rPr>
          <w:rStyle w:val="Znakapoznpodarou"/>
        </w:rPr>
        <w:footnoteRef/>
      </w:r>
      <w:r>
        <w:t xml:space="preserve"> </w:t>
      </w:r>
      <w:r w:rsidRPr="0021330E">
        <w:rPr>
          <w:rFonts w:cs="Arial"/>
        </w:rPr>
        <w:t>např. kontrola z moci úřední dle § 5 zákona č. 255/2012 Sb., daňová kontrola, audit operace, fyzická kontrola na místě ve smyslu ust. § 13 zákona o finanční kontrole</w:t>
      </w:r>
    </w:p>
  </w:footnote>
  <w:footnote w:id="2">
    <w:p w14:paraId="07B8CFB5" w14:textId="77777777" w:rsidR="008D38C7" w:rsidRDefault="008D38C7" w:rsidP="006D6037">
      <w:pPr>
        <w:pStyle w:val="Textpoznpodarou"/>
        <w:tabs>
          <w:tab w:val="clear" w:pos="227"/>
        </w:tabs>
        <w:ind w:left="0" w:firstLine="0"/>
      </w:pPr>
      <w:r>
        <w:rPr>
          <w:rStyle w:val="Znakapoznpodarou"/>
        </w:rPr>
        <w:footnoteRef/>
      </w:r>
      <w:r>
        <w:t xml:space="preserve"> Novela zákona č. 250/2000 Sb., s účinností od 20. 2. 2015 používá termín nižší odvod, oproti znění zákona předchozího, v němž byl použit termín snížený odvod.</w:t>
      </w:r>
    </w:p>
  </w:footnote>
  <w:footnote w:id="3">
    <w:p w14:paraId="43CE16F6" w14:textId="299D8649" w:rsidR="008D38C7" w:rsidRDefault="008D38C7" w:rsidP="004E20C4">
      <w:pPr>
        <w:pStyle w:val="Textpoznpodarou"/>
      </w:pPr>
      <w:r>
        <w:rPr>
          <w:rStyle w:val="Znakapoznpodarou"/>
        </w:rPr>
        <w:footnoteRef/>
      </w:r>
      <w:r>
        <w:t xml:space="preserve"> Předmětem poplatku není přijetí žádostí, pokud požadovaná úleva činí trojnásobek nebo méně než trojnásobek stanovené sazby poplatku.</w:t>
      </w:r>
    </w:p>
  </w:footnote>
  <w:footnote w:id="4">
    <w:p w14:paraId="1BA1DAC0" w14:textId="1E193B7B" w:rsidR="008D38C7" w:rsidRDefault="008D38C7">
      <w:pPr>
        <w:pStyle w:val="Textpoznpodarou"/>
      </w:pPr>
      <w:r>
        <w:rPr>
          <w:rStyle w:val="Znakapoznpodarou"/>
        </w:rPr>
        <w:footnoteRef/>
      </w:r>
      <w:r>
        <w:t xml:space="preserve"> Předmětem poplatku není přijetí žádostí, pokud požadovaná úleva činí trojnásobek nebo méně než trojnásobek stanovené sazby poplatku.</w:t>
      </w:r>
    </w:p>
  </w:footnote>
  <w:footnote w:id="5">
    <w:p w14:paraId="580502A2" w14:textId="77777777" w:rsidR="008D38C7" w:rsidRDefault="008D38C7" w:rsidP="006D6037">
      <w:pPr>
        <w:pStyle w:val="Textpoznpodarou"/>
      </w:pPr>
      <w:r>
        <w:rPr>
          <w:rStyle w:val="Znakapoznpodarou"/>
        </w:rPr>
        <w:footnoteRef/>
      </w:r>
      <w:r>
        <w:t xml:space="preserve"> Rozsah finanční korekce - v případě pochybení zjištěného před proplacením ŽoP se stanovuje finanční korekce.</w:t>
      </w:r>
    </w:p>
  </w:footnote>
  <w:footnote w:id="6">
    <w:p w14:paraId="5342DD50" w14:textId="77777777" w:rsidR="00001725" w:rsidRDefault="00001725" w:rsidP="0053129E">
      <w:pPr>
        <w:pStyle w:val="Textpoznpodarou"/>
      </w:pPr>
      <w:r>
        <w:rPr>
          <w:rStyle w:val="Znakapoznpodarou"/>
          <w:rFonts w:eastAsiaTheme="majorEastAsia"/>
        </w:rPr>
        <w:footnoteRef/>
      </w:r>
      <w:r>
        <w:t xml:space="preserve"> </w:t>
      </w:r>
      <w:r w:rsidRPr="003E158D">
        <w:rPr>
          <w:sz w:val="18"/>
        </w:rPr>
        <w:t>Za jednotlivý případ podle § 44 odst. 4 písm. b) zákona č. 218/2000 Sb., se považuje jednotlivé výběrové řízení, nikoli jednotlivé porušení v tabulkách kapitoly 8.</w:t>
      </w:r>
    </w:p>
  </w:footnote>
  <w:footnote w:id="7">
    <w:p w14:paraId="47312572" w14:textId="77777777" w:rsidR="00001725" w:rsidRDefault="00001725" w:rsidP="0053129E">
      <w:pPr>
        <w:pStyle w:val="Textpoznpodarou"/>
      </w:pPr>
      <w:r>
        <w:rPr>
          <w:rStyle w:val="Znakapoznpodarou"/>
          <w:rFonts w:eastAsiaTheme="majorEastAsia"/>
        </w:rPr>
        <w:footnoteRef/>
      </w:r>
      <w:r>
        <w:t xml:space="preserve"> </w:t>
      </w:r>
      <w:r w:rsidRPr="003E158D">
        <w:rPr>
          <w:sz w:val="18"/>
        </w:rPr>
        <w:t>Dle § 22 odst. 5 zákona č. 250/2000 Sb., se odvody sčítají při porušení více povinností. Dle čl. V Povinnosti příjemce, bodu. 1 smlouvy o poskytnutí finanční podpory má příjemce povinnost postupovat podle zákona o veřejných zakázkách, resp. Přílohy L - Pokynů pro zadávací řízení na dodavatele. Za porušení povinnosti se tak považuje jednotlivé zadávací řízení, nikoliv jednotlivé porušení v dále uvedených tabulkách, tj. všechna pochybení vztahující se k jednomu zadávacímu řízení se považují za porušení jedné smluvní povinnosti.</w:t>
      </w:r>
    </w:p>
    <w:p w14:paraId="43766905" w14:textId="77777777" w:rsidR="00001725" w:rsidRDefault="00001725" w:rsidP="0053129E">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3D56" w14:textId="6B592580" w:rsidR="00DC5E3F" w:rsidRDefault="00DC5E3F">
    <w:pPr>
      <w:pStyle w:val="Zhlav"/>
    </w:pPr>
    <w:r>
      <w:rPr>
        <w:rFonts w:ascii="Calibri" w:eastAsia="Calibri" w:hAnsi="Calibri"/>
        <w:noProof/>
        <w:lang w:eastAsia="cs-CZ"/>
      </w:rPr>
      <w:drawing>
        <wp:inline distT="0" distB="0" distL="0" distR="0" wp14:anchorId="02B9D834" wp14:editId="235AB4A5">
          <wp:extent cx="2871653" cy="576000"/>
          <wp:effectExtent l="0" t="0" r="508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653" cy="576000"/>
                  </a:xfrm>
                  <a:prstGeom prst="rect">
                    <a:avLst/>
                  </a:prstGeom>
                  <a:noFill/>
                  <a:ln>
                    <a:noFill/>
                  </a:ln>
                </pic:spPr>
              </pic:pic>
            </a:graphicData>
          </a:graphic>
        </wp:inline>
      </w:drawing>
    </w:r>
    <w:r>
      <w:t xml:space="preserve">  </w:t>
    </w:r>
    <w:r>
      <w:tab/>
      <w:t xml:space="preserve"> </w:t>
    </w:r>
    <w:r>
      <w:rPr>
        <w:rFonts w:ascii="Calibri" w:eastAsia="Calibri" w:hAnsi="Calibri"/>
        <w:noProof/>
        <w:lang w:eastAsia="cs-CZ"/>
      </w:rPr>
      <w:drawing>
        <wp:inline distT="0" distB="0" distL="0" distR="0" wp14:anchorId="45904784" wp14:editId="4B09B747">
          <wp:extent cx="576000" cy="576000"/>
          <wp:effectExtent l="0" t="0" r="0" b="0"/>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p w14:paraId="4A4628C8" w14:textId="77777777" w:rsidR="00E4539A" w:rsidRDefault="00E4539A" w:rsidP="00B45A8B">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22CBB"/>
    <w:multiLevelType w:val="hybridMultilevel"/>
    <w:tmpl w:val="93E2C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6377A9"/>
    <w:multiLevelType w:val="multilevel"/>
    <w:tmpl w:val="19ECDBB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515"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57AD59FF"/>
    <w:multiLevelType w:val="hybridMultilevel"/>
    <w:tmpl w:val="3B3488CE"/>
    <w:lvl w:ilvl="0" w:tplc="E87ECFC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7"/>
    <w:rsid w:val="00001725"/>
    <w:rsid w:val="00024F44"/>
    <w:rsid w:val="00036226"/>
    <w:rsid w:val="0005569A"/>
    <w:rsid w:val="000E3A77"/>
    <w:rsid w:val="0010219C"/>
    <w:rsid w:val="00136F7E"/>
    <w:rsid w:val="001508DE"/>
    <w:rsid w:val="0015379B"/>
    <w:rsid w:val="001F17A3"/>
    <w:rsid w:val="00203F13"/>
    <w:rsid w:val="002055BF"/>
    <w:rsid w:val="002421C9"/>
    <w:rsid w:val="0026592C"/>
    <w:rsid w:val="002758BC"/>
    <w:rsid w:val="003B1C19"/>
    <w:rsid w:val="003C3E54"/>
    <w:rsid w:val="003E158D"/>
    <w:rsid w:val="003E330F"/>
    <w:rsid w:val="00444380"/>
    <w:rsid w:val="00482D67"/>
    <w:rsid w:val="00490BE7"/>
    <w:rsid w:val="00495BAB"/>
    <w:rsid w:val="004D47B0"/>
    <w:rsid w:val="004E20C4"/>
    <w:rsid w:val="004E6DF2"/>
    <w:rsid w:val="0053129E"/>
    <w:rsid w:val="00556914"/>
    <w:rsid w:val="00572E77"/>
    <w:rsid w:val="00593F57"/>
    <w:rsid w:val="005C3235"/>
    <w:rsid w:val="00603409"/>
    <w:rsid w:val="0061395A"/>
    <w:rsid w:val="00632EAB"/>
    <w:rsid w:val="006B1310"/>
    <w:rsid w:val="006D6037"/>
    <w:rsid w:val="00715A2A"/>
    <w:rsid w:val="00742A4F"/>
    <w:rsid w:val="00742F7C"/>
    <w:rsid w:val="00763D91"/>
    <w:rsid w:val="007866D4"/>
    <w:rsid w:val="007F2B9C"/>
    <w:rsid w:val="00826507"/>
    <w:rsid w:val="00853C0F"/>
    <w:rsid w:val="0086742D"/>
    <w:rsid w:val="008772C7"/>
    <w:rsid w:val="008D38C7"/>
    <w:rsid w:val="00944E67"/>
    <w:rsid w:val="009907AE"/>
    <w:rsid w:val="00A05433"/>
    <w:rsid w:val="00A72B60"/>
    <w:rsid w:val="00AE418A"/>
    <w:rsid w:val="00AE4B2A"/>
    <w:rsid w:val="00AF43EF"/>
    <w:rsid w:val="00AF63F6"/>
    <w:rsid w:val="00B239AF"/>
    <w:rsid w:val="00B40E03"/>
    <w:rsid w:val="00B45A8B"/>
    <w:rsid w:val="00B60D74"/>
    <w:rsid w:val="00BB01DF"/>
    <w:rsid w:val="00BB149F"/>
    <w:rsid w:val="00BE16A7"/>
    <w:rsid w:val="00C03039"/>
    <w:rsid w:val="00C24124"/>
    <w:rsid w:val="00C920D5"/>
    <w:rsid w:val="00CB13BA"/>
    <w:rsid w:val="00CB5213"/>
    <w:rsid w:val="00CC5C39"/>
    <w:rsid w:val="00CE261D"/>
    <w:rsid w:val="00D517FF"/>
    <w:rsid w:val="00D72276"/>
    <w:rsid w:val="00D9080D"/>
    <w:rsid w:val="00DC5E3F"/>
    <w:rsid w:val="00E0376A"/>
    <w:rsid w:val="00E4539A"/>
    <w:rsid w:val="00E861C7"/>
    <w:rsid w:val="00EB4EA0"/>
    <w:rsid w:val="00F061FA"/>
    <w:rsid w:val="00F911D5"/>
    <w:rsid w:val="00FB5DF8"/>
    <w:rsid w:val="00FC30D1"/>
    <w:rsid w:val="00FD22A1"/>
    <w:rsid w:val="00FF6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78511"/>
  <w15:docId w15:val="{16EA1EEA-779F-4C83-92F2-AD88BAF5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037"/>
  </w:style>
  <w:style w:type="paragraph" w:styleId="Nadpis1">
    <w:name w:val="heading 1"/>
    <w:basedOn w:val="Normln"/>
    <w:next w:val="Normln"/>
    <w:link w:val="Nadpis1Char"/>
    <w:qFormat/>
    <w:rsid w:val="006D6037"/>
    <w:pPr>
      <w:keepNext/>
      <w:widowControl w:val="0"/>
      <w:numPr>
        <w:numId w:val="2"/>
      </w:numPr>
      <w:autoSpaceDE w:val="0"/>
      <w:autoSpaceDN w:val="0"/>
      <w:adjustRightInd w:val="0"/>
      <w:spacing w:after="120" w:line="240" w:lineRule="auto"/>
      <w:jc w:val="both"/>
      <w:outlineLvl w:val="0"/>
    </w:pPr>
    <w:rPr>
      <w:rFonts w:ascii="Arial" w:eastAsia="Times New Roman" w:hAnsi="Arial" w:cs="Times New Roman"/>
      <w:b/>
      <w:bCs/>
      <w:sz w:val="28"/>
      <w:szCs w:val="28"/>
      <w:lang w:eastAsia="cs-CZ"/>
    </w:rPr>
  </w:style>
  <w:style w:type="paragraph" w:styleId="Nadpis2">
    <w:name w:val="heading 2"/>
    <w:basedOn w:val="Normln"/>
    <w:next w:val="Normln"/>
    <w:link w:val="Nadpis2Char"/>
    <w:qFormat/>
    <w:rsid w:val="004E20C4"/>
    <w:pPr>
      <w:keepNext/>
      <w:widowControl w:val="0"/>
      <w:numPr>
        <w:ilvl w:val="1"/>
        <w:numId w:val="2"/>
      </w:numPr>
      <w:autoSpaceDE w:val="0"/>
      <w:autoSpaceDN w:val="0"/>
      <w:adjustRightInd w:val="0"/>
      <w:spacing w:before="120" w:after="120" w:line="240" w:lineRule="auto"/>
      <w:ind w:left="567"/>
      <w:jc w:val="both"/>
      <w:outlineLvl w:val="1"/>
    </w:pPr>
    <w:rPr>
      <w:rFonts w:ascii="Arial" w:eastAsia="Times New Roman" w:hAnsi="Arial" w:cs="Times New Roman"/>
      <w:b/>
      <w:bCs/>
      <w:sz w:val="24"/>
      <w:szCs w:val="28"/>
      <w:lang w:eastAsia="cs-CZ"/>
    </w:rPr>
  </w:style>
  <w:style w:type="paragraph" w:styleId="Nadpis3">
    <w:name w:val="heading 3"/>
    <w:basedOn w:val="Normln"/>
    <w:next w:val="Normln"/>
    <w:link w:val="Nadpis3Char"/>
    <w:qFormat/>
    <w:rsid w:val="006D6037"/>
    <w:pPr>
      <w:keepNext/>
      <w:widowControl w:val="0"/>
      <w:numPr>
        <w:ilvl w:val="2"/>
        <w:numId w:val="2"/>
      </w:numPr>
      <w:autoSpaceDE w:val="0"/>
      <w:autoSpaceDN w:val="0"/>
      <w:adjustRightInd w:val="0"/>
      <w:spacing w:after="120" w:line="240" w:lineRule="auto"/>
      <w:jc w:val="both"/>
      <w:outlineLvl w:val="2"/>
    </w:pPr>
    <w:rPr>
      <w:rFonts w:ascii="Arial" w:eastAsia="Times New Roman" w:hAnsi="Arial" w:cs="Times New Roman"/>
      <w:b/>
      <w:bCs/>
      <w:szCs w:val="24"/>
      <w:lang w:eastAsia="cs-CZ"/>
    </w:rPr>
  </w:style>
  <w:style w:type="paragraph" w:styleId="Nadpis4">
    <w:name w:val="heading 4"/>
    <w:basedOn w:val="Normln"/>
    <w:next w:val="Normln"/>
    <w:link w:val="Nadpis4Char"/>
    <w:uiPriority w:val="9"/>
    <w:semiHidden/>
    <w:unhideWhenUsed/>
    <w:qFormat/>
    <w:rsid w:val="006D60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aliases w:val="Nadpis 5 pochybení,2. úroveň"/>
    <w:basedOn w:val="Normln"/>
    <w:next w:val="Normln"/>
    <w:link w:val="Nadpis5Char"/>
    <w:qFormat/>
    <w:rsid w:val="006D6037"/>
    <w:pPr>
      <w:numPr>
        <w:ilvl w:val="4"/>
        <w:numId w:val="2"/>
      </w:numPr>
      <w:spacing w:before="240" w:after="60" w:line="240" w:lineRule="auto"/>
      <w:jc w:val="both"/>
      <w:outlineLvl w:val="4"/>
    </w:pPr>
    <w:rPr>
      <w:rFonts w:ascii="Arial" w:eastAsia="Times New Roman" w:hAnsi="Arial" w:cs="Times New Roman"/>
      <w:b/>
      <w:bCs/>
      <w:i/>
      <w:iCs/>
      <w:szCs w:val="26"/>
      <w:lang w:eastAsia="cs-CZ"/>
    </w:rPr>
  </w:style>
  <w:style w:type="paragraph" w:styleId="Nadpis6">
    <w:name w:val="heading 6"/>
    <w:basedOn w:val="Normln"/>
    <w:next w:val="Normln"/>
    <w:link w:val="Nadpis6Char"/>
    <w:rsid w:val="006D6037"/>
    <w:pPr>
      <w:numPr>
        <w:ilvl w:val="5"/>
        <w:numId w:val="2"/>
      </w:numPr>
      <w:spacing w:before="240" w:after="60" w:line="240" w:lineRule="auto"/>
      <w:jc w:val="both"/>
      <w:outlineLvl w:val="5"/>
    </w:pPr>
    <w:rPr>
      <w:rFonts w:ascii="Arial" w:eastAsia="Times New Roman" w:hAnsi="Arial" w:cs="Times New Roman"/>
      <w:b/>
      <w:bCs/>
      <w:lang w:eastAsia="cs-CZ"/>
    </w:rPr>
  </w:style>
  <w:style w:type="paragraph" w:styleId="Nadpis7">
    <w:name w:val="heading 7"/>
    <w:basedOn w:val="Normln"/>
    <w:next w:val="Normln"/>
    <w:link w:val="Nadpis7Char"/>
    <w:rsid w:val="006D6037"/>
    <w:pPr>
      <w:numPr>
        <w:ilvl w:val="6"/>
        <w:numId w:val="2"/>
      </w:numPr>
      <w:spacing w:before="240" w:after="60" w:line="240" w:lineRule="auto"/>
      <w:jc w:val="both"/>
      <w:outlineLvl w:val="6"/>
    </w:pPr>
    <w:rPr>
      <w:rFonts w:ascii="Arial" w:eastAsia="Times New Roman" w:hAnsi="Arial" w:cs="Times New Roman"/>
      <w:sz w:val="20"/>
      <w:szCs w:val="24"/>
      <w:lang w:eastAsia="cs-CZ"/>
    </w:rPr>
  </w:style>
  <w:style w:type="paragraph" w:styleId="Nadpis8">
    <w:name w:val="heading 8"/>
    <w:basedOn w:val="Normln"/>
    <w:next w:val="Normln"/>
    <w:link w:val="Nadpis8Char"/>
    <w:rsid w:val="006D6037"/>
    <w:pPr>
      <w:numPr>
        <w:ilvl w:val="7"/>
        <w:numId w:val="2"/>
      </w:numPr>
      <w:spacing w:before="240" w:after="60" w:line="240" w:lineRule="auto"/>
      <w:jc w:val="both"/>
      <w:outlineLvl w:val="7"/>
    </w:pPr>
    <w:rPr>
      <w:rFonts w:ascii="Arial" w:eastAsia="Times New Roman" w:hAnsi="Arial" w:cs="Times New Roman"/>
      <w:i/>
      <w:iCs/>
      <w:sz w:val="20"/>
      <w:szCs w:val="24"/>
      <w:lang w:eastAsia="cs-CZ"/>
    </w:rPr>
  </w:style>
  <w:style w:type="paragraph" w:styleId="Nadpis9">
    <w:name w:val="heading 9"/>
    <w:basedOn w:val="Normln"/>
    <w:next w:val="Normln"/>
    <w:link w:val="Nadpis9Char"/>
    <w:rsid w:val="006D6037"/>
    <w:pPr>
      <w:numPr>
        <w:ilvl w:val="8"/>
        <w:numId w:val="2"/>
      </w:numPr>
      <w:spacing w:before="240" w:after="60" w:line="24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6037"/>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rsid w:val="004E20C4"/>
    <w:rPr>
      <w:rFonts w:ascii="Arial" w:eastAsia="Times New Roman" w:hAnsi="Arial" w:cs="Times New Roman"/>
      <w:b/>
      <w:bCs/>
      <w:sz w:val="24"/>
      <w:szCs w:val="28"/>
      <w:lang w:eastAsia="cs-CZ"/>
    </w:rPr>
  </w:style>
  <w:style w:type="character" w:customStyle="1" w:styleId="Nadpis3Char">
    <w:name w:val="Nadpis 3 Char"/>
    <w:basedOn w:val="Standardnpsmoodstavce"/>
    <w:link w:val="Nadpis3"/>
    <w:rsid w:val="006D6037"/>
    <w:rPr>
      <w:rFonts w:ascii="Arial" w:eastAsia="Times New Roman" w:hAnsi="Arial" w:cs="Times New Roman"/>
      <w:b/>
      <w:bCs/>
      <w:szCs w:val="24"/>
      <w:lang w:eastAsia="cs-CZ"/>
    </w:rPr>
  </w:style>
  <w:style w:type="character" w:customStyle="1" w:styleId="Nadpis4Char">
    <w:name w:val="Nadpis 4 Char"/>
    <w:basedOn w:val="Standardnpsmoodstavce"/>
    <w:link w:val="Nadpis4"/>
    <w:uiPriority w:val="9"/>
    <w:semiHidden/>
    <w:rsid w:val="006D6037"/>
    <w:rPr>
      <w:rFonts w:asciiTheme="majorHAnsi" w:eastAsiaTheme="majorEastAsia" w:hAnsiTheme="majorHAnsi" w:cstheme="majorBidi"/>
      <w:i/>
      <w:iCs/>
      <w:color w:val="365F91" w:themeColor="accent1" w:themeShade="BF"/>
    </w:rPr>
  </w:style>
  <w:style w:type="character" w:customStyle="1" w:styleId="Nadpis5Char">
    <w:name w:val="Nadpis 5 Char"/>
    <w:aliases w:val="Nadpis 5 pochybení Char,2. úroveň Char"/>
    <w:basedOn w:val="Standardnpsmoodstavce"/>
    <w:link w:val="Nadpis5"/>
    <w:rsid w:val="006D6037"/>
    <w:rPr>
      <w:rFonts w:ascii="Arial" w:eastAsia="Times New Roman" w:hAnsi="Arial" w:cs="Times New Roman"/>
      <w:b/>
      <w:bCs/>
      <w:i/>
      <w:iCs/>
      <w:szCs w:val="26"/>
      <w:lang w:eastAsia="cs-CZ"/>
    </w:rPr>
  </w:style>
  <w:style w:type="character" w:customStyle="1" w:styleId="Nadpis6Char">
    <w:name w:val="Nadpis 6 Char"/>
    <w:basedOn w:val="Standardnpsmoodstavce"/>
    <w:link w:val="Nadpis6"/>
    <w:rsid w:val="006D6037"/>
    <w:rPr>
      <w:rFonts w:ascii="Arial" w:eastAsia="Times New Roman" w:hAnsi="Arial" w:cs="Times New Roman"/>
      <w:b/>
      <w:bCs/>
      <w:lang w:eastAsia="cs-CZ"/>
    </w:rPr>
  </w:style>
  <w:style w:type="character" w:customStyle="1" w:styleId="Nadpis7Char">
    <w:name w:val="Nadpis 7 Char"/>
    <w:basedOn w:val="Standardnpsmoodstavce"/>
    <w:link w:val="Nadpis7"/>
    <w:rsid w:val="006D6037"/>
    <w:rPr>
      <w:rFonts w:ascii="Arial" w:eastAsia="Times New Roman" w:hAnsi="Arial" w:cs="Times New Roman"/>
      <w:sz w:val="20"/>
      <w:szCs w:val="24"/>
      <w:lang w:eastAsia="cs-CZ"/>
    </w:rPr>
  </w:style>
  <w:style w:type="character" w:customStyle="1" w:styleId="Nadpis8Char">
    <w:name w:val="Nadpis 8 Char"/>
    <w:basedOn w:val="Standardnpsmoodstavce"/>
    <w:link w:val="Nadpis8"/>
    <w:rsid w:val="006D6037"/>
    <w:rPr>
      <w:rFonts w:ascii="Arial" w:eastAsia="Times New Roman" w:hAnsi="Arial" w:cs="Times New Roman"/>
      <w:i/>
      <w:iCs/>
      <w:sz w:val="20"/>
      <w:szCs w:val="24"/>
      <w:lang w:eastAsia="cs-CZ"/>
    </w:rPr>
  </w:style>
  <w:style w:type="character" w:customStyle="1" w:styleId="Nadpis9Char">
    <w:name w:val="Nadpis 9 Char"/>
    <w:basedOn w:val="Standardnpsmoodstavce"/>
    <w:link w:val="Nadpis9"/>
    <w:rsid w:val="006D6037"/>
    <w:rPr>
      <w:rFonts w:ascii="Arial" w:eastAsia="Times New Roman" w:hAnsi="Arial" w:cs="Arial"/>
      <w:lang w:eastAsia="cs-CZ"/>
    </w:rPr>
  </w:style>
  <w:style w:type="character" w:styleId="Odkaznakoment">
    <w:name w:val="annotation reference"/>
    <w:basedOn w:val="Standardnpsmoodstavce"/>
    <w:uiPriority w:val="99"/>
    <w:semiHidden/>
    <w:unhideWhenUsed/>
    <w:rsid w:val="006D6037"/>
    <w:rPr>
      <w:sz w:val="16"/>
      <w:szCs w:val="16"/>
    </w:rPr>
  </w:style>
  <w:style w:type="paragraph" w:styleId="Textkomente">
    <w:name w:val="annotation text"/>
    <w:basedOn w:val="Normln"/>
    <w:link w:val="TextkomenteChar"/>
    <w:uiPriority w:val="99"/>
    <w:semiHidden/>
    <w:unhideWhenUsed/>
    <w:rsid w:val="006D6037"/>
    <w:pPr>
      <w:spacing w:line="240" w:lineRule="auto"/>
    </w:pPr>
    <w:rPr>
      <w:sz w:val="20"/>
      <w:szCs w:val="20"/>
    </w:rPr>
  </w:style>
  <w:style w:type="character" w:customStyle="1" w:styleId="TextkomenteChar">
    <w:name w:val="Text komentáře Char"/>
    <w:basedOn w:val="Standardnpsmoodstavce"/>
    <w:link w:val="Textkomente"/>
    <w:uiPriority w:val="99"/>
    <w:semiHidden/>
    <w:rsid w:val="006D6037"/>
    <w:rPr>
      <w:sz w:val="20"/>
      <w:szCs w:val="20"/>
    </w:rPr>
  </w:style>
  <w:style w:type="paragraph" w:customStyle="1" w:styleId="Default">
    <w:name w:val="Default"/>
    <w:rsid w:val="006D6037"/>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6D6037"/>
    <w:pPr>
      <w:ind w:left="720"/>
      <w:contextualSpacing/>
    </w:pPr>
  </w:style>
  <w:style w:type="paragraph" w:styleId="Zkladntext">
    <w:name w:val="Body Text"/>
    <w:aliases w:val="Standard paragraph"/>
    <w:basedOn w:val="Normln"/>
    <w:link w:val="ZkladntextChar"/>
    <w:rsid w:val="006D6037"/>
    <w:pPr>
      <w:widowControl w:val="0"/>
      <w:autoSpaceDE w:val="0"/>
      <w:autoSpaceDN w:val="0"/>
      <w:adjustRightInd w:val="0"/>
      <w:spacing w:after="80" w:line="240" w:lineRule="auto"/>
      <w:jc w:val="both"/>
    </w:pPr>
    <w:rPr>
      <w:rFonts w:ascii="Arial" w:eastAsia="Times New Roman" w:hAnsi="Arial" w:cs="Times New Roman"/>
      <w:sz w:val="20"/>
      <w:szCs w:val="24"/>
      <w:lang w:eastAsia="cs-CZ"/>
    </w:rPr>
  </w:style>
  <w:style w:type="character" w:customStyle="1" w:styleId="ZkladntextChar">
    <w:name w:val="Základní text Char"/>
    <w:aliases w:val="Standard paragraph Char"/>
    <w:basedOn w:val="Standardnpsmoodstavce"/>
    <w:link w:val="Zkladntext"/>
    <w:rsid w:val="006D6037"/>
    <w:rPr>
      <w:rFonts w:ascii="Arial" w:eastAsia="Times New Roman" w:hAnsi="Arial" w:cs="Times New Roman"/>
      <w:sz w:val="20"/>
      <w:szCs w:val="24"/>
      <w:lang w:eastAsia="cs-CZ"/>
    </w:rPr>
  </w:style>
  <w:style w:type="character" w:styleId="Znakapoznpodarou">
    <w:name w:val="footnote reference"/>
    <w:aliases w:val="PGI Fußnote Ziffer"/>
    <w:semiHidden/>
    <w:rsid w:val="006D6037"/>
    <w:rPr>
      <w:vertAlign w:val="superscript"/>
    </w:rPr>
  </w:style>
  <w:style w:type="paragraph" w:styleId="Textpoznpodarou">
    <w:name w:val="footnote text"/>
    <w:aliases w:val="pozn. pod čarou,Schriftart: 9 pt,Schriftart: 10 pt,Schriftart: 8 pt,Podrozdział,Footnote,Podrozdzia3"/>
    <w:basedOn w:val="Normln"/>
    <w:link w:val="TextpoznpodarouChar"/>
    <w:semiHidden/>
    <w:rsid w:val="006D6037"/>
    <w:pPr>
      <w:keepLines/>
      <w:tabs>
        <w:tab w:val="left" w:pos="227"/>
      </w:tabs>
      <w:spacing w:after="0" w:line="240" w:lineRule="auto"/>
      <w:ind w:left="227" w:hanging="227"/>
      <w:jc w:val="both"/>
    </w:pPr>
    <w:rPr>
      <w:rFonts w:ascii="Arial" w:eastAsia="Times New Roman" w:hAnsi="Arial" w:cs="Times New Roman"/>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semiHidden/>
    <w:rsid w:val="006D6037"/>
    <w:rPr>
      <w:rFonts w:ascii="Arial" w:eastAsia="Times New Roman" w:hAnsi="Arial" w:cs="Times New Roman"/>
      <w:sz w:val="20"/>
      <w:szCs w:val="20"/>
      <w:lang w:eastAsia="cs-CZ"/>
    </w:rPr>
  </w:style>
  <w:style w:type="paragraph" w:customStyle="1" w:styleId="INAtext">
    <w:name w:val="INA text"/>
    <w:basedOn w:val="Normln"/>
    <w:rsid w:val="006D6037"/>
    <w:pPr>
      <w:spacing w:after="0" w:line="240" w:lineRule="auto"/>
      <w:jc w:val="both"/>
    </w:pPr>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6D60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6037"/>
    <w:rPr>
      <w:rFonts w:ascii="Tahoma" w:hAnsi="Tahoma" w:cs="Tahoma"/>
      <w:sz w:val="16"/>
      <w:szCs w:val="16"/>
    </w:rPr>
  </w:style>
  <w:style w:type="table" w:styleId="Mkatabulky">
    <w:name w:val="Table Grid"/>
    <w:basedOn w:val="Normlntabulka"/>
    <w:uiPriority w:val="59"/>
    <w:rsid w:val="0076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72B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2B60"/>
  </w:style>
  <w:style w:type="paragraph" w:styleId="Zpat">
    <w:name w:val="footer"/>
    <w:basedOn w:val="Normln"/>
    <w:link w:val="ZpatChar"/>
    <w:uiPriority w:val="99"/>
    <w:unhideWhenUsed/>
    <w:rsid w:val="00A72B60"/>
    <w:pPr>
      <w:tabs>
        <w:tab w:val="center" w:pos="4536"/>
        <w:tab w:val="right" w:pos="9072"/>
      </w:tabs>
      <w:spacing w:after="0" w:line="240" w:lineRule="auto"/>
    </w:pPr>
  </w:style>
  <w:style w:type="character" w:customStyle="1" w:styleId="ZpatChar">
    <w:name w:val="Zápatí Char"/>
    <w:basedOn w:val="Standardnpsmoodstavce"/>
    <w:link w:val="Zpat"/>
    <w:uiPriority w:val="99"/>
    <w:rsid w:val="00A72B60"/>
  </w:style>
  <w:style w:type="paragraph" w:styleId="Pedmtkomente">
    <w:name w:val="annotation subject"/>
    <w:basedOn w:val="Textkomente"/>
    <w:next w:val="Textkomente"/>
    <w:link w:val="PedmtkomenteChar"/>
    <w:uiPriority w:val="99"/>
    <w:semiHidden/>
    <w:unhideWhenUsed/>
    <w:rsid w:val="002421C9"/>
    <w:rPr>
      <w:b/>
      <w:bCs/>
    </w:rPr>
  </w:style>
  <w:style w:type="character" w:customStyle="1" w:styleId="PedmtkomenteChar">
    <w:name w:val="Předmět komentáře Char"/>
    <w:basedOn w:val="TextkomenteChar"/>
    <w:link w:val="Pedmtkomente"/>
    <w:uiPriority w:val="99"/>
    <w:semiHidden/>
    <w:rsid w:val="002421C9"/>
    <w:rPr>
      <w:b/>
      <w:bCs/>
      <w:sz w:val="20"/>
      <w:szCs w:val="20"/>
    </w:rPr>
  </w:style>
  <w:style w:type="paragraph" w:styleId="Nadpisobsahu">
    <w:name w:val="TOC Heading"/>
    <w:basedOn w:val="Nadpis1"/>
    <w:next w:val="Normln"/>
    <w:uiPriority w:val="39"/>
    <w:unhideWhenUsed/>
    <w:qFormat/>
    <w:rsid w:val="00AE418A"/>
    <w:pPr>
      <w:keepLines/>
      <w:widowControl/>
      <w:numPr>
        <w:numId w:val="0"/>
      </w:numPr>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1">
    <w:name w:val="toc 1"/>
    <w:basedOn w:val="Normln"/>
    <w:next w:val="Normln"/>
    <w:autoRedefine/>
    <w:uiPriority w:val="39"/>
    <w:unhideWhenUsed/>
    <w:rsid w:val="00AE418A"/>
    <w:pPr>
      <w:spacing w:after="100"/>
    </w:pPr>
  </w:style>
  <w:style w:type="paragraph" w:styleId="Obsah2">
    <w:name w:val="toc 2"/>
    <w:basedOn w:val="Normln"/>
    <w:next w:val="Normln"/>
    <w:autoRedefine/>
    <w:uiPriority w:val="39"/>
    <w:unhideWhenUsed/>
    <w:rsid w:val="00AE418A"/>
    <w:pPr>
      <w:spacing w:after="100"/>
      <w:ind w:left="220"/>
    </w:pPr>
  </w:style>
  <w:style w:type="paragraph" w:styleId="Obsah3">
    <w:name w:val="toc 3"/>
    <w:basedOn w:val="Normln"/>
    <w:next w:val="Normln"/>
    <w:autoRedefine/>
    <w:uiPriority w:val="39"/>
    <w:unhideWhenUsed/>
    <w:rsid w:val="00AE418A"/>
    <w:pPr>
      <w:spacing w:after="100"/>
      <w:ind w:left="440"/>
    </w:pPr>
  </w:style>
  <w:style w:type="character" w:styleId="Hypertextovodkaz">
    <w:name w:val="Hyperlink"/>
    <w:basedOn w:val="Standardnpsmoodstavce"/>
    <w:uiPriority w:val="99"/>
    <w:unhideWhenUsed/>
    <w:rsid w:val="00AE418A"/>
    <w:rPr>
      <w:color w:val="0000FF" w:themeColor="hyperlink"/>
      <w:u w:val="single"/>
    </w:rPr>
  </w:style>
  <w:style w:type="paragraph" w:styleId="Zkladntextodsazen2">
    <w:name w:val="Body Text Indent 2"/>
    <w:basedOn w:val="Normln"/>
    <w:link w:val="Zkladntextodsazen2Char"/>
    <w:uiPriority w:val="99"/>
    <w:semiHidden/>
    <w:unhideWhenUsed/>
    <w:rsid w:val="007F2B9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F2B9C"/>
  </w:style>
  <w:style w:type="paragraph" w:styleId="Revize">
    <w:name w:val="Revision"/>
    <w:hidden/>
    <w:uiPriority w:val="99"/>
    <w:semiHidden/>
    <w:rsid w:val="00153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A680-2517-420D-BFDD-09302B4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9128</Words>
  <Characters>53856</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Babický František (MHMP, FON)</dc:creator>
  <cp:keywords/>
  <dc:description/>
  <cp:lastModifiedBy>Čaban Vít (MHMP, FON)</cp:lastModifiedBy>
  <cp:revision>3</cp:revision>
  <cp:lastPrinted>2016-06-01T13:19:00Z</cp:lastPrinted>
  <dcterms:created xsi:type="dcterms:W3CDTF">2016-12-05T15:31:00Z</dcterms:created>
  <dcterms:modified xsi:type="dcterms:W3CDTF">2016-12-06T09:50:00Z</dcterms:modified>
</cp:coreProperties>
</file>