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E3F60" w14:textId="77777777" w:rsidR="005C20EC" w:rsidRPr="00347716" w:rsidRDefault="00347716" w:rsidP="00E85695">
      <w:pPr>
        <w:jc w:val="center"/>
        <w:rPr>
          <w:b/>
          <w:sz w:val="28"/>
        </w:rPr>
      </w:pPr>
      <w:r w:rsidRPr="00347716">
        <w:rPr>
          <w:b/>
          <w:sz w:val="28"/>
        </w:rPr>
        <w:t>Posouzení souladu projektu s Národní RIS3 strategií a Regionální inovační strategií hl. m. Prahy</w:t>
      </w:r>
    </w:p>
    <w:p w14:paraId="06C523BF" w14:textId="3400B947" w:rsidR="00F06AC5" w:rsidRPr="00D92E2A" w:rsidRDefault="00F06AC5" w:rsidP="00F06AC5">
      <w:r w:rsidRPr="00D92E2A">
        <w:t>V této příloze žadatel popíše soulad projektu</w:t>
      </w:r>
      <w:r>
        <w:t xml:space="preserve"> s prioritami RIS3 strategií a doménami specializace, které strategie obsahují. Pro splnění kritéria přijatelnosti je nutné, aby projekt odpovídal </w:t>
      </w:r>
      <w:r w:rsidRPr="00AE6B99">
        <w:rPr>
          <w:b/>
        </w:rPr>
        <w:t xml:space="preserve">minimálně jedné </w:t>
      </w:r>
      <w:r>
        <w:t>položce v část</w:t>
      </w:r>
      <w:r w:rsidR="004A6B84">
        <w:t>ech</w:t>
      </w:r>
      <w:r>
        <w:t xml:space="preserve"> 2 </w:t>
      </w:r>
      <w:r w:rsidR="004A6B84">
        <w:t xml:space="preserve">a </w:t>
      </w:r>
      <w:r>
        <w:t>3</w:t>
      </w:r>
      <w:r w:rsidR="004A6B84">
        <w:t>a dohromady</w:t>
      </w:r>
      <w:r>
        <w:t>. V případě projektů spadajících pod aktivitu 1.1.1 „</w:t>
      </w:r>
      <w:proofErr w:type="spellStart"/>
      <w:r>
        <w:t>proof-of-concept</w:t>
      </w:r>
      <w:proofErr w:type="spellEnd"/>
      <w:r>
        <w:t xml:space="preserve">“ nebo 1.1.2 „PCP“ musí </w:t>
      </w:r>
      <w:r w:rsidRPr="00AE6B99">
        <w:rPr>
          <w:b/>
        </w:rPr>
        <w:t>navíc</w:t>
      </w:r>
      <w:r>
        <w:t xml:space="preserve"> projekt odpovídat alespoň jedné položce v části 3</w:t>
      </w:r>
      <w:r w:rsidR="004A6B84">
        <w:t>b</w:t>
      </w:r>
      <w:r>
        <w:t>.</w:t>
      </w:r>
    </w:p>
    <w:p w14:paraId="06923F1D" w14:textId="77777777" w:rsidR="009D085C" w:rsidRDefault="009D085C" w:rsidP="003F2191">
      <w:pPr>
        <w:rPr>
          <w:b/>
        </w:rPr>
      </w:pPr>
    </w:p>
    <w:p w14:paraId="338BEB1E" w14:textId="77777777" w:rsidR="00347716" w:rsidRDefault="00347716" w:rsidP="003F2191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</w:rPr>
        <w:t xml:space="preserve">Soulad s klíčovými oblastmi změny </w:t>
      </w:r>
      <w:r w:rsidR="00532FE3">
        <w:rPr>
          <w:b/>
        </w:rPr>
        <w:t>strategií</w:t>
      </w:r>
      <w:r w:rsidR="008D415B">
        <w:rPr>
          <w:b/>
        </w:rPr>
        <w:t xml:space="preserve"> (pro všechny výzvy)</w:t>
      </w:r>
    </w:p>
    <w:p w14:paraId="19C79E7D" w14:textId="77777777" w:rsidR="00347716" w:rsidRDefault="00347716" w:rsidP="003F2191">
      <w:pPr>
        <w:rPr>
          <w:i/>
        </w:rPr>
      </w:pPr>
      <w:r>
        <w:rPr>
          <w:i/>
        </w:rPr>
        <w:t xml:space="preserve">Zaškrtněte </w:t>
      </w:r>
      <w:r w:rsidR="00532FE3">
        <w:rPr>
          <w:i/>
        </w:rPr>
        <w:t>typ podporované aktivity odpovídající výzvě, do které projekt předkládáte</w:t>
      </w:r>
      <w:r w:rsidR="00C43B14">
        <w:rPr>
          <w:i/>
        </w:rPr>
        <w:t>, aby byla zřejmá vazba projektu na uvedené strategie</w:t>
      </w:r>
      <w:r w:rsidR="00532FE3">
        <w:rPr>
          <w:i/>
        </w:rPr>
        <w:t xml:space="preserve">. </w:t>
      </w:r>
    </w:p>
    <w:p w14:paraId="1A17EAEB" w14:textId="77777777" w:rsidR="00C43B14" w:rsidRDefault="00C43B14" w:rsidP="003F219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18"/>
        <w:gridCol w:w="1929"/>
        <w:gridCol w:w="3402"/>
        <w:gridCol w:w="3113"/>
      </w:tblGrid>
      <w:tr w:rsidR="00B648B9" w14:paraId="5BB2D7A5" w14:textId="77777777" w:rsidTr="00884ED6">
        <w:tc>
          <w:tcPr>
            <w:tcW w:w="2547" w:type="dxa"/>
            <w:gridSpan w:val="2"/>
            <w:vMerge w:val="restart"/>
          </w:tcPr>
          <w:p w14:paraId="229BF41E" w14:textId="77777777" w:rsidR="00B648B9" w:rsidRDefault="00B648B9" w:rsidP="00B648B9">
            <w:pPr>
              <w:jc w:val="left"/>
            </w:pPr>
          </w:p>
        </w:tc>
        <w:tc>
          <w:tcPr>
            <w:tcW w:w="6515" w:type="dxa"/>
            <w:gridSpan w:val="2"/>
          </w:tcPr>
          <w:p w14:paraId="53F0E5F5" w14:textId="77777777" w:rsidR="00B648B9" w:rsidRDefault="00B648B9" w:rsidP="00B648B9">
            <w:pPr>
              <w:spacing w:before="120"/>
              <w:jc w:val="center"/>
            </w:pPr>
            <w:r w:rsidRPr="00C43B14">
              <w:rPr>
                <w:b/>
              </w:rPr>
              <w:t>Národní RIS 3 strategie</w:t>
            </w:r>
            <w:r w:rsidR="00C43B14">
              <w:rPr>
                <w:rStyle w:val="Znakapoznpodarou"/>
              </w:rPr>
              <w:footnoteReference w:id="1"/>
            </w:r>
          </w:p>
        </w:tc>
      </w:tr>
      <w:tr w:rsidR="00B648B9" w14:paraId="5917486B" w14:textId="77777777" w:rsidTr="00B648B9">
        <w:tc>
          <w:tcPr>
            <w:tcW w:w="2547" w:type="dxa"/>
            <w:gridSpan w:val="2"/>
            <w:vMerge/>
          </w:tcPr>
          <w:p w14:paraId="7707C781" w14:textId="77777777" w:rsidR="00B648B9" w:rsidRDefault="00B648B9" w:rsidP="00B648B9">
            <w:pPr>
              <w:jc w:val="left"/>
            </w:pPr>
          </w:p>
        </w:tc>
        <w:tc>
          <w:tcPr>
            <w:tcW w:w="3402" w:type="dxa"/>
          </w:tcPr>
          <w:p w14:paraId="007D95A8" w14:textId="77777777" w:rsidR="00B648B9" w:rsidRDefault="00B648B9" w:rsidP="00B648B9">
            <w:pPr>
              <w:jc w:val="left"/>
            </w:pPr>
            <w:r>
              <w:t>Klíčová oblast změn A: Vyšší inovační výkonnost firem</w:t>
            </w:r>
          </w:p>
        </w:tc>
        <w:tc>
          <w:tcPr>
            <w:tcW w:w="3113" w:type="dxa"/>
          </w:tcPr>
          <w:p w14:paraId="6CE2EFD2" w14:textId="77777777" w:rsidR="00B648B9" w:rsidRDefault="00B648B9" w:rsidP="00B648B9">
            <w:pPr>
              <w:jc w:val="left"/>
            </w:pPr>
            <w:r>
              <w:t>Klíčová oblast změn C: Zvýšení ekonomických přínosů veřejného výzkumu</w:t>
            </w:r>
          </w:p>
        </w:tc>
      </w:tr>
      <w:tr w:rsidR="00B648B9" w14:paraId="585FD56C" w14:textId="77777777" w:rsidTr="00B648B9">
        <w:trPr>
          <w:cantSplit/>
          <w:trHeight w:val="1134"/>
        </w:trPr>
        <w:tc>
          <w:tcPr>
            <w:tcW w:w="618" w:type="dxa"/>
            <w:vMerge w:val="restart"/>
            <w:textDirection w:val="btLr"/>
          </w:tcPr>
          <w:p w14:paraId="6D422349" w14:textId="77777777" w:rsidR="00B648B9" w:rsidRDefault="00B648B9" w:rsidP="00B648B9">
            <w:pPr>
              <w:ind w:left="113" w:right="113"/>
              <w:jc w:val="center"/>
            </w:pPr>
            <w:r w:rsidRPr="00C43B14">
              <w:rPr>
                <w:b/>
              </w:rPr>
              <w:t>Regionální inovační strategie hl. m. Prahy</w:t>
            </w:r>
            <w:r w:rsidR="00C43B14">
              <w:rPr>
                <w:rStyle w:val="Znakapoznpodarou"/>
              </w:rPr>
              <w:footnoteReference w:id="2"/>
            </w:r>
          </w:p>
        </w:tc>
        <w:tc>
          <w:tcPr>
            <w:tcW w:w="1929" w:type="dxa"/>
          </w:tcPr>
          <w:p w14:paraId="1D508F5F" w14:textId="77777777" w:rsidR="00B648B9" w:rsidRDefault="00B648B9" w:rsidP="00B648B9">
            <w:pPr>
              <w:jc w:val="left"/>
            </w:pPr>
            <w:r>
              <w:t>Klíčová oblast změn A: Prostředí stimulující inovace a fungující partner</w:t>
            </w:r>
          </w:p>
        </w:tc>
        <w:tc>
          <w:tcPr>
            <w:tcW w:w="3402" w:type="dxa"/>
          </w:tcPr>
          <w:p w14:paraId="3699000F" w14:textId="77777777" w:rsidR="00B648B9" w:rsidRPr="00B648B9" w:rsidRDefault="00470718" w:rsidP="00B648B9">
            <w:pPr>
              <w:ind w:left="349" w:hanging="349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31087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648B9" w:rsidRPr="00B648B9">
              <w:rPr>
                <w:sz w:val="22"/>
              </w:rPr>
              <w:t xml:space="preserve"> </w:t>
            </w:r>
            <w:r w:rsidR="00C43B14">
              <w:rPr>
                <w:sz w:val="22"/>
              </w:rPr>
              <w:t xml:space="preserve"> </w:t>
            </w:r>
            <w:r w:rsidR="00B648B9" w:rsidRPr="00B648B9">
              <w:rPr>
                <w:sz w:val="22"/>
              </w:rPr>
              <w:t>Podpora aktivit vedoucích ke komercializaci výsledků výzkumu pomocí ověření proveditelnosti a komerčního potenciálu a jejich zavedení do praxe („</w:t>
            </w:r>
            <w:proofErr w:type="spellStart"/>
            <w:proofErr w:type="gramStart"/>
            <w:r w:rsidR="00B648B9" w:rsidRPr="00B648B9">
              <w:rPr>
                <w:sz w:val="22"/>
              </w:rPr>
              <w:t>proof-of-concept</w:t>
            </w:r>
            <w:proofErr w:type="spellEnd"/>
            <w:r w:rsidR="00B648B9" w:rsidRPr="00B648B9">
              <w:rPr>
                <w:sz w:val="22"/>
              </w:rPr>
              <w:t>“)</w:t>
            </w:r>
            <w:r w:rsidR="00055EF6">
              <w:rPr>
                <w:sz w:val="22"/>
              </w:rPr>
              <w:t xml:space="preserve"> (</w:t>
            </w:r>
            <w:r w:rsidR="005B5A85">
              <w:rPr>
                <w:sz w:val="22"/>
              </w:rPr>
              <w:t>SC</w:t>
            </w:r>
            <w:proofErr w:type="gramEnd"/>
            <w:r w:rsidR="005B5A85">
              <w:rPr>
                <w:sz w:val="22"/>
              </w:rPr>
              <w:t xml:space="preserve"> 1.1, </w:t>
            </w:r>
            <w:r w:rsidR="00055EF6">
              <w:rPr>
                <w:sz w:val="22"/>
              </w:rPr>
              <w:t>aktivita 1.1.1 OP PPR)</w:t>
            </w:r>
          </w:p>
          <w:p w14:paraId="26A42368" w14:textId="77777777" w:rsidR="00B648B9" w:rsidRPr="00B648B9" w:rsidRDefault="00470718" w:rsidP="00055EF6">
            <w:pPr>
              <w:ind w:left="349" w:hanging="349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705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B9" w:rsidRPr="00B648B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648B9" w:rsidRPr="00B648B9">
              <w:rPr>
                <w:sz w:val="22"/>
              </w:rPr>
              <w:t xml:space="preserve"> </w:t>
            </w:r>
            <w:r w:rsidR="00B648B9" w:rsidRPr="00B648B9">
              <w:rPr>
                <w:sz w:val="22"/>
              </w:rPr>
              <w:tab/>
              <w:t xml:space="preserve">Projekty zadávání veřejných zakázek v </w:t>
            </w:r>
            <w:proofErr w:type="spellStart"/>
            <w:r w:rsidR="00B648B9" w:rsidRPr="00B648B9">
              <w:rPr>
                <w:sz w:val="22"/>
              </w:rPr>
              <w:t>předobchodní</w:t>
            </w:r>
            <w:proofErr w:type="spellEnd"/>
            <w:r w:rsidR="00B648B9" w:rsidRPr="00B648B9">
              <w:rPr>
                <w:sz w:val="22"/>
              </w:rPr>
              <w:t xml:space="preserve"> fázi (PCP) a inovační poptávky veřejného sektoru (</w:t>
            </w:r>
            <w:proofErr w:type="gramStart"/>
            <w:r w:rsidR="00B648B9" w:rsidRPr="00B648B9">
              <w:rPr>
                <w:sz w:val="22"/>
              </w:rPr>
              <w:t>PPI)</w:t>
            </w:r>
            <w:r w:rsidR="00055EF6">
              <w:rPr>
                <w:sz w:val="22"/>
              </w:rPr>
              <w:t xml:space="preserve"> (</w:t>
            </w:r>
            <w:r w:rsidR="005B5A85">
              <w:rPr>
                <w:sz w:val="22"/>
              </w:rPr>
              <w:t>SC</w:t>
            </w:r>
            <w:proofErr w:type="gramEnd"/>
            <w:r w:rsidR="005B5A85">
              <w:rPr>
                <w:sz w:val="22"/>
              </w:rPr>
              <w:t xml:space="preserve"> 1.1, </w:t>
            </w:r>
            <w:r w:rsidR="00055EF6">
              <w:rPr>
                <w:sz w:val="22"/>
              </w:rPr>
              <w:t>aktivita 1.1.2 OP PPR)</w:t>
            </w:r>
          </w:p>
        </w:tc>
        <w:tc>
          <w:tcPr>
            <w:tcW w:w="3113" w:type="dxa"/>
          </w:tcPr>
          <w:p w14:paraId="01EF0C1A" w14:textId="77777777" w:rsidR="00B648B9" w:rsidRPr="00B648B9" w:rsidRDefault="00470718" w:rsidP="00B648B9">
            <w:pPr>
              <w:ind w:left="349" w:hanging="349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31171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B9" w:rsidRPr="00B648B9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B648B9" w:rsidRPr="00B648B9">
              <w:rPr>
                <w:sz w:val="22"/>
              </w:rPr>
              <w:t xml:space="preserve"> </w:t>
            </w:r>
            <w:r w:rsidR="00B648B9" w:rsidRPr="00B648B9">
              <w:rPr>
                <w:sz w:val="22"/>
              </w:rPr>
              <w:tab/>
              <w:t>Projekty spolupráce výzkumného sektoru s</w:t>
            </w:r>
            <w:r w:rsidR="00C43B14">
              <w:rPr>
                <w:sz w:val="22"/>
              </w:rPr>
              <w:t> </w:t>
            </w:r>
            <w:r w:rsidR="00B648B9" w:rsidRPr="00B648B9">
              <w:rPr>
                <w:sz w:val="22"/>
              </w:rPr>
              <w:t>aplikační sférou</w:t>
            </w:r>
            <w:r w:rsidR="00055EF6">
              <w:rPr>
                <w:sz w:val="22"/>
              </w:rPr>
              <w:t xml:space="preserve"> (</w:t>
            </w:r>
            <w:r w:rsidR="005B5A85">
              <w:rPr>
                <w:sz w:val="22"/>
              </w:rPr>
              <w:t xml:space="preserve">SC 1.1, </w:t>
            </w:r>
            <w:r w:rsidR="00055EF6">
              <w:rPr>
                <w:sz w:val="22"/>
              </w:rPr>
              <w:t>aktivita 1.1.3 OP PPR)</w:t>
            </w:r>
          </w:p>
          <w:p w14:paraId="4AAFE137" w14:textId="77777777" w:rsidR="00B648B9" w:rsidRPr="00B648B9" w:rsidRDefault="00B648B9" w:rsidP="00B648B9">
            <w:pPr>
              <w:jc w:val="left"/>
              <w:rPr>
                <w:sz w:val="22"/>
              </w:rPr>
            </w:pPr>
          </w:p>
        </w:tc>
      </w:tr>
      <w:tr w:rsidR="00B648B9" w14:paraId="3E7BAE44" w14:textId="77777777" w:rsidTr="00B648B9">
        <w:trPr>
          <w:cantSplit/>
          <w:trHeight w:val="1134"/>
        </w:trPr>
        <w:tc>
          <w:tcPr>
            <w:tcW w:w="618" w:type="dxa"/>
            <w:vMerge/>
            <w:textDirection w:val="btLr"/>
          </w:tcPr>
          <w:p w14:paraId="6F8B63ED" w14:textId="77777777" w:rsidR="00B648B9" w:rsidRDefault="00B648B9" w:rsidP="00B648B9">
            <w:pPr>
              <w:ind w:left="113" w:right="113"/>
            </w:pPr>
          </w:p>
        </w:tc>
        <w:tc>
          <w:tcPr>
            <w:tcW w:w="1929" w:type="dxa"/>
          </w:tcPr>
          <w:p w14:paraId="5185772E" w14:textId="77777777" w:rsidR="00B648B9" w:rsidRDefault="00B648B9" w:rsidP="00B648B9">
            <w:pPr>
              <w:jc w:val="left"/>
            </w:pPr>
            <w:r>
              <w:t>Klíčová oblast změn B: Snazší vznik a rozvoj znalostně intenzivních firem</w:t>
            </w:r>
          </w:p>
        </w:tc>
        <w:tc>
          <w:tcPr>
            <w:tcW w:w="3402" w:type="dxa"/>
          </w:tcPr>
          <w:p w14:paraId="0839F1C3" w14:textId="77777777" w:rsidR="00B648B9" w:rsidRPr="00B648B9" w:rsidRDefault="00470718" w:rsidP="00B648B9">
            <w:pPr>
              <w:ind w:left="349" w:hanging="349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15557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B9" w:rsidRPr="00B64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648B9" w:rsidRPr="00B648B9">
              <w:rPr>
                <w:sz w:val="22"/>
              </w:rPr>
              <w:tab/>
              <w:t>Zvyšování kvality a efektivity fungování vědeckotechnických parků, včetně inkubátorů</w:t>
            </w:r>
            <w:r w:rsidR="00055EF6">
              <w:rPr>
                <w:sz w:val="22"/>
              </w:rPr>
              <w:t xml:space="preserve"> (</w:t>
            </w:r>
            <w:r w:rsidR="005B5A85">
              <w:rPr>
                <w:sz w:val="22"/>
              </w:rPr>
              <w:t xml:space="preserve">SC 1.2, </w:t>
            </w:r>
            <w:r w:rsidR="00055EF6">
              <w:rPr>
                <w:sz w:val="22"/>
              </w:rPr>
              <w:t>aktivita 1.2.1 OP PPR)</w:t>
            </w:r>
          </w:p>
          <w:p w14:paraId="31FC7558" w14:textId="77777777" w:rsidR="00B648B9" w:rsidRPr="00B648B9" w:rsidRDefault="00470718" w:rsidP="00B648B9">
            <w:pPr>
              <w:ind w:left="349" w:hanging="349"/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157048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8B9" w:rsidRPr="00B64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B648B9" w:rsidRPr="00B648B9">
              <w:rPr>
                <w:sz w:val="22"/>
              </w:rPr>
              <w:tab/>
              <w:t>Vznik a rozvoj kapacit poskytujících progresivní služby pro podnikatele (</w:t>
            </w:r>
            <w:proofErr w:type="gramStart"/>
            <w:r w:rsidR="00B648B9" w:rsidRPr="00B648B9">
              <w:rPr>
                <w:sz w:val="22"/>
              </w:rPr>
              <w:t>MSP)</w:t>
            </w:r>
            <w:r w:rsidR="00055EF6">
              <w:rPr>
                <w:sz w:val="22"/>
              </w:rPr>
              <w:t xml:space="preserve"> (</w:t>
            </w:r>
            <w:r w:rsidR="005B5A85">
              <w:rPr>
                <w:sz w:val="22"/>
              </w:rPr>
              <w:t>SC</w:t>
            </w:r>
            <w:proofErr w:type="gramEnd"/>
            <w:r w:rsidR="005B5A85">
              <w:rPr>
                <w:sz w:val="22"/>
              </w:rPr>
              <w:t xml:space="preserve"> 1.2, </w:t>
            </w:r>
            <w:r w:rsidR="00055EF6">
              <w:rPr>
                <w:sz w:val="22"/>
              </w:rPr>
              <w:t>aktivita 1.2.2 OP PPR)</w:t>
            </w:r>
          </w:p>
        </w:tc>
        <w:tc>
          <w:tcPr>
            <w:tcW w:w="3113" w:type="dxa"/>
          </w:tcPr>
          <w:p w14:paraId="3D2E90F4" w14:textId="77777777" w:rsidR="00B648B9" w:rsidRPr="00B648B9" w:rsidRDefault="00B648B9" w:rsidP="00B648B9">
            <w:pPr>
              <w:jc w:val="left"/>
              <w:rPr>
                <w:sz w:val="22"/>
              </w:rPr>
            </w:pPr>
          </w:p>
        </w:tc>
      </w:tr>
    </w:tbl>
    <w:p w14:paraId="29D94770" w14:textId="77777777" w:rsidR="00347716" w:rsidRPr="00347716" w:rsidRDefault="00347716" w:rsidP="003F2191"/>
    <w:p w14:paraId="0F965A46" w14:textId="77777777" w:rsidR="00347716" w:rsidRDefault="00347716" w:rsidP="009400BA">
      <w:pPr>
        <w:pStyle w:val="Odstavecseseznamem"/>
        <w:keepNext/>
        <w:numPr>
          <w:ilvl w:val="0"/>
          <w:numId w:val="3"/>
        </w:numPr>
        <w:ind w:left="357" w:hanging="357"/>
        <w:rPr>
          <w:b/>
        </w:rPr>
      </w:pPr>
      <w:r>
        <w:rPr>
          <w:b/>
        </w:rPr>
        <w:lastRenderedPageBreak/>
        <w:t>Soulad s tematickým zaměřením</w:t>
      </w:r>
      <w:r w:rsidR="008D415B">
        <w:rPr>
          <w:b/>
        </w:rPr>
        <w:t xml:space="preserve"> (pro všechny výzvy)</w:t>
      </w:r>
    </w:p>
    <w:p w14:paraId="07DCF5D6" w14:textId="77777777" w:rsidR="009400BA" w:rsidRDefault="009400BA" w:rsidP="009400BA">
      <w:pPr>
        <w:pStyle w:val="Odstavecseseznamem"/>
        <w:keepNext/>
        <w:ind w:left="357"/>
        <w:rPr>
          <w:b/>
        </w:rPr>
      </w:pPr>
    </w:p>
    <w:p w14:paraId="7457531F" w14:textId="77777777" w:rsidR="00347716" w:rsidRPr="009400BA" w:rsidRDefault="00347716" w:rsidP="009400BA">
      <w:pPr>
        <w:pStyle w:val="Odstavecseseznamem"/>
        <w:keepNext/>
        <w:numPr>
          <w:ilvl w:val="0"/>
          <w:numId w:val="6"/>
        </w:numPr>
        <w:rPr>
          <w:u w:val="single"/>
        </w:rPr>
      </w:pPr>
      <w:r w:rsidRPr="009400BA">
        <w:rPr>
          <w:u w:val="single"/>
        </w:rPr>
        <w:t>Generické znalostní domény Národní RIS3 strategie:</w:t>
      </w:r>
    </w:p>
    <w:p w14:paraId="551CD514" w14:textId="77777777" w:rsidR="00347716" w:rsidRDefault="00470718" w:rsidP="003F2191">
      <w:pPr>
        <w:ind w:left="360"/>
      </w:pPr>
      <w:sdt>
        <w:sdtPr>
          <w:rPr>
            <w:rFonts w:ascii="MS Gothic" w:eastAsia="MS Gothic" w:hAnsi="MS Gothic"/>
          </w:rPr>
          <w:id w:val="-133977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7716" w:rsidRPr="00347716">
            <w:rPr>
              <w:rFonts w:ascii="MS Gothic" w:eastAsia="MS Gothic" w:hAnsi="MS Gothic" w:hint="eastAsia"/>
            </w:rPr>
            <w:t>☐</w:t>
          </w:r>
        </w:sdtContent>
      </w:sdt>
      <w:r w:rsidR="00347716">
        <w:t xml:space="preserve"> </w:t>
      </w:r>
      <w:r w:rsidR="003F2191">
        <w:tab/>
      </w:r>
      <w:r w:rsidR="00BD01EF">
        <w:t>pokročilé materiály</w:t>
      </w:r>
    </w:p>
    <w:p w14:paraId="4E27542E" w14:textId="77777777" w:rsidR="0021668C" w:rsidRDefault="00470718" w:rsidP="003F2191">
      <w:pPr>
        <w:ind w:left="360"/>
      </w:pPr>
      <w:sdt>
        <w:sdtPr>
          <w:rPr>
            <w:rFonts w:ascii="MS Gothic" w:eastAsia="MS Gothic" w:hAnsi="MS Gothic"/>
          </w:rPr>
          <w:id w:val="199197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8C" w:rsidRPr="00347716">
            <w:rPr>
              <w:rFonts w:ascii="MS Gothic" w:eastAsia="MS Gothic" w:hAnsi="MS Gothic" w:hint="eastAsia"/>
            </w:rPr>
            <w:t>☐</w:t>
          </w:r>
        </w:sdtContent>
      </w:sdt>
      <w:r w:rsidR="0021668C">
        <w:t xml:space="preserve"> </w:t>
      </w:r>
      <w:r w:rsidR="003F2191">
        <w:tab/>
      </w:r>
      <w:r w:rsidR="0021668C">
        <w:t>nanotechnologie</w:t>
      </w:r>
    </w:p>
    <w:p w14:paraId="55D54279" w14:textId="77777777" w:rsidR="0021668C" w:rsidRDefault="00470718" w:rsidP="003F2191">
      <w:pPr>
        <w:ind w:left="360"/>
      </w:pPr>
      <w:sdt>
        <w:sdtPr>
          <w:rPr>
            <w:rFonts w:ascii="MS Gothic" w:eastAsia="MS Gothic" w:hAnsi="MS Gothic"/>
          </w:rPr>
          <w:id w:val="40171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8C" w:rsidRPr="00347716">
            <w:rPr>
              <w:rFonts w:ascii="MS Gothic" w:eastAsia="MS Gothic" w:hAnsi="MS Gothic" w:hint="eastAsia"/>
            </w:rPr>
            <w:t>☐</w:t>
          </w:r>
        </w:sdtContent>
      </w:sdt>
      <w:r w:rsidR="0021668C">
        <w:t xml:space="preserve"> </w:t>
      </w:r>
      <w:r w:rsidR="003F2191">
        <w:tab/>
      </w:r>
      <w:r w:rsidR="0021668C">
        <w:t>mikro</w:t>
      </w:r>
      <w:r w:rsidR="00C43B14">
        <w:t>elektronika</w:t>
      </w:r>
      <w:r w:rsidR="0021668C">
        <w:t xml:space="preserve"> a </w:t>
      </w:r>
      <w:proofErr w:type="spellStart"/>
      <w:r w:rsidR="0021668C">
        <w:t>nanoelektronika</w:t>
      </w:r>
      <w:proofErr w:type="spellEnd"/>
    </w:p>
    <w:p w14:paraId="71640D05" w14:textId="77777777" w:rsidR="0021668C" w:rsidRDefault="00470718" w:rsidP="003F2191">
      <w:pPr>
        <w:ind w:left="360"/>
      </w:pPr>
      <w:sdt>
        <w:sdtPr>
          <w:rPr>
            <w:rFonts w:ascii="MS Gothic" w:eastAsia="MS Gothic" w:hAnsi="MS Gothic"/>
          </w:rPr>
          <w:id w:val="721329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8C" w:rsidRPr="00347716">
            <w:rPr>
              <w:rFonts w:ascii="MS Gothic" w:eastAsia="MS Gothic" w:hAnsi="MS Gothic" w:hint="eastAsia"/>
            </w:rPr>
            <w:t>☐</w:t>
          </w:r>
        </w:sdtContent>
      </w:sdt>
      <w:r w:rsidR="0021668C">
        <w:t xml:space="preserve"> </w:t>
      </w:r>
      <w:r w:rsidR="003F2191">
        <w:tab/>
      </w:r>
      <w:r w:rsidR="0021668C">
        <w:t>pokročilé výrobní technologie</w:t>
      </w:r>
    </w:p>
    <w:p w14:paraId="26547CB1" w14:textId="77777777" w:rsidR="0021668C" w:rsidRDefault="00470718" w:rsidP="003F2191">
      <w:pPr>
        <w:ind w:left="360"/>
      </w:pPr>
      <w:sdt>
        <w:sdtPr>
          <w:rPr>
            <w:rFonts w:ascii="MS Gothic" w:eastAsia="MS Gothic" w:hAnsi="MS Gothic"/>
          </w:rPr>
          <w:id w:val="-1658067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8C" w:rsidRPr="00347716">
            <w:rPr>
              <w:rFonts w:ascii="MS Gothic" w:eastAsia="MS Gothic" w:hAnsi="MS Gothic" w:hint="eastAsia"/>
            </w:rPr>
            <w:t>☐</w:t>
          </w:r>
        </w:sdtContent>
      </w:sdt>
      <w:r w:rsidR="0021668C">
        <w:t xml:space="preserve"> </w:t>
      </w:r>
      <w:r w:rsidR="003F2191">
        <w:tab/>
      </w:r>
      <w:proofErr w:type="spellStart"/>
      <w:r w:rsidR="0021668C">
        <w:t>fotonika</w:t>
      </w:r>
      <w:proofErr w:type="spellEnd"/>
    </w:p>
    <w:p w14:paraId="12406028" w14:textId="77777777" w:rsidR="0021668C" w:rsidRDefault="00470718" w:rsidP="003F2191">
      <w:pPr>
        <w:ind w:left="360"/>
      </w:pPr>
      <w:sdt>
        <w:sdtPr>
          <w:rPr>
            <w:rFonts w:ascii="MS Gothic" w:eastAsia="MS Gothic" w:hAnsi="MS Gothic"/>
          </w:rPr>
          <w:id w:val="-77656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8C" w:rsidRPr="00347716">
            <w:rPr>
              <w:rFonts w:ascii="MS Gothic" w:eastAsia="MS Gothic" w:hAnsi="MS Gothic" w:hint="eastAsia"/>
            </w:rPr>
            <w:t>☐</w:t>
          </w:r>
        </w:sdtContent>
      </w:sdt>
      <w:r w:rsidR="0021668C">
        <w:t xml:space="preserve"> </w:t>
      </w:r>
      <w:r w:rsidR="003F2191">
        <w:tab/>
      </w:r>
      <w:r w:rsidR="0021668C">
        <w:t>průmyslové biotechnologie</w:t>
      </w:r>
    </w:p>
    <w:p w14:paraId="4AB58771" w14:textId="77777777" w:rsidR="0021668C" w:rsidRDefault="00470718" w:rsidP="003F2191">
      <w:pPr>
        <w:ind w:left="360"/>
      </w:pPr>
      <w:sdt>
        <w:sdtPr>
          <w:rPr>
            <w:rFonts w:ascii="MS Gothic" w:eastAsia="MS Gothic" w:hAnsi="MS Gothic"/>
          </w:rPr>
          <w:id w:val="81537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8C" w:rsidRPr="00347716">
            <w:rPr>
              <w:rFonts w:ascii="MS Gothic" w:eastAsia="MS Gothic" w:hAnsi="MS Gothic" w:hint="eastAsia"/>
            </w:rPr>
            <w:t>☐</w:t>
          </w:r>
        </w:sdtContent>
      </w:sdt>
      <w:r w:rsidR="0021668C">
        <w:t xml:space="preserve"> </w:t>
      </w:r>
      <w:r w:rsidR="003F2191">
        <w:tab/>
      </w:r>
      <w:r w:rsidR="0021668C">
        <w:t>znalosti pro digitální ekonomiku</w:t>
      </w:r>
      <w:r w:rsidR="0026624E">
        <w:rPr>
          <w:rStyle w:val="Znakapoznpodarou"/>
        </w:rPr>
        <w:footnoteReference w:id="3"/>
      </w:r>
      <w:r w:rsidR="0021668C">
        <w:t>, kulturní a kreativní průmysl</w:t>
      </w:r>
      <w:r w:rsidR="0026624E">
        <w:rPr>
          <w:rStyle w:val="Znakapoznpodarou"/>
        </w:rPr>
        <w:footnoteReference w:id="4"/>
      </w:r>
    </w:p>
    <w:p w14:paraId="3119DAA2" w14:textId="77777777" w:rsidR="0021668C" w:rsidRDefault="00470718" w:rsidP="003F2191">
      <w:pPr>
        <w:ind w:left="360"/>
      </w:pPr>
      <w:sdt>
        <w:sdtPr>
          <w:rPr>
            <w:rFonts w:ascii="MS Gothic" w:eastAsia="MS Gothic" w:hAnsi="MS Gothic"/>
          </w:rPr>
          <w:id w:val="37188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8C" w:rsidRPr="00347716">
            <w:rPr>
              <w:rFonts w:ascii="MS Gothic" w:eastAsia="MS Gothic" w:hAnsi="MS Gothic" w:hint="eastAsia"/>
            </w:rPr>
            <w:t>☐</w:t>
          </w:r>
        </w:sdtContent>
      </w:sdt>
      <w:r w:rsidR="0021668C">
        <w:t xml:space="preserve"> </w:t>
      </w:r>
      <w:r w:rsidR="003F2191">
        <w:tab/>
      </w:r>
      <w:r w:rsidR="0021668C">
        <w:t>společenskovědní znalosti pro netechnické inovace</w:t>
      </w:r>
    </w:p>
    <w:p w14:paraId="464F5DA6" w14:textId="42CFC698" w:rsidR="0019216C" w:rsidRDefault="00470718" w:rsidP="0019216C">
      <w:pPr>
        <w:ind w:left="360"/>
      </w:pPr>
      <w:sdt>
        <w:sdtPr>
          <w:rPr>
            <w:rFonts w:ascii="MS Gothic" w:eastAsia="MS Gothic" w:hAnsi="MS Gothic"/>
          </w:rPr>
          <w:id w:val="-153772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16C">
            <w:rPr>
              <w:rFonts w:ascii="MS Gothic" w:eastAsia="MS Gothic" w:hAnsi="MS Gothic" w:hint="eastAsia"/>
            </w:rPr>
            <w:t>☐</w:t>
          </w:r>
        </w:sdtContent>
      </w:sdt>
      <w:r w:rsidR="0019216C">
        <w:t xml:space="preserve"> </w:t>
      </w:r>
      <w:r w:rsidR="0019216C">
        <w:tab/>
        <w:t>žádná z uvedených možností</w:t>
      </w:r>
      <w:r w:rsidR="007C67B1">
        <w:t>, protože projekt spadá do části 2b) nebo 3a)</w:t>
      </w:r>
    </w:p>
    <w:p w14:paraId="47E557DC" w14:textId="77777777" w:rsidR="009D085C" w:rsidRDefault="009D085C" w:rsidP="003F2191">
      <w:pPr>
        <w:ind w:left="360"/>
      </w:pPr>
    </w:p>
    <w:p w14:paraId="4468790D" w14:textId="77777777" w:rsidR="00347716" w:rsidRPr="009400BA" w:rsidRDefault="00347716" w:rsidP="007516F5">
      <w:pPr>
        <w:pStyle w:val="Odstavecseseznamem"/>
        <w:numPr>
          <w:ilvl w:val="0"/>
          <w:numId w:val="6"/>
        </w:numPr>
        <w:ind w:left="357"/>
        <w:contextualSpacing w:val="0"/>
        <w:rPr>
          <w:u w:val="single"/>
        </w:rPr>
      </w:pPr>
      <w:r w:rsidRPr="009400BA">
        <w:rPr>
          <w:u w:val="single"/>
        </w:rPr>
        <w:t>Klíčová odvětví aplikací a aplikační témata Národní RIS3 strategie:</w:t>
      </w:r>
    </w:p>
    <w:p w14:paraId="305B4AA4" w14:textId="591C9FB5" w:rsidR="007516F5" w:rsidRDefault="00470718" w:rsidP="007516F5">
      <w:pPr>
        <w:pStyle w:val="Odstavecseseznamem"/>
        <w:ind w:left="357"/>
        <w:contextualSpacing w:val="0"/>
      </w:pPr>
      <w:sdt>
        <w:sdtPr>
          <w:rPr>
            <w:rFonts w:ascii="MS Gothic" w:eastAsia="MS Gothic" w:hAnsi="MS Gothic"/>
          </w:rPr>
          <w:id w:val="-2143020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16C">
            <w:rPr>
              <w:rFonts w:ascii="MS Gothic" w:eastAsia="MS Gothic" w:hAnsi="MS Gothic" w:hint="eastAsia"/>
            </w:rPr>
            <w:t>☐</w:t>
          </w:r>
        </w:sdtContent>
      </w:sdt>
      <w:r w:rsidR="0019216C">
        <w:t xml:space="preserve"> Projekt se týká položek </w:t>
      </w:r>
      <w:r w:rsidR="007516F5">
        <w:t>z kapitoly 9.2 Národní RIS3 strategie (str. 231-287)</w:t>
      </w:r>
      <w:r w:rsidR="007516F5" w:rsidRPr="007516F5">
        <w:rPr>
          <w:vertAlign w:val="superscript"/>
        </w:rPr>
        <w:t>1</w:t>
      </w:r>
      <w:r w:rsidR="007516F5">
        <w:t>,</w:t>
      </w:r>
      <w:r w:rsidR="0019216C">
        <w:t xml:space="preserve"> uveďte, kterých</w:t>
      </w:r>
      <w:r w:rsidR="007516F5">
        <w:t>: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516F5" w14:paraId="5C38D1CA" w14:textId="77777777" w:rsidTr="007516F5">
        <w:tc>
          <w:tcPr>
            <w:tcW w:w="9212" w:type="dxa"/>
          </w:tcPr>
          <w:p w14:paraId="0AD51E82" w14:textId="77777777" w:rsidR="007516F5" w:rsidRDefault="007516F5" w:rsidP="007516F5">
            <w:pPr>
              <w:pStyle w:val="Odstavecseseznamem"/>
              <w:ind w:left="0"/>
            </w:pPr>
          </w:p>
          <w:p w14:paraId="77C527F2" w14:textId="7289968E" w:rsidR="007516F5" w:rsidRDefault="007516F5" w:rsidP="007516F5">
            <w:pPr>
              <w:pStyle w:val="Odstavecseseznamem"/>
              <w:ind w:left="0"/>
            </w:pPr>
          </w:p>
          <w:p w14:paraId="2361C065" w14:textId="77777777" w:rsidR="0019216C" w:rsidRDefault="0019216C" w:rsidP="007516F5">
            <w:pPr>
              <w:pStyle w:val="Odstavecseseznamem"/>
              <w:ind w:left="0"/>
            </w:pPr>
          </w:p>
          <w:p w14:paraId="06894C17" w14:textId="77777777" w:rsidR="007516F5" w:rsidRDefault="007516F5" w:rsidP="007516F5">
            <w:pPr>
              <w:pStyle w:val="Odstavecseseznamem"/>
              <w:ind w:left="0"/>
            </w:pPr>
          </w:p>
        </w:tc>
      </w:tr>
    </w:tbl>
    <w:p w14:paraId="7588DCE0" w14:textId="77777777" w:rsidR="007516F5" w:rsidRDefault="007516F5" w:rsidP="007516F5">
      <w:pPr>
        <w:pStyle w:val="Odstavecseseznamem"/>
        <w:ind w:left="360"/>
      </w:pPr>
    </w:p>
    <w:p w14:paraId="4E7696DA" w14:textId="05D15BBC" w:rsidR="00347716" w:rsidRDefault="00470718" w:rsidP="009400BA">
      <w:pPr>
        <w:pStyle w:val="Odstavecseseznamem"/>
        <w:ind w:left="357"/>
        <w:contextualSpacing w:val="0"/>
      </w:pPr>
      <w:sdt>
        <w:sdtPr>
          <w:id w:val="1579253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216C" w:rsidRPr="009400BA">
            <w:rPr>
              <w:rFonts w:ascii="Segoe UI Symbol" w:hAnsi="Segoe UI Symbol" w:cs="Segoe UI Symbol"/>
            </w:rPr>
            <w:t>☐</w:t>
          </w:r>
        </w:sdtContent>
      </w:sdt>
      <w:r w:rsidR="0019216C" w:rsidRPr="0019216C">
        <w:t xml:space="preserve"> </w:t>
      </w:r>
      <w:r w:rsidR="0019216C">
        <w:t xml:space="preserve"> Nevyplněno, protože projekt spadá do </w:t>
      </w:r>
      <w:r w:rsidR="007C67B1">
        <w:t xml:space="preserve">části 2a) nebo do </w:t>
      </w:r>
      <w:r w:rsidR="0019216C">
        <w:t xml:space="preserve">některé z regionálních domén specializace, jak je vyplněno v části 3.  </w:t>
      </w:r>
    </w:p>
    <w:p w14:paraId="3EFA4E9D" w14:textId="77777777" w:rsidR="008D415B" w:rsidRDefault="008D415B" w:rsidP="003F2191">
      <w:pPr>
        <w:ind w:left="709" w:hanging="1"/>
      </w:pPr>
    </w:p>
    <w:p w14:paraId="03C6A919" w14:textId="1C52D582" w:rsidR="0085238C" w:rsidRDefault="008D415B" w:rsidP="008D415B">
      <w:pPr>
        <w:pStyle w:val="Odstavecseseznamem"/>
        <w:keepNext/>
        <w:numPr>
          <w:ilvl w:val="0"/>
          <w:numId w:val="3"/>
        </w:numPr>
        <w:ind w:left="357" w:hanging="357"/>
        <w:rPr>
          <w:b/>
        </w:rPr>
      </w:pPr>
      <w:r w:rsidRPr="008D415B">
        <w:rPr>
          <w:b/>
        </w:rPr>
        <w:t>Soulad s</w:t>
      </w:r>
      <w:r w:rsidR="0085238C">
        <w:rPr>
          <w:b/>
        </w:rPr>
        <w:t> prioritami hl. m. Prahy</w:t>
      </w:r>
    </w:p>
    <w:p w14:paraId="557DF0BA" w14:textId="263CB076" w:rsidR="0085238C" w:rsidRPr="0085238C" w:rsidRDefault="0085238C" w:rsidP="0085238C">
      <w:pPr>
        <w:rPr>
          <w:i/>
        </w:rPr>
      </w:pPr>
      <w:r>
        <w:rPr>
          <w:i/>
        </w:rPr>
        <w:t xml:space="preserve">V závislosti na tom, pod kterou podporovanou aktivitu výzva spadá, vyplňuje žadatel pouze část a) </w:t>
      </w:r>
      <w:r w:rsidRPr="0085238C">
        <w:rPr>
          <w:b/>
          <w:i/>
        </w:rPr>
        <w:t>nebo</w:t>
      </w:r>
      <w:r>
        <w:rPr>
          <w:i/>
        </w:rPr>
        <w:t xml:space="preserve"> část </w:t>
      </w:r>
      <w:r w:rsidR="0019216C">
        <w:rPr>
          <w:i/>
        </w:rPr>
        <w:t xml:space="preserve">a) i </w:t>
      </w:r>
      <w:r>
        <w:rPr>
          <w:i/>
        </w:rPr>
        <w:t>b).</w:t>
      </w:r>
    </w:p>
    <w:p w14:paraId="781EB170" w14:textId="04DABFE7" w:rsidR="0019216C" w:rsidRDefault="0019216C" w:rsidP="008D415B">
      <w:pPr>
        <w:spacing w:before="120"/>
        <w:ind w:firstLine="360"/>
      </w:pPr>
    </w:p>
    <w:p w14:paraId="4BAF7C83" w14:textId="1BF9D250" w:rsidR="0085238C" w:rsidRPr="009400BA" w:rsidRDefault="0085238C" w:rsidP="0085238C">
      <w:pPr>
        <w:pStyle w:val="Odstavecseseznamem"/>
        <w:numPr>
          <w:ilvl w:val="0"/>
          <w:numId w:val="7"/>
        </w:numPr>
        <w:rPr>
          <w:u w:val="single"/>
        </w:rPr>
      </w:pPr>
      <w:r w:rsidRPr="009400BA">
        <w:rPr>
          <w:u w:val="single"/>
        </w:rPr>
        <w:t xml:space="preserve">Klastry aktivit (domény specializace) Regionální inovační strategie hl. m. Prahy (týká se </w:t>
      </w:r>
      <w:r w:rsidR="0019216C" w:rsidRPr="009400BA">
        <w:rPr>
          <w:u w:val="single"/>
        </w:rPr>
        <w:t xml:space="preserve">všech </w:t>
      </w:r>
      <w:r w:rsidR="00A878A1" w:rsidRPr="009400BA">
        <w:rPr>
          <w:u w:val="single"/>
        </w:rPr>
        <w:t>výzev</w:t>
      </w:r>
      <w:r w:rsidRPr="009400BA">
        <w:rPr>
          <w:u w:val="single"/>
        </w:rPr>
        <w:t>):</w:t>
      </w:r>
    </w:p>
    <w:p w14:paraId="2648828F" w14:textId="61B8EB7B" w:rsidR="0085238C" w:rsidRDefault="00470718" w:rsidP="0085238C">
      <w:pPr>
        <w:ind w:left="709" w:hanging="349"/>
      </w:pPr>
      <w:sdt>
        <w:sdtPr>
          <w:id w:val="183156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8C">
            <w:rPr>
              <w:rFonts w:ascii="MS Gothic" w:eastAsia="MS Gothic" w:hAnsi="MS Gothic" w:hint="eastAsia"/>
            </w:rPr>
            <w:t>☐</w:t>
          </w:r>
        </w:sdtContent>
      </w:sdt>
      <w:r w:rsidR="0085238C">
        <w:t xml:space="preserve"> </w:t>
      </w:r>
      <w:r w:rsidR="0085238C">
        <w:tab/>
        <w:t xml:space="preserve">Vybrané obory věd o živé přírodě </w:t>
      </w:r>
    </w:p>
    <w:p w14:paraId="46C5810A" w14:textId="77777777" w:rsidR="0085238C" w:rsidRDefault="0085238C" w:rsidP="0085238C">
      <w:pPr>
        <w:ind w:left="709" w:hanging="1"/>
      </w:pPr>
      <w:r w:rsidRPr="00293489">
        <w:rPr>
          <w:sz w:val="22"/>
        </w:rPr>
        <w:lastRenderedPageBreak/>
        <w:t>(průmyslové a environmentální biotechnologie, biomedicínské technologie, diagnostika chorob a virologie, biologicky aktivní materiály, biopolymery, biokompatibilní materiály, farmaceutický průmysl, chemické procesy a látky využívané v medicíně)</w:t>
      </w:r>
    </w:p>
    <w:p w14:paraId="21F4355A" w14:textId="77777777" w:rsidR="0085238C" w:rsidRDefault="00470718" w:rsidP="0085238C">
      <w:pPr>
        <w:ind w:left="709" w:hanging="349"/>
      </w:pPr>
      <w:sdt>
        <w:sdtPr>
          <w:id w:val="201557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8C" w:rsidRPr="00293489">
            <w:rPr>
              <w:rFonts w:ascii="Segoe UI Symbol" w:hAnsi="Segoe UI Symbol" w:cs="Segoe UI Symbol"/>
            </w:rPr>
            <w:t>☐</w:t>
          </w:r>
        </w:sdtContent>
      </w:sdt>
      <w:r w:rsidR="0085238C">
        <w:t xml:space="preserve"> </w:t>
      </w:r>
      <w:r w:rsidR="0085238C">
        <w:tab/>
        <w:t xml:space="preserve">Vybraná kreativní odvětví </w:t>
      </w:r>
    </w:p>
    <w:p w14:paraId="30AF7392" w14:textId="77777777" w:rsidR="0085238C" w:rsidRDefault="0085238C" w:rsidP="0085238C">
      <w:pPr>
        <w:ind w:left="709" w:hanging="1"/>
      </w:pPr>
      <w:r w:rsidRPr="00293489">
        <w:rPr>
          <w:sz w:val="22"/>
        </w:rPr>
        <w:t>(digitální média, mobilní aplikace a software, internetové služby, vizualizace a design)</w:t>
      </w:r>
    </w:p>
    <w:p w14:paraId="55F17284" w14:textId="77777777" w:rsidR="0085238C" w:rsidRDefault="00470718" w:rsidP="0085238C">
      <w:pPr>
        <w:ind w:left="709" w:hanging="349"/>
      </w:pPr>
      <w:sdt>
        <w:sdtPr>
          <w:id w:val="-122066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8C" w:rsidRPr="00293489">
            <w:rPr>
              <w:rFonts w:ascii="Segoe UI Symbol" w:hAnsi="Segoe UI Symbol" w:cs="Segoe UI Symbol"/>
            </w:rPr>
            <w:t>☐</w:t>
          </w:r>
        </w:sdtContent>
      </w:sdt>
      <w:r w:rsidR="0085238C">
        <w:t xml:space="preserve"> </w:t>
      </w:r>
      <w:r w:rsidR="0085238C">
        <w:tab/>
        <w:t xml:space="preserve">Vybrané nově vznikající technologie </w:t>
      </w:r>
    </w:p>
    <w:p w14:paraId="2AC320EC" w14:textId="77777777" w:rsidR="0085238C" w:rsidRDefault="0085238C" w:rsidP="0085238C">
      <w:pPr>
        <w:ind w:left="709" w:hanging="1"/>
      </w:pPr>
      <w:r w:rsidRPr="00293489">
        <w:rPr>
          <w:sz w:val="22"/>
        </w:rPr>
        <w:t>(letecké a kosmické technologie, robotika, energetika a nízkouhlíkové technologie, průmyslové a zdravotnické využívání laserů)</w:t>
      </w:r>
    </w:p>
    <w:p w14:paraId="1AD2D7F3" w14:textId="77777777" w:rsidR="0085238C" w:rsidRDefault="00470718" w:rsidP="0085238C">
      <w:pPr>
        <w:ind w:left="709" w:hanging="349"/>
      </w:pPr>
      <w:sdt>
        <w:sdtPr>
          <w:id w:val="134050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8C" w:rsidRPr="00293489">
            <w:rPr>
              <w:rFonts w:ascii="Segoe UI Symbol" w:hAnsi="Segoe UI Symbol" w:cs="Segoe UI Symbol"/>
            </w:rPr>
            <w:t>☐</w:t>
          </w:r>
        </w:sdtContent>
      </w:sdt>
      <w:r w:rsidR="0085238C">
        <w:t xml:space="preserve"> </w:t>
      </w:r>
      <w:r w:rsidR="0085238C">
        <w:tab/>
        <w:t xml:space="preserve">Služby pro podniky založené na znalostech </w:t>
      </w:r>
    </w:p>
    <w:p w14:paraId="25B3536E" w14:textId="77777777" w:rsidR="0085238C" w:rsidRDefault="0085238C" w:rsidP="0085238C">
      <w:pPr>
        <w:ind w:left="709" w:hanging="1"/>
        <w:rPr>
          <w:sz w:val="22"/>
        </w:rPr>
      </w:pPr>
      <w:r w:rsidRPr="00293489">
        <w:rPr>
          <w:sz w:val="22"/>
        </w:rPr>
        <w:t>(výzkumné poradenství a služby, informační služby, vysoce specializované IT služby, specializované podnikové poradenství, technologické služby, specializované odborné vzdělávání)</w:t>
      </w:r>
    </w:p>
    <w:p w14:paraId="3BA5ED3D" w14:textId="09053CDF" w:rsidR="0085238C" w:rsidRDefault="00470718" w:rsidP="0085238C">
      <w:pPr>
        <w:ind w:left="709" w:hanging="349"/>
      </w:pPr>
      <w:sdt>
        <w:sdtPr>
          <w:id w:val="168401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8C" w:rsidRPr="00293489">
            <w:rPr>
              <w:rFonts w:ascii="Segoe UI Symbol" w:hAnsi="Segoe UI Symbol" w:cs="Segoe UI Symbol"/>
            </w:rPr>
            <w:t>☐</w:t>
          </w:r>
        </w:sdtContent>
      </w:sdt>
      <w:r w:rsidR="0085238C">
        <w:t xml:space="preserve"> </w:t>
      </w:r>
      <w:r w:rsidR="0085238C">
        <w:tab/>
        <w:t xml:space="preserve">Projekt nespadá do žádné z předchozích kategorií, ale do některé z národních domén specializace, jak je vyplněno v části 2.  </w:t>
      </w:r>
    </w:p>
    <w:p w14:paraId="1DD0107A" w14:textId="77777777" w:rsidR="007C67B1" w:rsidRDefault="007C67B1" w:rsidP="0085238C">
      <w:pPr>
        <w:ind w:left="709" w:hanging="349"/>
      </w:pPr>
    </w:p>
    <w:p w14:paraId="6F061390" w14:textId="5A05FE0F" w:rsidR="007C67B1" w:rsidRPr="009400BA" w:rsidRDefault="007C67B1" w:rsidP="007C67B1">
      <w:pPr>
        <w:pStyle w:val="Odstavecseseznamem"/>
        <w:numPr>
          <w:ilvl w:val="0"/>
          <w:numId w:val="7"/>
        </w:numPr>
        <w:rPr>
          <w:u w:val="single"/>
        </w:rPr>
      </w:pPr>
      <w:r w:rsidRPr="009400BA">
        <w:rPr>
          <w:u w:val="single"/>
        </w:rPr>
        <w:t>Témata definovaná výzvou (týká se pouze aktivit 1.1.1 „</w:t>
      </w:r>
      <w:proofErr w:type="spellStart"/>
      <w:r w:rsidRPr="009400BA">
        <w:rPr>
          <w:u w:val="single"/>
        </w:rPr>
        <w:t>proof-of-concep</w:t>
      </w:r>
      <w:r w:rsidR="00A878A1" w:rsidRPr="009400BA">
        <w:rPr>
          <w:u w:val="single"/>
        </w:rPr>
        <w:t>t</w:t>
      </w:r>
      <w:proofErr w:type="spellEnd"/>
      <w:r w:rsidRPr="009400BA">
        <w:rPr>
          <w:u w:val="single"/>
        </w:rPr>
        <w:t>“ a 1.1.2 „PCP“ specifického cíle 1.1)</w:t>
      </w:r>
    </w:p>
    <w:p w14:paraId="57296243" w14:textId="77777777" w:rsidR="007C67B1" w:rsidRDefault="00470718" w:rsidP="007C67B1">
      <w:pPr>
        <w:spacing w:before="120"/>
        <w:ind w:left="705" w:hanging="345"/>
      </w:pPr>
      <w:sdt>
        <w:sdtPr>
          <w:rPr>
            <w:rFonts w:ascii="MS Gothic" w:eastAsia="MS Gothic" w:hAnsi="MS Gothic"/>
          </w:rPr>
          <w:id w:val="-28950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 w:rsidRPr="00293489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dopravní infrastruktura, řízení dopravy, dopravní prostředky ve veřejné dopravě, energetické a nákladové úspory ve veřejné dopravě,</w:t>
      </w:r>
    </w:p>
    <w:p w14:paraId="69AB945B" w14:textId="77777777" w:rsidR="007C67B1" w:rsidRDefault="00470718" w:rsidP="007C67B1">
      <w:pPr>
        <w:spacing w:before="120"/>
        <w:ind w:firstLine="360"/>
      </w:pPr>
      <w:sdt>
        <w:sdtPr>
          <w:id w:val="-30847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 xml:space="preserve"> </w:t>
      </w:r>
      <w:r w:rsidR="007C67B1">
        <w:tab/>
        <w:t>technická infrastruktura, veřejné osvětlení a energetická bezpečnost,</w:t>
      </w:r>
    </w:p>
    <w:p w14:paraId="76675619" w14:textId="77777777" w:rsidR="007C67B1" w:rsidRDefault="00470718" w:rsidP="007C67B1">
      <w:pPr>
        <w:spacing w:before="120"/>
        <w:ind w:firstLine="360"/>
      </w:pPr>
      <w:sdt>
        <w:sdtPr>
          <w:id w:val="136077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 xml:space="preserve">nakládání s vodou a její kvalita, </w:t>
      </w:r>
    </w:p>
    <w:p w14:paraId="755F04A0" w14:textId="77777777" w:rsidR="007C67B1" w:rsidRDefault="00470718" w:rsidP="007C67B1">
      <w:pPr>
        <w:spacing w:before="120"/>
        <w:ind w:left="705" w:hanging="345"/>
      </w:pPr>
      <w:sdt>
        <w:sdtPr>
          <w:id w:val="2084718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 xml:space="preserve">správa a rozvoj městských ekosystémů, protipovodňová a protihluková opatření, snižování znečištění ovzduší, nakládání s odpady, </w:t>
      </w:r>
    </w:p>
    <w:p w14:paraId="59415E97" w14:textId="77777777" w:rsidR="007C67B1" w:rsidRDefault="00470718" w:rsidP="007C67B1">
      <w:pPr>
        <w:spacing w:before="120"/>
        <w:ind w:left="705" w:hanging="345"/>
      </w:pPr>
      <w:sdt>
        <w:sdtPr>
          <w:id w:val="19112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 xml:space="preserve">energetické úspory ve veřejných budovách a v technické infrastruktuře, úsporné stavební technologie pro výstavbu veřejných budov, </w:t>
      </w:r>
    </w:p>
    <w:p w14:paraId="3BD6B96C" w14:textId="77777777" w:rsidR="007C67B1" w:rsidRDefault="00470718" w:rsidP="007C67B1">
      <w:pPr>
        <w:spacing w:before="120"/>
        <w:ind w:left="705" w:hanging="345"/>
      </w:pPr>
      <w:sdt>
        <w:sdtPr>
          <w:id w:val="-215588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úsporné stavební technologie pro výstavbu startovacích, sociálních bytů, domovů pro seniory a hendikepované apod.,</w:t>
      </w:r>
    </w:p>
    <w:p w14:paraId="379433A9" w14:textId="77777777" w:rsidR="007C67B1" w:rsidRDefault="00470718" w:rsidP="007C67B1">
      <w:pPr>
        <w:spacing w:before="120"/>
        <w:ind w:firstLine="360"/>
      </w:pPr>
      <w:sdt>
        <w:sdtPr>
          <w:id w:val="-189349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památková péče, obnova a ochrana památkově chráněných objektů,</w:t>
      </w:r>
    </w:p>
    <w:p w14:paraId="4B8EA28D" w14:textId="77777777" w:rsidR="007C67B1" w:rsidRDefault="00470718" w:rsidP="007C67B1">
      <w:pPr>
        <w:spacing w:before="120"/>
        <w:ind w:firstLine="360"/>
      </w:pPr>
      <w:sdt>
        <w:sdtPr>
          <w:id w:val="107139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péče o veřejná prostranství,</w:t>
      </w:r>
    </w:p>
    <w:p w14:paraId="39FED1FE" w14:textId="77777777" w:rsidR="007C67B1" w:rsidRDefault="00470718" w:rsidP="007C67B1">
      <w:pPr>
        <w:spacing w:before="120"/>
        <w:ind w:firstLine="360"/>
      </w:pPr>
      <w:sdt>
        <w:sdtPr>
          <w:id w:val="-146033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ICT řešení pro e-</w:t>
      </w:r>
      <w:proofErr w:type="spellStart"/>
      <w:r w:rsidR="007C67B1">
        <w:t>government</w:t>
      </w:r>
      <w:proofErr w:type="spellEnd"/>
      <w:r w:rsidR="007C67B1">
        <w:t xml:space="preserve">, informování občanů, propagaci a cestovní ruch, </w:t>
      </w:r>
    </w:p>
    <w:p w14:paraId="7FCABDC8" w14:textId="77777777" w:rsidR="007C67B1" w:rsidRDefault="00470718" w:rsidP="007C67B1">
      <w:pPr>
        <w:spacing w:before="120"/>
        <w:ind w:firstLine="360"/>
      </w:pPr>
      <w:sdt>
        <w:sdtPr>
          <w:id w:val="67631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ICT řešení pro zefektivnění a zprůhlednění činností a financování samosprávy,</w:t>
      </w:r>
    </w:p>
    <w:p w14:paraId="1FDFB0EC" w14:textId="77777777" w:rsidR="007C67B1" w:rsidRDefault="00470718" w:rsidP="007C67B1">
      <w:pPr>
        <w:spacing w:before="120"/>
        <w:ind w:firstLine="360"/>
      </w:pPr>
      <w:sdt>
        <w:sdtPr>
          <w:id w:val="191003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výchova a vzdělávání,</w:t>
      </w:r>
    </w:p>
    <w:p w14:paraId="63930C99" w14:textId="27048615" w:rsidR="007C67B1" w:rsidRDefault="00470718" w:rsidP="007C67B1">
      <w:pPr>
        <w:spacing w:before="120"/>
        <w:ind w:firstLine="360"/>
      </w:pPr>
      <w:sdt>
        <w:sdtPr>
          <w:id w:val="-92820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sociální služby, zdravotnické služby</w:t>
      </w:r>
      <w:r>
        <w:t xml:space="preserve"> </w:t>
      </w:r>
      <w:r>
        <w:t>a nástroje pro jejich poskytování</w:t>
      </w:r>
      <w:bookmarkStart w:id="0" w:name="_GoBack"/>
      <w:bookmarkEnd w:id="0"/>
      <w:r w:rsidR="007C67B1">
        <w:t>,</w:t>
      </w:r>
    </w:p>
    <w:p w14:paraId="1B5732A2" w14:textId="77777777" w:rsidR="007C67B1" w:rsidRDefault="00470718" w:rsidP="007C67B1">
      <w:pPr>
        <w:spacing w:before="120"/>
        <w:ind w:firstLine="360"/>
      </w:pPr>
      <w:sdt>
        <w:sdtPr>
          <w:id w:val="52398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civilní ochrana, bezpečnost občanů, ochrana veřejného pořádku,</w:t>
      </w:r>
    </w:p>
    <w:p w14:paraId="7B3E3DA6" w14:textId="77777777" w:rsidR="007C67B1" w:rsidRDefault="00470718" w:rsidP="007C67B1">
      <w:pPr>
        <w:spacing w:before="120"/>
        <w:ind w:firstLine="360"/>
      </w:pPr>
      <w:sdt>
        <w:sdtPr>
          <w:id w:val="-4105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67B1">
            <w:rPr>
              <w:rFonts w:ascii="MS Gothic" w:eastAsia="MS Gothic" w:hAnsi="MS Gothic" w:hint="eastAsia"/>
            </w:rPr>
            <w:t>☐</w:t>
          </w:r>
        </w:sdtContent>
      </w:sdt>
      <w:r w:rsidR="007C67B1">
        <w:tab/>
        <w:t>technologie pro pohyb osob se sníženou schopností pohybu a orientace ve městě</w:t>
      </w:r>
    </w:p>
    <w:p w14:paraId="727A9B57" w14:textId="77777777" w:rsidR="008D415B" w:rsidRDefault="008D415B" w:rsidP="008D415B">
      <w:pPr>
        <w:spacing w:before="120"/>
      </w:pPr>
    </w:p>
    <w:p w14:paraId="64A655BC" w14:textId="77777777" w:rsidR="003F2191" w:rsidRDefault="003F2191" w:rsidP="00C43B14">
      <w:pPr>
        <w:pStyle w:val="Odstavecseseznamem"/>
        <w:keepNext/>
        <w:numPr>
          <w:ilvl w:val="0"/>
          <w:numId w:val="3"/>
        </w:numPr>
        <w:ind w:left="357" w:hanging="357"/>
        <w:rPr>
          <w:b/>
        </w:rPr>
      </w:pPr>
      <w:r>
        <w:rPr>
          <w:b/>
        </w:rPr>
        <w:t xml:space="preserve">Popis tematického zaměření projektu </w:t>
      </w:r>
      <w:r w:rsidR="008D415B">
        <w:rPr>
          <w:b/>
        </w:rPr>
        <w:t>(pro všechny výzvy)</w:t>
      </w:r>
    </w:p>
    <w:p w14:paraId="5C33F452" w14:textId="0A1BD7E8" w:rsidR="0026624E" w:rsidRDefault="003F2191" w:rsidP="0026624E">
      <w:pPr>
        <w:spacing w:before="120"/>
        <w:rPr>
          <w:i/>
        </w:rPr>
      </w:pPr>
      <w:r w:rsidRPr="003F2191">
        <w:rPr>
          <w:i/>
        </w:rPr>
        <w:t>Blíže popište a specifikujte tematické zaměření projektu</w:t>
      </w:r>
      <w:r>
        <w:rPr>
          <w:i/>
        </w:rPr>
        <w:t xml:space="preserve"> v návaznosti na svou odpověď v části 2</w:t>
      </w:r>
      <w:r w:rsidR="009400BA">
        <w:rPr>
          <w:i/>
        </w:rPr>
        <w:t> a 3</w:t>
      </w:r>
      <w:r>
        <w:rPr>
          <w:i/>
        </w:rPr>
        <w:t>.</w:t>
      </w:r>
    </w:p>
    <w:p w14:paraId="5030E4A0" w14:textId="77777777" w:rsidR="00BD01EF" w:rsidRDefault="00293489" w:rsidP="0026624E">
      <w:pPr>
        <w:spacing w:before="120"/>
      </w:pPr>
      <w:r>
        <w:t>(</w:t>
      </w:r>
      <w:r w:rsidR="003F2191">
        <w:t>minimálně 500 znaků</w:t>
      </w:r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6F5" w14:paraId="40F34FF1" w14:textId="77777777" w:rsidTr="007516F5">
        <w:tc>
          <w:tcPr>
            <w:tcW w:w="9212" w:type="dxa"/>
          </w:tcPr>
          <w:p w14:paraId="514EA36C" w14:textId="77777777" w:rsidR="007516F5" w:rsidRDefault="007516F5" w:rsidP="0026624E">
            <w:pPr>
              <w:spacing w:before="120"/>
              <w:rPr>
                <w:b/>
              </w:rPr>
            </w:pPr>
          </w:p>
          <w:p w14:paraId="50E03C07" w14:textId="77777777" w:rsidR="007516F5" w:rsidRDefault="007516F5" w:rsidP="0026624E">
            <w:pPr>
              <w:spacing w:before="120"/>
              <w:rPr>
                <w:b/>
              </w:rPr>
            </w:pPr>
          </w:p>
          <w:p w14:paraId="26FC87D2" w14:textId="77777777" w:rsidR="007516F5" w:rsidRDefault="007516F5" w:rsidP="0026624E">
            <w:pPr>
              <w:spacing w:before="120"/>
              <w:rPr>
                <w:b/>
              </w:rPr>
            </w:pPr>
          </w:p>
        </w:tc>
      </w:tr>
    </w:tbl>
    <w:p w14:paraId="55EFC197" w14:textId="77777777" w:rsidR="007516F5" w:rsidRPr="003F2191" w:rsidRDefault="007516F5" w:rsidP="0026624E">
      <w:pPr>
        <w:spacing w:before="120"/>
        <w:rPr>
          <w:b/>
        </w:rPr>
      </w:pPr>
    </w:p>
    <w:sectPr w:rsidR="007516F5" w:rsidRPr="003F219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79B06" w14:textId="77777777" w:rsidR="004E7A73" w:rsidRDefault="004E7A73" w:rsidP="0026624E">
      <w:pPr>
        <w:spacing w:after="0"/>
      </w:pPr>
      <w:r>
        <w:separator/>
      </w:r>
    </w:p>
  </w:endnote>
  <w:endnote w:type="continuationSeparator" w:id="0">
    <w:p w14:paraId="013E8B38" w14:textId="77777777" w:rsidR="004E7A73" w:rsidRDefault="004E7A73" w:rsidP="00266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tPro">
    <w:altName w:val="Segoe Script"/>
    <w:panose1 w:val="00000000000000000000"/>
    <w:charset w:val="00"/>
    <w:family w:val="swiss"/>
    <w:notTrueType/>
    <w:pitch w:val="variable"/>
    <w:sig w:usb0="00000001" w:usb1="5000207B" w:usb2="00000008" w:usb3="00000000" w:csb0="0000009F" w:csb1="00000000"/>
  </w:font>
  <w:font w:name="UnitPro-Thin">
    <w:altName w:val="Segoe Script"/>
    <w:panose1 w:val="00000000000000000000"/>
    <w:charset w:val="00"/>
    <w:family w:val="swiss"/>
    <w:notTrueType/>
    <w:pitch w:val="variable"/>
    <w:sig w:usb0="00000001" w:usb1="5000207B" w:usb2="00000008" w:usb3="00000000" w:csb0="0000009F" w:csb1="00000000"/>
  </w:font>
  <w:font w:name="UnitPro-Bold">
    <w:altName w:val="Arial Black"/>
    <w:panose1 w:val="00000000000000000000"/>
    <w:charset w:val="00"/>
    <w:family w:val="swiss"/>
    <w:notTrueType/>
    <w:pitch w:val="variable"/>
    <w:sig w:usb0="00000001" w:usb1="5000207B" w:usb2="00000008" w:usb3="00000000" w:csb0="0000009F" w:csb1="00000000"/>
  </w:font>
  <w:font w:name="UnitPro-Light">
    <w:altName w:val="Segoe Script"/>
    <w:panose1 w:val="00000000000000000000"/>
    <w:charset w:val="00"/>
    <w:family w:val="swiss"/>
    <w:notTrueType/>
    <w:pitch w:val="variable"/>
    <w:sig w:usb0="00000001" w:usb1="5000207B" w:usb2="00000008" w:usb3="00000000" w:csb0="0000009F" w:csb1="00000000"/>
  </w:font>
  <w:font w:name="UnitPro-Medi">
    <w:panose1 w:val="00000000000000000000"/>
    <w:charset w:val="00"/>
    <w:family w:val="swiss"/>
    <w:notTrueType/>
    <w:pitch w:val="variable"/>
    <w:sig w:usb0="A00002FF" w:usb1="50002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290652"/>
      <w:docPartObj>
        <w:docPartGallery w:val="Page Numbers (Bottom of Page)"/>
        <w:docPartUnique/>
      </w:docPartObj>
    </w:sdtPr>
    <w:sdtEndPr/>
    <w:sdtContent>
      <w:p w14:paraId="1BB815CC" w14:textId="64202AB8" w:rsidR="00E85695" w:rsidRDefault="00755EEA">
        <w:pPr>
          <w:pStyle w:val="Zpat"/>
          <w:jc w:val="center"/>
        </w:pPr>
        <w:r>
          <w:t>Verze 1.2</w:t>
        </w:r>
        <w:r>
          <w:tab/>
        </w:r>
        <w:r>
          <w:tab/>
        </w:r>
        <w:r w:rsidR="00E85695">
          <w:fldChar w:fldCharType="begin"/>
        </w:r>
        <w:r w:rsidR="00E85695">
          <w:instrText>PAGE   \* MERGEFORMAT</w:instrText>
        </w:r>
        <w:r w:rsidR="00E85695">
          <w:fldChar w:fldCharType="separate"/>
        </w:r>
        <w:r w:rsidR="00470718">
          <w:rPr>
            <w:noProof/>
          </w:rPr>
          <w:t>4</w:t>
        </w:r>
        <w:r w:rsidR="00E85695">
          <w:fldChar w:fldCharType="end"/>
        </w:r>
      </w:p>
    </w:sdtContent>
  </w:sdt>
  <w:p w14:paraId="0028E192" w14:textId="77777777" w:rsidR="00E85695" w:rsidRDefault="00E856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43B7A" w14:textId="77777777" w:rsidR="004E7A73" w:rsidRDefault="004E7A73" w:rsidP="0026624E">
      <w:pPr>
        <w:spacing w:after="0"/>
      </w:pPr>
      <w:r>
        <w:separator/>
      </w:r>
    </w:p>
  </w:footnote>
  <w:footnote w:type="continuationSeparator" w:id="0">
    <w:p w14:paraId="66F6A288" w14:textId="77777777" w:rsidR="004E7A73" w:rsidRDefault="004E7A73" w:rsidP="0026624E">
      <w:pPr>
        <w:spacing w:after="0"/>
      </w:pPr>
      <w:r>
        <w:continuationSeparator/>
      </w:r>
    </w:p>
  </w:footnote>
  <w:footnote w:id="1">
    <w:p w14:paraId="20FAA6B6" w14:textId="33B5051E" w:rsidR="00C43B14" w:rsidRDefault="00C43B14" w:rsidP="00A57DBD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dostupné online: </w:t>
      </w:r>
      <w:hyperlink r:id="rId1" w:history="1">
        <w:r w:rsidR="00A57DBD" w:rsidRPr="0028172F">
          <w:rPr>
            <w:rStyle w:val="Hypertextovodkaz"/>
          </w:rPr>
          <w:t>http://www.vyzkum.cz/FrontClanek.aspx?idsekce=741706&amp;ad=1&amp;attid=782731</w:t>
        </w:r>
      </w:hyperlink>
    </w:p>
  </w:footnote>
  <w:footnote w:id="2">
    <w:p w14:paraId="4ADA6258" w14:textId="77777777" w:rsidR="00C43B14" w:rsidRDefault="00C43B14" w:rsidP="00C43B14">
      <w:pPr>
        <w:pStyle w:val="Textpoznpodarou"/>
      </w:pPr>
      <w:r>
        <w:rPr>
          <w:rStyle w:val="Znakapoznpodarou"/>
        </w:rPr>
        <w:footnoteRef/>
      </w:r>
      <w:r>
        <w:t xml:space="preserve"> dostupné online: </w:t>
      </w:r>
      <w:hyperlink r:id="rId2" w:history="1">
        <w:r>
          <w:rPr>
            <w:rStyle w:val="Hypertextovodkaz"/>
          </w:rPr>
          <w:t>http://www.rishmp.cz/public/3f/a2/31/2013212_571472_Prazska_RIS3.pdf</w:t>
        </w:r>
      </w:hyperlink>
    </w:p>
  </w:footnote>
  <w:footnote w:id="3">
    <w:p w14:paraId="36FBACBA" w14:textId="77777777" w:rsidR="0026624E" w:rsidRDefault="0026624E">
      <w:pPr>
        <w:pStyle w:val="Textpoznpodarou"/>
      </w:pPr>
      <w:r>
        <w:rPr>
          <w:rStyle w:val="Znakapoznpodarou"/>
        </w:rPr>
        <w:footnoteRef/>
      </w:r>
      <w:r>
        <w:t xml:space="preserve"> IT pro nová média, nakladatelství a média, zpracování a práce s digitálním obsahem, audiovizuální tvorba</w:t>
      </w:r>
    </w:p>
  </w:footnote>
  <w:footnote w:id="4">
    <w:p w14:paraId="701E1E7B" w14:textId="77777777" w:rsidR="0026624E" w:rsidRDefault="0026624E">
      <w:pPr>
        <w:pStyle w:val="Textpoznpodarou"/>
      </w:pPr>
      <w:r>
        <w:rPr>
          <w:rStyle w:val="Znakapoznpodarou"/>
        </w:rPr>
        <w:footnoteRef/>
      </w:r>
      <w:r>
        <w:t xml:space="preserve"> užitý a průmyslový design, vizuální a múzické umění, znalosti a dovednosti v oblasti tradiční i moderní živé kultury s využitím v kulturních průmyslech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5376"/>
      <w:gridCol w:w="3696"/>
    </w:tblGrid>
    <w:tr w:rsidR="00E85695" w:rsidRPr="000F7C4C" w14:paraId="073CC840" w14:textId="77777777" w:rsidTr="00A745CE">
      <w:tc>
        <w:tcPr>
          <w:tcW w:w="4606" w:type="dxa"/>
          <w:shd w:val="clear" w:color="auto" w:fill="auto"/>
        </w:tcPr>
        <w:p w14:paraId="6C330C73" w14:textId="77777777" w:rsidR="00E85695" w:rsidRPr="00593A0E" w:rsidRDefault="00E85695" w:rsidP="00A745CE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22"/>
            </w:rPr>
          </w:pPr>
          <w:r>
            <w:rPr>
              <w:rFonts w:ascii="Calibri" w:eastAsia="Calibri" w:hAnsi="Calibri"/>
              <w:noProof/>
              <w:sz w:val="22"/>
              <w:lang w:eastAsia="cs-CZ"/>
            </w:rPr>
            <w:drawing>
              <wp:inline distT="0" distB="0" distL="0" distR="0" wp14:anchorId="03C7FD56" wp14:editId="2A4E729B">
                <wp:extent cx="3276600" cy="657225"/>
                <wp:effectExtent l="0" t="0" r="0" b="952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shd w:val="clear" w:color="auto" w:fill="auto"/>
        </w:tcPr>
        <w:p w14:paraId="7D71865E" w14:textId="77777777" w:rsidR="00E85695" w:rsidRPr="00593A0E" w:rsidRDefault="00E85695" w:rsidP="00A745CE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/>
              <w:sz w:val="22"/>
            </w:rPr>
          </w:pPr>
          <w:r>
            <w:rPr>
              <w:rFonts w:ascii="Calibri" w:eastAsia="Calibri" w:hAnsi="Calibri"/>
              <w:noProof/>
              <w:sz w:val="22"/>
              <w:lang w:eastAsia="cs-CZ"/>
            </w:rPr>
            <w:drawing>
              <wp:inline distT="0" distB="0" distL="0" distR="0" wp14:anchorId="1E8F7E26" wp14:editId="01E7497B">
                <wp:extent cx="657225" cy="657225"/>
                <wp:effectExtent l="0" t="0" r="9525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1DAFBB8" w14:textId="77777777" w:rsidR="00E85695" w:rsidRDefault="00E8569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6D4A"/>
    <w:multiLevelType w:val="hybridMultilevel"/>
    <w:tmpl w:val="98B4A1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04194F"/>
    <w:multiLevelType w:val="hybridMultilevel"/>
    <w:tmpl w:val="B13CCA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F3032A"/>
    <w:multiLevelType w:val="hybridMultilevel"/>
    <w:tmpl w:val="8772A23A"/>
    <w:lvl w:ilvl="0" w:tplc="30FE0AE6">
      <w:start w:val="1"/>
      <w:numFmt w:val="bullet"/>
      <w:pStyle w:val="JP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47C0A"/>
    <w:multiLevelType w:val="hybridMultilevel"/>
    <w:tmpl w:val="B13CCAE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7A1F83"/>
    <w:multiLevelType w:val="hybridMultilevel"/>
    <w:tmpl w:val="A546E7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051314"/>
    <w:multiLevelType w:val="hybridMultilevel"/>
    <w:tmpl w:val="4F60A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16"/>
    <w:rsid w:val="00055EF6"/>
    <w:rsid w:val="00144293"/>
    <w:rsid w:val="0019216C"/>
    <w:rsid w:val="0021668C"/>
    <w:rsid w:val="002634EE"/>
    <w:rsid w:val="0026624E"/>
    <w:rsid w:val="00293489"/>
    <w:rsid w:val="00333192"/>
    <w:rsid w:val="00347716"/>
    <w:rsid w:val="003F2191"/>
    <w:rsid w:val="0045216E"/>
    <w:rsid w:val="00460592"/>
    <w:rsid w:val="00470718"/>
    <w:rsid w:val="00494790"/>
    <w:rsid w:val="004A6B84"/>
    <w:rsid w:val="004E7A73"/>
    <w:rsid w:val="00532FE3"/>
    <w:rsid w:val="00573BB3"/>
    <w:rsid w:val="00577DD2"/>
    <w:rsid w:val="005B5A85"/>
    <w:rsid w:val="005C20EC"/>
    <w:rsid w:val="006B58DA"/>
    <w:rsid w:val="007516F5"/>
    <w:rsid w:val="00755EEA"/>
    <w:rsid w:val="007C67B1"/>
    <w:rsid w:val="0085238C"/>
    <w:rsid w:val="008C12CD"/>
    <w:rsid w:val="008D415B"/>
    <w:rsid w:val="009400BA"/>
    <w:rsid w:val="009D085C"/>
    <w:rsid w:val="00A57DBD"/>
    <w:rsid w:val="00A719F2"/>
    <w:rsid w:val="00A878A1"/>
    <w:rsid w:val="00AE6B99"/>
    <w:rsid w:val="00AF1E4B"/>
    <w:rsid w:val="00B648B9"/>
    <w:rsid w:val="00BB35B6"/>
    <w:rsid w:val="00BD01EF"/>
    <w:rsid w:val="00C43B14"/>
    <w:rsid w:val="00CA4C13"/>
    <w:rsid w:val="00D455C6"/>
    <w:rsid w:val="00DB6DFD"/>
    <w:rsid w:val="00E140F8"/>
    <w:rsid w:val="00E85553"/>
    <w:rsid w:val="00E85695"/>
    <w:rsid w:val="00F06AC5"/>
    <w:rsid w:val="00F1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09B"/>
  <w15:docId w15:val="{36C227D3-FC10-4012-A277-5028DAD0B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6DFD"/>
    <w:pPr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19F2"/>
    <w:pPr>
      <w:ind w:left="720"/>
      <w:contextualSpacing/>
    </w:pPr>
  </w:style>
  <w:style w:type="paragraph" w:customStyle="1" w:styleId="JPAutorDok">
    <w:name w:val="JP_AutorDok"/>
    <w:link w:val="JPAutorDokChar"/>
    <w:qFormat/>
    <w:rsid w:val="00494790"/>
    <w:pPr>
      <w:spacing w:after="120" w:line="240" w:lineRule="auto"/>
      <w:jc w:val="center"/>
    </w:pPr>
    <w:rPr>
      <w:rFonts w:ascii="UnitPro" w:eastAsia="Calibri" w:hAnsi="UnitPro" w:cs="UnitPro"/>
      <w:sz w:val="24"/>
    </w:rPr>
  </w:style>
  <w:style w:type="character" w:customStyle="1" w:styleId="JPAutorDokChar">
    <w:name w:val="JP_AutorDok Char"/>
    <w:basedOn w:val="Standardnpsmoodstavce"/>
    <w:link w:val="JPAutorDok"/>
    <w:rsid w:val="00494790"/>
    <w:rPr>
      <w:rFonts w:ascii="UnitPro" w:eastAsia="Calibri" w:hAnsi="UnitPro" w:cs="UnitPro"/>
      <w:sz w:val="24"/>
    </w:rPr>
  </w:style>
  <w:style w:type="paragraph" w:customStyle="1" w:styleId="JPslostr">
    <w:name w:val="JP_Číslostr"/>
    <w:link w:val="JPslostrChar"/>
    <w:qFormat/>
    <w:rsid w:val="00494790"/>
    <w:pPr>
      <w:spacing w:after="120" w:line="240" w:lineRule="auto"/>
      <w:jc w:val="center"/>
    </w:pPr>
    <w:rPr>
      <w:rFonts w:ascii="UnitPro-Thin" w:eastAsia="Calibri" w:hAnsi="UnitPro-Thin" w:cs="Times New Roman"/>
      <w:sz w:val="20"/>
    </w:rPr>
  </w:style>
  <w:style w:type="character" w:customStyle="1" w:styleId="JPslostrChar">
    <w:name w:val="JP_Číslostr Char"/>
    <w:basedOn w:val="Standardnpsmoodstavce"/>
    <w:link w:val="JPslostr"/>
    <w:rsid w:val="00494790"/>
    <w:rPr>
      <w:rFonts w:ascii="UnitPro-Thin" w:eastAsia="Calibri" w:hAnsi="UnitPro-Thin" w:cs="Times New Roman"/>
      <w:sz w:val="20"/>
    </w:rPr>
  </w:style>
  <w:style w:type="paragraph" w:customStyle="1" w:styleId="JPMezititulek">
    <w:name w:val="JP_Mezititulek"/>
    <w:link w:val="JPMezititulekChar"/>
    <w:qFormat/>
    <w:rsid w:val="00494790"/>
    <w:pPr>
      <w:spacing w:after="120" w:line="240" w:lineRule="auto"/>
    </w:pPr>
    <w:rPr>
      <w:rFonts w:ascii="UnitPro-Bold" w:eastAsia="Calibri" w:hAnsi="UnitPro-Bold" w:cs="UnitPro-Bold"/>
      <w:sz w:val="20"/>
    </w:rPr>
  </w:style>
  <w:style w:type="character" w:customStyle="1" w:styleId="JPMezititulekChar">
    <w:name w:val="JP_Mezititulek Char"/>
    <w:basedOn w:val="Standardnpsmoodstavce"/>
    <w:link w:val="JPMezititulek"/>
    <w:rsid w:val="00494790"/>
    <w:rPr>
      <w:rFonts w:ascii="UnitPro-Bold" w:eastAsia="Calibri" w:hAnsi="UnitPro-Bold" w:cs="UnitPro-Bold"/>
      <w:sz w:val="20"/>
    </w:rPr>
  </w:style>
  <w:style w:type="paragraph" w:customStyle="1" w:styleId="JPNadpis1">
    <w:name w:val="JP_Nadpis 1"/>
    <w:link w:val="JPNadpis1Char"/>
    <w:qFormat/>
    <w:rsid w:val="00494790"/>
    <w:pPr>
      <w:spacing w:before="120" w:after="240" w:line="240" w:lineRule="auto"/>
    </w:pPr>
    <w:rPr>
      <w:rFonts w:ascii="UnitPro-Bold" w:eastAsia="Calibri" w:hAnsi="UnitPro-Bold" w:cs="Times New Roman"/>
      <w:b/>
      <w:iCs/>
      <w:sz w:val="28"/>
      <w:szCs w:val="26"/>
    </w:rPr>
  </w:style>
  <w:style w:type="character" w:customStyle="1" w:styleId="JPNadpis1Char">
    <w:name w:val="JP_Nadpis 1 Char"/>
    <w:basedOn w:val="Standardnpsmoodstavce"/>
    <w:link w:val="JPNadpis1"/>
    <w:rsid w:val="00494790"/>
    <w:rPr>
      <w:rFonts w:ascii="UnitPro-Bold" w:eastAsia="Calibri" w:hAnsi="UnitPro-Bold" w:cs="Times New Roman"/>
      <w:b/>
      <w:iCs/>
      <w:sz w:val="28"/>
      <w:szCs w:val="26"/>
    </w:rPr>
  </w:style>
  <w:style w:type="paragraph" w:customStyle="1" w:styleId="JPNadpis2">
    <w:name w:val="JP_Nadpis 2"/>
    <w:link w:val="JPNadpis2Char"/>
    <w:qFormat/>
    <w:rsid w:val="00494790"/>
    <w:pPr>
      <w:spacing w:before="120" w:after="120" w:line="240" w:lineRule="auto"/>
    </w:pPr>
    <w:rPr>
      <w:rFonts w:ascii="UnitPro-Bold" w:eastAsia="Calibri" w:hAnsi="UnitPro-Bold" w:cs="Times New Roman"/>
      <w:sz w:val="26"/>
    </w:rPr>
  </w:style>
  <w:style w:type="character" w:customStyle="1" w:styleId="JPNadpis2Char">
    <w:name w:val="JP_Nadpis 2 Char"/>
    <w:basedOn w:val="Standardnpsmoodstavce"/>
    <w:link w:val="JPNadpis2"/>
    <w:rsid w:val="00494790"/>
    <w:rPr>
      <w:rFonts w:ascii="UnitPro-Bold" w:eastAsia="Calibri" w:hAnsi="UnitPro-Bold" w:cs="Times New Roman"/>
      <w:sz w:val="26"/>
    </w:rPr>
  </w:style>
  <w:style w:type="paragraph" w:customStyle="1" w:styleId="JPNormln">
    <w:name w:val="JP_Normální"/>
    <w:link w:val="JPNormlnChar"/>
    <w:qFormat/>
    <w:rsid w:val="00494790"/>
    <w:pPr>
      <w:spacing w:after="120" w:line="240" w:lineRule="auto"/>
      <w:jc w:val="both"/>
    </w:pPr>
    <w:rPr>
      <w:rFonts w:ascii="UnitPro-Light" w:eastAsia="Calibri" w:hAnsi="UnitPro-Light" w:cs="Times New Roman"/>
      <w:sz w:val="20"/>
    </w:rPr>
  </w:style>
  <w:style w:type="character" w:customStyle="1" w:styleId="JPNormlnChar">
    <w:name w:val="JP_Normální Char"/>
    <w:basedOn w:val="Standardnpsmoodstavce"/>
    <w:link w:val="JPNormln"/>
    <w:rsid w:val="00494790"/>
    <w:rPr>
      <w:rFonts w:ascii="UnitPro-Light" w:eastAsia="Calibri" w:hAnsi="UnitPro-Light" w:cs="Times New Roman"/>
      <w:sz w:val="20"/>
    </w:rPr>
  </w:style>
  <w:style w:type="paragraph" w:customStyle="1" w:styleId="JPOdrka">
    <w:name w:val="JP_Odrážka"/>
    <w:basedOn w:val="Odstavecseseznamem"/>
    <w:link w:val="JPOdrkaChar"/>
    <w:qFormat/>
    <w:rsid w:val="00494790"/>
    <w:pPr>
      <w:numPr>
        <w:numId w:val="2"/>
      </w:numPr>
      <w:spacing w:after="60"/>
      <w:contextualSpacing w:val="0"/>
    </w:pPr>
    <w:rPr>
      <w:rFonts w:ascii="UnitPro-Light" w:eastAsia="Calibri" w:hAnsi="UnitPro-Light"/>
      <w:sz w:val="20"/>
    </w:rPr>
  </w:style>
  <w:style w:type="character" w:customStyle="1" w:styleId="JPOdrkaChar">
    <w:name w:val="JP_Odrážka Char"/>
    <w:basedOn w:val="Standardnpsmoodstavce"/>
    <w:link w:val="JPOdrka"/>
    <w:rsid w:val="00494790"/>
    <w:rPr>
      <w:rFonts w:ascii="UnitPro-Light" w:eastAsia="Calibri" w:hAnsi="UnitPro-Light" w:cs="Times New Roman"/>
      <w:sz w:val="20"/>
    </w:rPr>
  </w:style>
  <w:style w:type="paragraph" w:customStyle="1" w:styleId="JPPoznmkaP">
    <w:name w:val="JP_PoznámkaPČ"/>
    <w:link w:val="JPPoznmkaPChar"/>
    <w:qFormat/>
    <w:rsid w:val="00494790"/>
    <w:pPr>
      <w:spacing w:after="20" w:line="240" w:lineRule="auto"/>
    </w:pPr>
    <w:rPr>
      <w:rFonts w:ascii="UnitPro-Thin" w:eastAsia="Times New Roman" w:hAnsi="UnitPro-Thin" w:cs="Times New Roman"/>
      <w:bCs/>
      <w:sz w:val="16"/>
      <w:szCs w:val="20"/>
      <w:lang w:eastAsia="cs-CZ"/>
    </w:rPr>
  </w:style>
  <w:style w:type="character" w:customStyle="1" w:styleId="JPPoznmkaPChar">
    <w:name w:val="JP_PoznámkaPČ Char"/>
    <w:basedOn w:val="Standardnpsmoodstavce"/>
    <w:link w:val="JPPoznmkaP"/>
    <w:rsid w:val="00494790"/>
    <w:rPr>
      <w:rFonts w:ascii="UnitPro-Thin" w:eastAsia="Times New Roman" w:hAnsi="UnitPro-Thin" w:cs="Times New Roman"/>
      <w:bCs/>
      <w:sz w:val="16"/>
      <w:szCs w:val="20"/>
      <w:lang w:eastAsia="cs-CZ"/>
    </w:rPr>
  </w:style>
  <w:style w:type="paragraph" w:customStyle="1" w:styleId="JPTabulkaN">
    <w:name w:val="JP_TabulkaN"/>
    <w:link w:val="JPTabulkaNChar"/>
    <w:qFormat/>
    <w:rsid w:val="00494790"/>
    <w:pPr>
      <w:spacing w:before="360" w:after="80" w:line="240" w:lineRule="auto"/>
    </w:pPr>
    <w:rPr>
      <w:rFonts w:ascii="UnitPro" w:eastAsia="Times New Roman" w:hAnsi="UnitPro" w:cs="Times New Roman"/>
      <w:bCs/>
      <w:sz w:val="20"/>
      <w:szCs w:val="20"/>
      <w:lang w:eastAsia="cs-CZ"/>
    </w:rPr>
  </w:style>
  <w:style w:type="character" w:customStyle="1" w:styleId="JPTabulkaNChar">
    <w:name w:val="JP_TabulkaN Char"/>
    <w:basedOn w:val="Standardnpsmoodstavce"/>
    <w:link w:val="JPTabulkaN"/>
    <w:rsid w:val="00494790"/>
    <w:rPr>
      <w:rFonts w:ascii="UnitPro" w:eastAsia="Times New Roman" w:hAnsi="UnitPro" w:cs="Times New Roman"/>
      <w:bCs/>
      <w:sz w:val="20"/>
      <w:szCs w:val="20"/>
      <w:lang w:eastAsia="cs-CZ"/>
    </w:rPr>
  </w:style>
  <w:style w:type="paragraph" w:customStyle="1" w:styleId="JPTabulkaOL">
    <w:name w:val="JP_TabulkaOL"/>
    <w:link w:val="JPTabulkaOLChar"/>
    <w:qFormat/>
    <w:rsid w:val="00494790"/>
    <w:pPr>
      <w:spacing w:before="40" w:after="40" w:line="240" w:lineRule="auto"/>
    </w:pPr>
    <w:rPr>
      <w:rFonts w:ascii="UnitPro-Light" w:eastAsia="Calibri" w:hAnsi="UnitPro-Light" w:cs="Times New Roman"/>
      <w:sz w:val="18"/>
    </w:rPr>
  </w:style>
  <w:style w:type="character" w:customStyle="1" w:styleId="JPTabulkaOLChar">
    <w:name w:val="JP_TabulkaOL Char"/>
    <w:basedOn w:val="Standardnpsmoodstavce"/>
    <w:link w:val="JPTabulkaOL"/>
    <w:rsid w:val="00494790"/>
    <w:rPr>
      <w:rFonts w:ascii="UnitPro-Light" w:eastAsia="Calibri" w:hAnsi="UnitPro-Light" w:cs="Times New Roman"/>
      <w:sz w:val="18"/>
    </w:rPr>
  </w:style>
  <w:style w:type="paragraph" w:customStyle="1" w:styleId="JPTabulkaOP">
    <w:name w:val="JP_TabulkaOP"/>
    <w:link w:val="JPTabulkaOPChar"/>
    <w:qFormat/>
    <w:rsid w:val="00494790"/>
    <w:pPr>
      <w:spacing w:before="40" w:after="40" w:line="240" w:lineRule="auto"/>
      <w:jc w:val="center"/>
    </w:pPr>
    <w:rPr>
      <w:rFonts w:ascii="UnitPro-Light" w:eastAsia="Calibri" w:hAnsi="UnitPro-Light" w:cs="Times New Roman"/>
      <w:sz w:val="18"/>
    </w:rPr>
  </w:style>
  <w:style w:type="character" w:customStyle="1" w:styleId="JPTabulkaOPChar">
    <w:name w:val="JP_TabulkaOP Char"/>
    <w:basedOn w:val="Standardnpsmoodstavce"/>
    <w:link w:val="JPTabulkaOP"/>
    <w:rsid w:val="00494790"/>
    <w:rPr>
      <w:rFonts w:ascii="UnitPro-Light" w:eastAsia="Calibri" w:hAnsi="UnitPro-Light" w:cs="Times New Roman"/>
      <w:sz w:val="18"/>
    </w:rPr>
  </w:style>
  <w:style w:type="paragraph" w:customStyle="1" w:styleId="JPTabulkaZ">
    <w:name w:val="JP_TabulkaZ"/>
    <w:link w:val="JPTabulkaZChar"/>
    <w:qFormat/>
    <w:rsid w:val="00494790"/>
    <w:pPr>
      <w:spacing w:before="40" w:after="40" w:line="240" w:lineRule="auto"/>
    </w:pPr>
    <w:rPr>
      <w:rFonts w:ascii="UnitPro-Light" w:eastAsia="Calibri" w:hAnsi="UnitPro-Light" w:cs="Times New Roman"/>
      <w:b/>
      <w:sz w:val="18"/>
    </w:rPr>
  </w:style>
  <w:style w:type="character" w:customStyle="1" w:styleId="JPTabulkaZChar">
    <w:name w:val="JP_TabulkaZ Char"/>
    <w:basedOn w:val="Standardnpsmoodstavce"/>
    <w:link w:val="JPTabulkaZ"/>
    <w:rsid w:val="00494790"/>
    <w:rPr>
      <w:rFonts w:ascii="UnitPro-Light" w:eastAsia="Calibri" w:hAnsi="UnitPro-Light" w:cs="Times New Roman"/>
      <w:b/>
      <w:sz w:val="18"/>
    </w:rPr>
  </w:style>
  <w:style w:type="paragraph" w:customStyle="1" w:styleId="JPTabulkaZP">
    <w:name w:val="JP_TabulkaZP"/>
    <w:link w:val="JPTabulkaZPChar"/>
    <w:qFormat/>
    <w:rsid w:val="00494790"/>
    <w:pPr>
      <w:spacing w:before="40" w:after="360" w:line="240" w:lineRule="auto"/>
      <w:jc w:val="both"/>
    </w:pPr>
    <w:rPr>
      <w:rFonts w:ascii="UnitPro-Thin" w:eastAsia="Calibri" w:hAnsi="UnitPro-Thin" w:cs="Times New Roman"/>
      <w:i/>
      <w:sz w:val="18"/>
    </w:rPr>
  </w:style>
  <w:style w:type="character" w:customStyle="1" w:styleId="JPTabulkaZPChar">
    <w:name w:val="JP_TabulkaZP Char"/>
    <w:basedOn w:val="Standardnpsmoodstavce"/>
    <w:link w:val="JPTabulkaZP"/>
    <w:rsid w:val="00494790"/>
    <w:rPr>
      <w:rFonts w:ascii="UnitPro-Thin" w:eastAsia="Calibri" w:hAnsi="UnitPro-Thin" w:cs="Times New Roman"/>
      <w:i/>
      <w:sz w:val="18"/>
    </w:rPr>
  </w:style>
  <w:style w:type="paragraph" w:customStyle="1" w:styleId="JPTabulkaZP2">
    <w:name w:val="JP_TabulkaZP2"/>
    <w:link w:val="JPTabulkaZP2Char"/>
    <w:qFormat/>
    <w:rsid w:val="00494790"/>
    <w:pPr>
      <w:spacing w:before="40" w:after="40" w:line="240" w:lineRule="auto"/>
    </w:pPr>
    <w:rPr>
      <w:rFonts w:ascii="UnitPro-Thin" w:eastAsia="Calibri" w:hAnsi="UnitPro-Thin" w:cs="Times New Roman"/>
      <w:i/>
      <w:sz w:val="18"/>
    </w:rPr>
  </w:style>
  <w:style w:type="character" w:customStyle="1" w:styleId="JPTabulkaZP2Char">
    <w:name w:val="JP_TabulkaZP2 Char"/>
    <w:basedOn w:val="Standardnpsmoodstavce"/>
    <w:link w:val="JPTabulkaZP2"/>
    <w:rsid w:val="00494790"/>
    <w:rPr>
      <w:rFonts w:ascii="UnitPro-Thin" w:eastAsia="Calibri" w:hAnsi="UnitPro-Thin" w:cs="Times New Roman"/>
      <w:i/>
      <w:sz w:val="18"/>
    </w:rPr>
  </w:style>
  <w:style w:type="paragraph" w:customStyle="1" w:styleId="JPTitulDok">
    <w:name w:val="JP_TitulDok"/>
    <w:link w:val="JPTitulDokChar"/>
    <w:qFormat/>
    <w:rsid w:val="00494790"/>
    <w:pPr>
      <w:spacing w:before="20" w:after="20" w:line="240" w:lineRule="auto"/>
      <w:jc w:val="center"/>
    </w:pPr>
    <w:rPr>
      <w:rFonts w:ascii="UnitPro-Medi" w:eastAsia="Times New Roman" w:hAnsi="UnitPro-Medi" w:cs="UnitPro-Medi"/>
      <w:b/>
      <w:bCs/>
      <w:caps/>
      <w:sz w:val="40"/>
      <w:szCs w:val="40"/>
      <w:lang w:eastAsia="cs-CZ"/>
    </w:rPr>
  </w:style>
  <w:style w:type="character" w:customStyle="1" w:styleId="JPTitulDokChar">
    <w:name w:val="JP_TitulDok Char"/>
    <w:basedOn w:val="Standardnpsmoodstavce"/>
    <w:link w:val="JPTitulDok"/>
    <w:rsid w:val="00494790"/>
    <w:rPr>
      <w:rFonts w:ascii="UnitPro-Medi" w:eastAsia="Times New Roman" w:hAnsi="UnitPro-Medi" w:cs="UnitPro-Medi"/>
      <w:b/>
      <w:bCs/>
      <w:caps/>
      <w:sz w:val="40"/>
      <w:szCs w:val="40"/>
      <w:lang w:eastAsia="cs-CZ"/>
    </w:rPr>
  </w:style>
  <w:style w:type="paragraph" w:customStyle="1" w:styleId="slostr">
    <w:name w:val="Číslostr"/>
    <w:link w:val="slostrChar"/>
    <w:qFormat/>
    <w:rsid w:val="00573BB3"/>
    <w:pPr>
      <w:spacing w:before="120" w:after="0" w:line="240" w:lineRule="auto"/>
      <w:jc w:val="center"/>
    </w:pPr>
    <w:rPr>
      <w:rFonts w:ascii="UnitPro-Thin" w:eastAsia="Calibri" w:hAnsi="UnitPro-Thin"/>
    </w:rPr>
  </w:style>
  <w:style w:type="character" w:customStyle="1" w:styleId="slostrChar">
    <w:name w:val="Číslostr Char"/>
    <w:basedOn w:val="Standardnpsmoodstavce"/>
    <w:link w:val="slostr"/>
    <w:rsid w:val="00573BB3"/>
    <w:rPr>
      <w:rFonts w:ascii="UnitPro-Thin" w:eastAsia="Calibri" w:hAnsi="UnitPro-Thin"/>
    </w:rPr>
  </w:style>
  <w:style w:type="character" w:styleId="Zstupntext">
    <w:name w:val="Placeholder Text"/>
    <w:basedOn w:val="Standardnpsmoodstavce"/>
    <w:uiPriority w:val="99"/>
    <w:semiHidden/>
    <w:rsid w:val="00BD01EF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624E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624E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624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D085C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6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8569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56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8569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5695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E856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5695"/>
    <w:rPr>
      <w:rFonts w:ascii="Times New Roman" w:hAnsi="Times New Roman" w:cs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A57DB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57D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7D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7DBD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7D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7DB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shmp.cz/public/3f/a2/31/2013212_571472_Prazska_RIS3.pdf" TargetMode="External"/><Relationship Id="rId1" Type="http://schemas.openxmlformats.org/officeDocument/2006/relationships/hyperlink" Target="http://www.vyzkum.cz/FrontClanek.aspx?idsekce=741706&amp;ad=1&amp;attid=78273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7F19-51F9-4139-936F-4DDA8204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743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Pechlát Jakub Ing. (IPR/SSP)</dc:creator>
  <cp:keywords/>
  <dc:description/>
  <cp:lastModifiedBy>Čaban Vít (MHMP, FON)</cp:lastModifiedBy>
  <cp:revision>4</cp:revision>
  <dcterms:created xsi:type="dcterms:W3CDTF">2016-08-17T12:57:00Z</dcterms:created>
  <dcterms:modified xsi:type="dcterms:W3CDTF">2016-08-17T15:00:00Z</dcterms:modified>
</cp:coreProperties>
</file>