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58EA5" w14:textId="77777777" w:rsidR="00D45C20" w:rsidRPr="00305215" w:rsidRDefault="00D45C20" w:rsidP="007B0391">
      <w:pPr>
        <w:rPr>
          <w:rStyle w:val="Siln"/>
          <w:rFonts w:eastAsiaTheme="majorEastAsia" w:cs="Arial"/>
          <w:sz w:val="24"/>
          <w:szCs w:val="28"/>
        </w:rPr>
      </w:pPr>
      <w:r w:rsidRPr="00305215">
        <w:rPr>
          <w:rStyle w:val="Siln"/>
          <w:rFonts w:eastAsiaTheme="majorEastAsia" w:cs="Arial"/>
          <w:sz w:val="24"/>
          <w:szCs w:val="28"/>
        </w:rPr>
        <w:t>Hlavní město Praha, odbor evropských fondů</w:t>
      </w:r>
    </w:p>
    <w:p w14:paraId="771E4F8B" w14:textId="77777777" w:rsidR="00D45C20" w:rsidRPr="00305215" w:rsidRDefault="00D45C20" w:rsidP="007B0391">
      <w:pPr>
        <w:rPr>
          <w:rStyle w:val="Siln"/>
          <w:rFonts w:eastAsiaTheme="majorEastAsia" w:cs="Arial"/>
          <w:sz w:val="24"/>
          <w:szCs w:val="28"/>
        </w:rPr>
      </w:pPr>
    </w:p>
    <w:p w14:paraId="60DE6E39" w14:textId="77777777" w:rsidR="00D45C20" w:rsidRPr="00305215" w:rsidRDefault="00D45C20" w:rsidP="007B0391">
      <w:pPr>
        <w:rPr>
          <w:rStyle w:val="Siln"/>
          <w:rFonts w:eastAsiaTheme="majorEastAsia" w:cs="Arial"/>
          <w:sz w:val="24"/>
          <w:szCs w:val="28"/>
        </w:rPr>
      </w:pPr>
      <w:r w:rsidRPr="00305215">
        <w:rPr>
          <w:rStyle w:val="Siln"/>
          <w:rFonts w:eastAsiaTheme="majorEastAsia" w:cs="Arial"/>
          <w:sz w:val="24"/>
          <w:szCs w:val="28"/>
        </w:rPr>
        <w:t xml:space="preserve">vyhlašuje dne </w:t>
      </w:r>
      <w:r w:rsidR="00C87264" w:rsidRPr="00305215">
        <w:rPr>
          <w:rStyle w:val="Siln"/>
          <w:rFonts w:eastAsiaTheme="majorEastAsia" w:cs="Arial"/>
          <w:sz w:val="24"/>
          <w:szCs w:val="28"/>
        </w:rPr>
        <w:t>31</w:t>
      </w:r>
      <w:r w:rsidRPr="00305215">
        <w:rPr>
          <w:rStyle w:val="Siln"/>
          <w:rFonts w:eastAsiaTheme="majorEastAsia" w:cs="Arial"/>
          <w:sz w:val="24"/>
          <w:szCs w:val="28"/>
        </w:rPr>
        <w:t xml:space="preserve">. </w:t>
      </w:r>
      <w:r w:rsidR="00C87264" w:rsidRPr="00305215">
        <w:rPr>
          <w:rStyle w:val="Siln"/>
          <w:rFonts w:eastAsiaTheme="majorEastAsia" w:cs="Arial"/>
          <w:sz w:val="24"/>
          <w:szCs w:val="28"/>
        </w:rPr>
        <w:t>srpna</w:t>
      </w:r>
      <w:r w:rsidR="008524E5" w:rsidRPr="00305215">
        <w:rPr>
          <w:rStyle w:val="Siln"/>
          <w:rFonts w:eastAsiaTheme="majorEastAsia" w:cs="Arial"/>
          <w:sz w:val="24"/>
          <w:szCs w:val="28"/>
        </w:rPr>
        <w:t xml:space="preserve"> 2016</w:t>
      </w:r>
    </w:p>
    <w:p w14:paraId="50375BBF" w14:textId="77777777" w:rsidR="00D45C20" w:rsidRPr="00305215" w:rsidRDefault="00D45C20" w:rsidP="007B0391">
      <w:pPr>
        <w:rPr>
          <w:rStyle w:val="Siln"/>
          <w:rFonts w:eastAsiaTheme="majorEastAsia" w:cs="Arial"/>
          <w:sz w:val="24"/>
          <w:szCs w:val="28"/>
        </w:rPr>
      </w:pPr>
    </w:p>
    <w:p w14:paraId="76C77C75" w14:textId="77777777" w:rsidR="00D45C20" w:rsidRPr="00305215" w:rsidRDefault="00D45C20" w:rsidP="007B0391">
      <w:pPr>
        <w:rPr>
          <w:rStyle w:val="Siln"/>
          <w:rFonts w:eastAsiaTheme="majorEastAsia" w:cs="Arial"/>
          <w:sz w:val="24"/>
          <w:szCs w:val="28"/>
        </w:rPr>
      </w:pPr>
      <w:r w:rsidRPr="00305215">
        <w:rPr>
          <w:rStyle w:val="Siln"/>
          <w:rFonts w:eastAsiaTheme="majorEastAsia" w:cs="Arial"/>
          <w:sz w:val="24"/>
          <w:szCs w:val="28"/>
        </w:rPr>
        <w:t>výzvu k předkládání žádostí o podporu v rámci Operačního programu Praha – pól růstu ČR</w:t>
      </w:r>
    </w:p>
    <w:p w14:paraId="5DFE9F0B" w14:textId="77777777" w:rsidR="00D45C20" w:rsidRPr="00305215" w:rsidRDefault="00D45C20" w:rsidP="001F365E">
      <w:pPr>
        <w:spacing w:line="360" w:lineRule="auto"/>
        <w:rPr>
          <w:rStyle w:val="Siln"/>
          <w:rFonts w:eastAsiaTheme="majorEastAsia" w:cs="Arial"/>
          <w:sz w:val="18"/>
        </w:rPr>
      </w:pPr>
    </w:p>
    <w:p w14:paraId="0C2863A8" w14:textId="77777777" w:rsidR="00D45C20" w:rsidRPr="00305215" w:rsidRDefault="00D45C20" w:rsidP="001F365E">
      <w:pPr>
        <w:numPr>
          <w:ilvl w:val="0"/>
          <w:numId w:val="2"/>
        </w:numPr>
        <w:spacing w:line="360" w:lineRule="auto"/>
        <w:rPr>
          <w:rFonts w:eastAsiaTheme="majorEastAsia" w:cs="Arial"/>
          <w:b/>
          <w:sz w:val="22"/>
          <w:szCs w:val="28"/>
          <w:u w:val="single"/>
        </w:rPr>
      </w:pPr>
      <w:r w:rsidRPr="00305215">
        <w:rPr>
          <w:rFonts w:cs="Arial"/>
          <w:b/>
          <w:bCs/>
          <w:sz w:val="22"/>
          <w:szCs w:val="28"/>
          <w:u w:val="single"/>
        </w:rPr>
        <w:t>Identifikace výzvy</w:t>
      </w:r>
    </w:p>
    <w:p w14:paraId="0483E4C6"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Prioritní osa:</w:t>
      </w:r>
      <w:r w:rsidR="008524E5" w:rsidRPr="00305215">
        <w:rPr>
          <w:rFonts w:cs="Arial"/>
          <w:b/>
          <w:bCs/>
          <w:sz w:val="20"/>
        </w:rPr>
        <w:t xml:space="preserve"> </w:t>
      </w:r>
      <w:r w:rsidR="008524E5" w:rsidRPr="00305215">
        <w:rPr>
          <w:rFonts w:cs="Arial"/>
          <w:bCs/>
          <w:sz w:val="20"/>
        </w:rPr>
        <w:t>2 Udržitelná mobilita a energetické úspory</w:t>
      </w:r>
    </w:p>
    <w:p w14:paraId="52EC3102"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Investiční priorita:</w:t>
      </w:r>
      <w:r w:rsidR="008524E5" w:rsidRPr="00305215">
        <w:rPr>
          <w:rFonts w:cs="Arial"/>
          <w:b/>
          <w:bCs/>
          <w:sz w:val="20"/>
        </w:rPr>
        <w:t xml:space="preserve"> </w:t>
      </w:r>
      <w:r w:rsidR="00704B79" w:rsidRPr="00305215">
        <w:rPr>
          <w:rFonts w:cs="Arial"/>
          <w:bCs/>
          <w:sz w:val="20"/>
          <w:szCs w:val="20"/>
        </w:rPr>
        <w:t>2</w:t>
      </w:r>
      <w:r w:rsidR="008524E5" w:rsidRPr="00305215">
        <w:rPr>
          <w:rFonts w:cs="Arial"/>
          <w:bCs/>
          <w:sz w:val="20"/>
          <w:szCs w:val="20"/>
        </w:rPr>
        <w:t xml:space="preserve"> </w:t>
      </w:r>
    </w:p>
    <w:p w14:paraId="4A20F297"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Specifický cíl:</w:t>
      </w:r>
      <w:r w:rsidR="008524E5" w:rsidRPr="00305215">
        <w:rPr>
          <w:rFonts w:cs="Arial"/>
          <w:b/>
          <w:bCs/>
          <w:sz w:val="20"/>
        </w:rPr>
        <w:t xml:space="preserve"> </w:t>
      </w:r>
      <w:r w:rsidR="008524E5" w:rsidRPr="00305215">
        <w:rPr>
          <w:rFonts w:cs="Arial"/>
          <w:bCs/>
          <w:sz w:val="20"/>
          <w:szCs w:val="20"/>
        </w:rPr>
        <w:t>2.</w:t>
      </w:r>
      <w:r w:rsidR="00704B79" w:rsidRPr="00305215">
        <w:rPr>
          <w:rFonts w:cs="Arial"/>
          <w:bCs/>
          <w:sz w:val="20"/>
          <w:szCs w:val="20"/>
        </w:rPr>
        <w:t>2 Zvyšování atraktivity užívání městské veřejné dopravy</w:t>
      </w:r>
    </w:p>
    <w:p w14:paraId="6D077507" w14:textId="77777777" w:rsidR="00D45C20" w:rsidRPr="00305215" w:rsidRDefault="0087158E" w:rsidP="001F365E">
      <w:pPr>
        <w:pStyle w:val="txt"/>
        <w:numPr>
          <w:ilvl w:val="1"/>
          <w:numId w:val="2"/>
        </w:numPr>
        <w:spacing w:after="0" w:line="360" w:lineRule="auto"/>
        <w:ind w:left="993" w:hanging="631"/>
        <w:rPr>
          <w:rFonts w:cs="Arial"/>
          <w:b/>
          <w:sz w:val="20"/>
        </w:rPr>
      </w:pPr>
      <w:r w:rsidRPr="00305215">
        <w:rPr>
          <w:rFonts w:cs="Arial"/>
          <w:b/>
          <w:bCs/>
          <w:sz w:val="20"/>
        </w:rPr>
        <w:t>Č</w:t>
      </w:r>
      <w:r w:rsidR="00D45C20" w:rsidRPr="00305215">
        <w:rPr>
          <w:rFonts w:cs="Arial"/>
          <w:b/>
          <w:bCs/>
          <w:sz w:val="20"/>
        </w:rPr>
        <w:t>íslo výzvy</w:t>
      </w:r>
      <w:r w:rsidR="00D45C20" w:rsidRPr="00305215">
        <w:rPr>
          <w:rFonts w:cs="Arial"/>
          <w:b/>
          <w:sz w:val="20"/>
        </w:rPr>
        <w:t>:</w:t>
      </w:r>
      <w:r w:rsidR="008524E5" w:rsidRPr="00305215">
        <w:rPr>
          <w:rFonts w:cs="Arial"/>
          <w:b/>
          <w:sz w:val="20"/>
        </w:rPr>
        <w:t xml:space="preserve"> </w:t>
      </w:r>
      <w:r w:rsidR="00C87264" w:rsidRPr="00305215">
        <w:rPr>
          <w:rFonts w:cs="Arial"/>
          <w:sz w:val="20"/>
        </w:rPr>
        <w:t>16</w:t>
      </w:r>
    </w:p>
    <w:p w14:paraId="52217624" w14:textId="2B92D915" w:rsidR="00D45C20" w:rsidRPr="00305215" w:rsidRDefault="00D45C20" w:rsidP="00C87264">
      <w:pPr>
        <w:pStyle w:val="txt"/>
        <w:numPr>
          <w:ilvl w:val="1"/>
          <w:numId w:val="2"/>
        </w:numPr>
        <w:spacing w:after="0" w:line="360" w:lineRule="auto"/>
        <w:ind w:left="993" w:hanging="631"/>
        <w:rPr>
          <w:rFonts w:cs="Arial"/>
          <w:b/>
          <w:sz w:val="20"/>
        </w:rPr>
      </w:pPr>
      <w:r w:rsidRPr="00305215">
        <w:rPr>
          <w:rFonts w:cs="Arial"/>
          <w:b/>
          <w:sz w:val="20"/>
        </w:rPr>
        <w:t xml:space="preserve">Název </w:t>
      </w:r>
      <w:r w:rsidRPr="00305215">
        <w:rPr>
          <w:rFonts w:cs="Arial"/>
          <w:b/>
          <w:bCs/>
          <w:sz w:val="20"/>
        </w:rPr>
        <w:t>výzvy</w:t>
      </w:r>
      <w:r w:rsidRPr="00305215">
        <w:rPr>
          <w:rFonts w:cs="Arial"/>
          <w:b/>
          <w:sz w:val="20"/>
        </w:rPr>
        <w:t>:</w:t>
      </w:r>
      <w:r w:rsidR="008524E5" w:rsidRPr="00305215">
        <w:rPr>
          <w:rFonts w:cs="Arial"/>
          <w:sz w:val="20"/>
        </w:rPr>
        <w:t xml:space="preserve"> </w:t>
      </w:r>
      <w:r w:rsidR="00C87264" w:rsidRPr="00305215">
        <w:rPr>
          <w:rFonts w:cs="Arial"/>
          <w:sz w:val="20"/>
        </w:rPr>
        <w:t xml:space="preserve">ITI - </w:t>
      </w:r>
      <w:r w:rsidR="003D6825" w:rsidRPr="00305215">
        <w:rPr>
          <w:rFonts w:cs="Arial"/>
          <w:bCs/>
          <w:sz w:val="20"/>
          <w:szCs w:val="20"/>
        </w:rPr>
        <w:t>Zvyšování atraktivity užívání městské veřejné dopravy</w:t>
      </w:r>
    </w:p>
    <w:p w14:paraId="68BE32CB" w14:textId="77777777" w:rsidR="00D45C20" w:rsidRPr="00305215" w:rsidRDefault="008524E5" w:rsidP="001F365E">
      <w:pPr>
        <w:pStyle w:val="txt"/>
        <w:numPr>
          <w:ilvl w:val="1"/>
          <w:numId w:val="2"/>
        </w:numPr>
        <w:spacing w:after="0" w:line="360" w:lineRule="auto"/>
        <w:ind w:left="993" w:hanging="631"/>
        <w:rPr>
          <w:rFonts w:cs="Arial"/>
          <w:b/>
          <w:bCs/>
          <w:sz w:val="20"/>
        </w:rPr>
      </w:pPr>
      <w:r w:rsidRPr="00305215">
        <w:rPr>
          <w:rFonts w:cs="Arial"/>
          <w:b/>
          <w:bCs/>
          <w:sz w:val="20"/>
        </w:rPr>
        <w:t xml:space="preserve">Druh výzvy: </w:t>
      </w:r>
      <w:r w:rsidR="00704B79" w:rsidRPr="00305215">
        <w:rPr>
          <w:rFonts w:cs="Arial"/>
          <w:bCs/>
          <w:sz w:val="20"/>
        </w:rPr>
        <w:t>průběžná</w:t>
      </w:r>
    </w:p>
    <w:p w14:paraId="63AF8F47"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Určení, zda se jedná o synergickou nebo komplementární výzvu: </w:t>
      </w:r>
      <w:r w:rsidR="008524E5" w:rsidRPr="00305215">
        <w:rPr>
          <w:rFonts w:cs="Arial"/>
          <w:bCs/>
          <w:sz w:val="20"/>
          <w:szCs w:val="20"/>
        </w:rPr>
        <w:t>Komplementární</w:t>
      </w:r>
    </w:p>
    <w:p w14:paraId="61188875" w14:textId="77777777" w:rsidR="001F365E" w:rsidRPr="00305215" w:rsidRDefault="008524E5" w:rsidP="00F60C66">
      <w:pPr>
        <w:pStyle w:val="txt"/>
        <w:numPr>
          <w:ilvl w:val="0"/>
          <w:numId w:val="4"/>
        </w:numPr>
        <w:spacing w:after="0" w:line="360" w:lineRule="auto"/>
        <w:rPr>
          <w:rFonts w:cs="Arial"/>
          <w:bCs/>
          <w:sz w:val="20"/>
        </w:rPr>
      </w:pPr>
      <w:r w:rsidRPr="00305215">
        <w:rPr>
          <w:rFonts w:cs="Arial"/>
          <w:bCs/>
          <w:sz w:val="20"/>
        </w:rPr>
        <w:t xml:space="preserve">Operační program </w:t>
      </w:r>
      <w:r w:rsidR="00F60C66" w:rsidRPr="00305215">
        <w:rPr>
          <w:rFonts w:cs="Arial"/>
          <w:bCs/>
          <w:sz w:val="20"/>
        </w:rPr>
        <w:t>Doprava</w:t>
      </w:r>
      <w:r w:rsidRPr="00305215">
        <w:rPr>
          <w:rFonts w:cs="Arial"/>
          <w:bCs/>
          <w:sz w:val="20"/>
        </w:rPr>
        <w:t xml:space="preserve">, prioritní osa </w:t>
      </w:r>
      <w:r w:rsidR="00F60C66" w:rsidRPr="00305215">
        <w:rPr>
          <w:rFonts w:cs="Arial"/>
          <w:bCs/>
          <w:sz w:val="20"/>
        </w:rPr>
        <w:t xml:space="preserve">1 </w:t>
      </w:r>
      <w:r w:rsidR="00F60C66" w:rsidRPr="00305215">
        <w:rPr>
          <w:rFonts w:cs="Arial"/>
          <w:sz w:val="20"/>
        </w:rPr>
        <w:t>Modernizace železniční sítě TEN-T</w:t>
      </w:r>
      <w:r w:rsidR="00F60C66" w:rsidRPr="00305215">
        <w:rPr>
          <w:rFonts w:cs="Arial"/>
          <w:bCs/>
          <w:sz w:val="20"/>
        </w:rPr>
        <w:t>, prioritní osa 2 Výstavba a modernizace dálniční a silniční sítě TEN-T</w:t>
      </w:r>
    </w:p>
    <w:p w14:paraId="0537DF67" w14:textId="77777777" w:rsidR="008524E5" w:rsidRPr="00305215" w:rsidRDefault="008524E5" w:rsidP="00F60C66">
      <w:pPr>
        <w:pStyle w:val="txt"/>
        <w:numPr>
          <w:ilvl w:val="0"/>
          <w:numId w:val="4"/>
        </w:numPr>
        <w:spacing w:after="0" w:line="360" w:lineRule="auto"/>
        <w:rPr>
          <w:rFonts w:cs="Arial"/>
          <w:bCs/>
          <w:sz w:val="20"/>
        </w:rPr>
      </w:pPr>
      <w:r w:rsidRPr="00305215">
        <w:rPr>
          <w:rFonts w:cs="Arial"/>
          <w:bCs/>
          <w:sz w:val="20"/>
        </w:rPr>
        <w:t xml:space="preserve">Operační program </w:t>
      </w:r>
      <w:r w:rsidR="00F60C66" w:rsidRPr="00305215">
        <w:rPr>
          <w:rFonts w:cs="Arial"/>
          <w:bCs/>
          <w:sz w:val="20"/>
        </w:rPr>
        <w:t>Podnikání a inovace pro konkurenceschopnost</w:t>
      </w:r>
      <w:r w:rsidRPr="00305215">
        <w:rPr>
          <w:rFonts w:cs="Arial"/>
          <w:bCs/>
          <w:sz w:val="20"/>
        </w:rPr>
        <w:t xml:space="preserve">, prioritní osa </w:t>
      </w:r>
      <w:r w:rsidR="00F60C66" w:rsidRPr="00305215">
        <w:rPr>
          <w:rFonts w:cs="Arial"/>
          <w:bCs/>
          <w:sz w:val="20"/>
        </w:rPr>
        <w:t>3</w:t>
      </w:r>
      <w:r w:rsidRPr="00305215">
        <w:rPr>
          <w:rFonts w:cs="Arial"/>
          <w:bCs/>
          <w:sz w:val="20"/>
        </w:rPr>
        <w:t xml:space="preserve"> </w:t>
      </w:r>
      <w:r w:rsidR="00F60C66" w:rsidRPr="00305215">
        <w:rPr>
          <w:rFonts w:cs="Arial"/>
          <w:bCs/>
          <w:sz w:val="20"/>
        </w:rPr>
        <w:t>Efektivnější nakládání energií</w:t>
      </w:r>
    </w:p>
    <w:p w14:paraId="4B821F4D" w14:textId="77777777" w:rsidR="00F60C66" w:rsidRPr="00305215" w:rsidRDefault="00F60C66" w:rsidP="00F60C66">
      <w:pPr>
        <w:pStyle w:val="txt"/>
        <w:numPr>
          <w:ilvl w:val="0"/>
          <w:numId w:val="4"/>
        </w:numPr>
        <w:spacing w:after="0" w:line="360" w:lineRule="auto"/>
        <w:rPr>
          <w:rFonts w:cs="Arial"/>
          <w:bCs/>
          <w:sz w:val="20"/>
        </w:rPr>
      </w:pPr>
      <w:r w:rsidRPr="00305215">
        <w:rPr>
          <w:rFonts w:cs="Arial"/>
          <w:bCs/>
          <w:sz w:val="20"/>
        </w:rPr>
        <w:t>Integrovaný regionální operační program, prioritní osa 1 Konkurenceschopné, dostupné a bezpečné regiony</w:t>
      </w:r>
    </w:p>
    <w:p w14:paraId="59F79F3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Model hodnocení</w:t>
      </w:r>
      <w:r w:rsidR="008524E5" w:rsidRPr="00305215">
        <w:rPr>
          <w:rFonts w:cs="Arial"/>
          <w:bCs/>
          <w:sz w:val="20"/>
        </w:rPr>
        <w:t>: jednokolový</w:t>
      </w:r>
    </w:p>
    <w:p w14:paraId="0BA4F84D" w14:textId="24F3904F" w:rsidR="00D45C20" w:rsidRPr="00305215" w:rsidRDefault="0081769D" w:rsidP="008C13E7">
      <w:pPr>
        <w:spacing w:line="360" w:lineRule="auto"/>
        <w:ind w:left="993"/>
      </w:pPr>
      <w:r w:rsidRPr="0081769D">
        <w:t>Upozornění: lze předkládat pouze žádosti o podporu projednané Řídícím výborem ITI, kterému budou předloženy na základě výzvy k předkládání projektových záměrů vyhlášené nositelem ITI</w:t>
      </w:r>
      <w:r w:rsidR="007034D0" w:rsidRPr="00305215">
        <w:t xml:space="preserve">. Postup předkládání a schvalování integrovaných projektů ITI je uveden v </w:t>
      </w:r>
      <w:r w:rsidR="007034D0" w:rsidRPr="00305215">
        <w:rPr>
          <w:szCs w:val="20"/>
        </w:rPr>
        <w:t>Pravidlech pro žadatele a příjemce OP PPR, kap. 22 (viz bod 11.1. výzvy)</w:t>
      </w:r>
      <w:r w:rsidR="007034D0" w:rsidRPr="00305215">
        <w:t>.</w:t>
      </w:r>
    </w:p>
    <w:p w14:paraId="63E3ABE7" w14:textId="77777777" w:rsidR="007034D0" w:rsidRPr="00305215" w:rsidRDefault="007034D0" w:rsidP="007034D0">
      <w:pPr>
        <w:pStyle w:val="Zkladntext"/>
      </w:pPr>
    </w:p>
    <w:p w14:paraId="52D64F3B"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Časové nastavení</w:t>
      </w:r>
    </w:p>
    <w:p w14:paraId="02AA5930" w14:textId="77777777" w:rsidR="00D45C20" w:rsidRPr="00305215" w:rsidRDefault="00D45C20" w:rsidP="001F365E">
      <w:pPr>
        <w:pStyle w:val="txt"/>
        <w:numPr>
          <w:ilvl w:val="1"/>
          <w:numId w:val="2"/>
        </w:numPr>
        <w:spacing w:after="0" w:line="360" w:lineRule="auto"/>
        <w:ind w:left="993" w:hanging="631"/>
        <w:rPr>
          <w:rFonts w:cs="Arial"/>
          <w:bCs/>
          <w:sz w:val="20"/>
        </w:rPr>
      </w:pPr>
      <w:r w:rsidRPr="00305215">
        <w:rPr>
          <w:rFonts w:cs="Arial"/>
          <w:b/>
          <w:bCs/>
          <w:sz w:val="20"/>
        </w:rPr>
        <w:t>Datum vyhlášení výzvy:</w:t>
      </w:r>
      <w:r w:rsidR="00DE0D79" w:rsidRPr="00305215">
        <w:rPr>
          <w:rFonts w:cs="Arial"/>
          <w:b/>
          <w:bCs/>
          <w:sz w:val="20"/>
        </w:rPr>
        <w:t xml:space="preserve"> </w:t>
      </w:r>
      <w:r w:rsidR="00C87264" w:rsidRPr="00305215">
        <w:rPr>
          <w:rFonts w:cs="Arial"/>
          <w:bCs/>
          <w:sz w:val="20"/>
        </w:rPr>
        <w:t>31</w:t>
      </w:r>
      <w:r w:rsidR="00DE0D79" w:rsidRPr="00305215">
        <w:rPr>
          <w:rFonts w:cs="Arial"/>
          <w:bCs/>
          <w:sz w:val="20"/>
        </w:rPr>
        <w:t xml:space="preserve">. </w:t>
      </w:r>
      <w:r w:rsidR="00C87264" w:rsidRPr="00305215">
        <w:rPr>
          <w:rFonts w:cs="Arial"/>
          <w:bCs/>
          <w:sz w:val="20"/>
        </w:rPr>
        <w:t>srpna</w:t>
      </w:r>
      <w:r w:rsidR="00DE0D79" w:rsidRPr="00305215">
        <w:rPr>
          <w:rFonts w:cs="Arial"/>
          <w:bCs/>
          <w:sz w:val="20"/>
        </w:rPr>
        <w:t xml:space="preserve"> 2016</w:t>
      </w:r>
    </w:p>
    <w:p w14:paraId="5C2C363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Datum zpřístupnění žádosti o podporu v monitorovacím systému MS2014+: </w:t>
      </w:r>
      <w:r w:rsidR="00C87264" w:rsidRPr="00305215">
        <w:rPr>
          <w:rFonts w:cs="Arial"/>
          <w:bCs/>
          <w:sz w:val="20"/>
        </w:rPr>
        <w:t>31</w:t>
      </w:r>
      <w:r w:rsidR="00DE0D79" w:rsidRPr="00305215">
        <w:rPr>
          <w:rFonts w:cs="Arial"/>
          <w:bCs/>
          <w:sz w:val="20"/>
        </w:rPr>
        <w:t>.</w:t>
      </w:r>
      <w:r w:rsidR="00C87264" w:rsidRPr="00305215">
        <w:rPr>
          <w:rFonts w:cs="Arial"/>
          <w:bCs/>
          <w:sz w:val="20"/>
        </w:rPr>
        <w:t xml:space="preserve"> srpna</w:t>
      </w:r>
      <w:r w:rsidR="00DE0D79" w:rsidRPr="00305215">
        <w:rPr>
          <w:rFonts w:cs="Arial"/>
          <w:bCs/>
          <w:sz w:val="20"/>
        </w:rPr>
        <w:t xml:space="preserve"> 2016,</w:t>
      </w:r>
      <w:r w:rsidR="00DE0D79" w:rsidRPr="00305215">
        <w:rPr>
          <w:rFonts w:cs="Arial"/>
          <w:b/>
          <w:bCs/>
          <w:sz w:val="20"/>
        </w:rPr>
        <w:t xml:space="preserve"> </w:t>
      </w:r>
      <w:r w:rsidR="00DE0D79" w:rsidRPr="00305215">
        <w:rPr>
          <w:rFonts w:cs="Arial"/>
          <w:color w:val="00000A"/>
          <w:sz w:val="20"/>
          <w:szCs w:val="20"/>
        </w:rPr>
        <w:t>9:00:00 hod</w:t>
      </w:r>
    </w:p>
    <w:p w14:paraId="2729BE05"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Datum zahájení příjmu žádostí o podporu: </w:t>
      </w:r>
      <w:r w:rsidR="00F22F16" w:rsidRPr="00305215">
        <w:rPr>
          <w:rFonts w:cs="Arial"/>
          <w:bCs/>
          <w:sz w:val="20"/>
        </w:rPr>
        <w:t>3</w:t>
      </w:r>
      <w:r w:rsidR="00DE0D79" w:rsidRPr="00305215">
        <w:rPr>
          <w:rFonts w:cs="Arial"/>
          <w:bCs/>
          <w:sz w:val="20"/>
        </w:rPr>
        <w:t xml:space="preserve">. </w:t>
      </w:r>
      <w:r w:rsidR="00F22F16" w:rsidRPr="00305215">
        <w:rPr>
          <w:rFonts w:cs="Arial"/>
          <w:bCs/>
          <w:sz w:val="20"/>
        </w:rPr>
        <w:t>října</w:t>
      </w:r>
      <w:r w:rsidR="00DE0D79" w:rsidRPr="00305215">
        <w:rPr>
          <w:rFonts w:cs="Arial"/>
          <w:bCs/>
          <w:sz w:val="20"/>
        </w:rPr>
        <w:t xml:space="preserve"> 2016</w:t>
      </w:r>
    </w:p>
    <w:p w14:paraId="076B99F7" w14:textId="5DA7F64E"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Datum ukončení příjmu žádostí o podporu:</w:t>
      </w:r>
      <w:r w:rsidR="00DE0D79" w:rsidRPr="00305215">
        <w:rPr>
          <w:rFonts w:cs="Arial"/>
          <w:b/>
          <w:bCs/>
          <w:sz w:val="20"/>
        </w:rPr>
        <w:t xml:space="preserve"> </w:t>
      </w:r>
      <w:r w:rsidR="000202C6">
        <w:rPr>
          <w:rFonts w:cs="Arial"/>
          <w:bCs/>
          <w:sz w:val="20"/>
        </w:rPr>
        <w:t>30</w:t>
      </w:r>
      <w:bookmarkStart w:id="0" w:name="_GoBack"/>
      <w:bookmarkEnd w:id="0"/>
      <w:r w:rsidR="006F43F9">
        <w:rPr>
          <w:rFonts w:cs="Arial"/>
          <w:bCs/>
          <w:sz w:val="20"/>
        </w:rPr>
        <w:t>. března 2018</w:t>
      </w:r>
      <w:r w:rsidR="00D04815" w:rsidRPr="00305215">
        <w:rPr>
          <w:rFonts w:cs="Arial"/>
          <w:bCs/>
          <w:sz w:val="20"/>
        </w:rPr>
        <w:t>,</w:t>
      </w:r>
      <w:r w:rsidR="00E5771B" w:rsidRPr="00305215">
        <w:rPr>
          <w:rFonts w:cs="Arial"/>
          <w:bCs/>
          <w:sz w:val="20"/>
        </w:rPr>
        <w:t xml:space="preserve"> </w:t>
      </w:r>
      <w:r w:rsidR="00E5771B" w:rsidRPr="00305215">
        <w:rPr>
          <w:rFonts w:cs="Arial"/>
          <w:color w:val="00000A"/>
          <w:sz w:val="20"/>
          <w:szCs w:val="20"/>
        </w:rPr>
        <w:t>16:00:00 hod</w:t>
      </w:r>
    </w:p>
    <w:p w14:paraId="45FE4B88"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Maximální doba realizace, na kterou je žadatel oprávněn projekt naplánovat:</w:t>
      </w:r>
      <w:r w:rsidR="00DE0D79" w:rsidRPr="00305215">
        <w:rPr>
          <w:rFonts w:cs="Arial"/>
          <w:b/>
          <w:bCs/>
          <w:sz w:val="20"/>
        </w:rPr>
        <w:t xml:space="preserve"> </w:t>
      </w:r>
      <w:r w:rsidR="00DE0D79" w:rsidRPr="00305215">
        <w:rPr>
          <w:rFonts w:cs="Arial"/>
          <w:bCs/>
          <w:sz w:val="20"/>
        </w:rPr>
        <w:t>30 měsíců</w:t>
      </w:r>
    </w:p>
    <w:p w14:paraId="47A48017" w14:textId="0A9466BF" w:rsidR="003D4A2E" w:rsidRPr="00305215" w:rsidRDefault="00D45C20" w:rsidP="003D4A2E">
      <w:pPr>
        <w:pStyle w:val="txt"/>
        <w:numPr>
          <w:ilvl w:val="1"/>
          <w:numId w:val="2"/>
        </w:numPr>
        <w:spacing w:after="0" w:line="360" w:lineRule="auto"/>
        <w:ind w:left="993" w:hanging="631"/>
        <w:rPr>
          <w:rFonts w:cs="Arial"/>
          <w:b/>
          <w:bCs/>
          <w:sz w:val="20"/>
        </w:rPr>
      </w:pPr>
      <w:r w:rsidRPr="00305215">
        <w:rPr>
          <w:rFonts w:cs="Arial"/>
          <w:b/>
          <w:bCs/>
          <w:sz w:val="20"/>
        </w:rPr>
        <w:t>Nejzazší datum pro ukončení fyzické realizace projektu:</w:t>
      </w:r>
      <w:r w:rsidR="00CD41C7" w:rsidRPr="00305215">
        <w:rPr>
          <w:rFonts w:cs="Arial"/>
          <w:b/>
          <w:bCs/>
          <w:sz w:val="20"/>
        </w:rPr>
        <w:t xml:space="preserve"> </w:t>
      </w:r>
      <w:r w:rsidR="00CD41C7" w:rsidRPr="00305215">
        <w:rPr>
          <w:rFonts w:cs="Arial"/>
          <w:bCs/>
          <w:sz w:val="20"/>
        </w:rPr>
        <w:t>3</w:t>
      </w:r>
      <w:r w:rsidR="00D30575" w:rsidRPr="00305215">
        <w:rPr>
          <w:rFonts w:cs="Arial"/>
          <w:bCs/>
          <w:sz w:val="20"/>
        </w:rPr>
        <w:t xml:space="preserve">1. </w:t>
      </w:r>
      <w:r w:rsidR="006F43F9">
        <w:rPr>
          <w:rFonts w:cs="Arial"/>
          <w:bCs/>
          <w:sz w:val="20"/>
        </w:rPr>
        <w:t>května 2021</w:t>
      </w:r>
    </w:p>
    <w:p w14:paraId="0CD2CA79" w14:textId="06D139E0" w:rsidR="00D45C20" w:rsidRPr="00305215" w:rsidRDefault="00D45C20" w:rsidP="003D4A2E">
      <w:pPr>
        <w:pStyle w:val="txt"/>
        <w:numPr>
          <w:ilvl w:val="1"/>
          <w:numId w:val="2"/>
        </w:numPr>
        <w:spacing w:after="0" w:line="360" w:lineRule="auto"/>
        <w:ind w:left="993" w:hanging="631"/>
        <w:rPr>
          <w:rFonts w:cs="Arial"/>
          <w:b/>
          <w:bCs/>
          <w:sz w:val="18"/>
        </w:rPr>
      </w:pPr>
      <w:r w:rsidRPr="00305215">
        <w:rPr>
          <w:rFonts w:cs="Arial"/>
          <w:b/>
          <w:bCs/>
          <w:sz w:val="20"/>
          <w:szCs w:val="22"/>
        </w:rPr>
        <w:t xml:space="preserve">Předpokládané vyhlášení výsledků výzvy: </w:t>
      </w:r>
      <w:r w:rsidR="00D04815" w:rsidRPr="00305215">
        <w:rPr>
          <w:rFonts w:cs="Arial"/>
          <w:sz w:val="20"/>
          <w:szCs w:val="22"/>
        </w:rPr>
        <w:t>Průběžně, dl</w:t>
      </w:r>
      <w:r w:rsidR="00E74FD5" w:rsidRPr="00305215">
        <w:rPr>
          <w:rFonts w:cs="Arial"/>
          <w:sz w:val="20"/>
          <w:szCs w:val="22"/>
        </w:rPr>
        <w:t>e pořadí předložených žádostí o </w:t>
      </w:r>
      <w:r w:rsidR="00D04815" w:rsidRPr="00305215">
        <w:rPr>
          <w:rFonts w:cs="Arial"/>
          <w:sz w:val="20"/>
          <w:szCs w:val="22"/>
        </w:rPr>
        <w:t>podporu, nejpozději v</w:t>
      </w:r>
      <w:r w:rsidR="007208ED" w:rsidRPr="00305215">
        <w:rPr>
          <w:rFonts w:cs="Arial"/>
          <w:sz w:val="20"/>
          <w:szCs w:val="22"/>
        </w:rPr>
        <w:t> </w:t>
      </w:r>
      <w:r w:rsidR="006F43F9">
        <w:rPr>
          <w:rFonts w:cs="Arial"/>
          <w:sz w:val="20"/>
          <w:szCs w:val="22"/>
        </w:rPr>
        <w:t>září</w:t>
      </w:r>
      <w:r w:rsidR="007208ED" w:rsidRPr="00305215">
        <w:rPr>
          <w:rFonts w:cs="Arial"/>
          <w:sz w:val="20"/>
          <w:szCs w:val="22"/>
        </w:rPr>
        <w:t xml:space="preserve"> 201</w:t>
      </w:r>
      <w:r w:rsidR="00962D17" w:rsidRPr="00305215">
        <w:rPr>
          <w:rFonts w:cs="Arial"/>
          <w:sz w:val="20"/>
          <w:szCs w:val="22"/>
        </w:rPr>
        <w:t>8</w:t>
      </w:r>
      <w:r w:rsidR="00D04815" w:rsidRPr="00305215">
        <w:rPr>
          <w:rFonts w:cs="Arial"/>
          <w:sz w:val="20"/>
          <w:szCs w:val="22"/>
        </w:rPr>
        <w:t xml:space="preserve">. </w:t>
      </w:r>
      <w:r w:rsidRPr="00305215">
        <w:rPr>
          <w:rFonts w:cs="Arial"/>
          <w:sz w:val="20"/>
          <w:szCs w:val="22"/>
        </w:rPr>
        <w:t xml:space="preserve">Předpoklad vyhlášení další výzvy: </w:t>
      </w:r>
      <w:r w:rsidR="006F43F9">
        <w:rPr>
          <w:rFonts w:cs="Arial"/>
          <w:sz w:val="20"/>
          <w:szCs w:val="22"/>
        </w:rPr>
        <w:t>duben 2018</w:t>
      </w:r>
      <w:r w:rsidR="00E5771B" w:rsidRPr="00305215">
        <w:rPr>
          <w:rFonts w:cs="Arial"/>
          <w:sz w:val="20"/>
          <w:szCs w:val="22"/>
        </w:rPr>
        <w:t>.</w:t>
      </w:r>
    </w:p>
    <w:p w14:paraId="0DAE4ED0" w14:textId="77777777" w:rsidR="00D45C20" w:rsidRPr="00305215" w:rsidRDefault="00D45C20" w:rsidP="00606D38">
      <w:pPr>
        <w:spacing w:line="360" w:lineRule="auto"/>
        <w:rPr>
          <w:rFonts w:cs="Arial"/>
          <w:b/>
          <w:bCs/>
          <w:sz w:val="18"/>
        </w:rPr>
      </w:pPr>
    </w:p>
    <w:p w14:paraId="731246A5"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Informace o formě podpory</w:t>
      </w:r>
    </w:p>
    <w:p w14:paraId="1F2D13EA"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Alokace výzvy: </w:t>
      </w:r>
      <w:r w:rsidR="00585B80" w:rsidRPr="00305215">
        <w:rPr>
          <w:rFonts w:cs="Arial"/>
          <w:bCs/>
          <w:sz w:val="20"/>
        </w:rPr>
        <w:t>6</w:t>
      </w:r>
      <w:r w:rsidR="00D04815" w:rsidRPr="00305215">
        <w:rPr>
          <w:rFonts w:cs="Arial"/>
          <w:bCs/>
          <w:sz w:val="20"/>
        </w:rPr>
        <w:t>00</w:t>
      </w:r>
      <w:r w:rsidR="00606D38" w:rsidRPr="00305215">
        <w:rPr>
          <w:rFonts w:cs="Arial"/>
          <w:bCs/>
          <w:sz w:val="20"/>
        </w:rPr>
        <w:t> 000 000 Kč</w:t>
      </w:r>
    </w:p>
    <w:p w14:paraId="1F61C81C" w14:textId="77777777" w:rsidR="009E39FF" w:rsidRPr="00305215" w:rsidRDefault="009E39FF" w:rsidP="00CC15C6">
      <w:pPr>
        <w:pStyle w:val="txt"/>
        <w:spacing w:after="0" w:line="360" w:lineRule="auto"/>
        <w:ind w:firstLine="0"/>
        <w:rPr>
          <w:rFonts w:cs="Arial"/>
          <w:bCs/>
          <w:sz w:val="20"/>
        </w:rPr>
      </w:pPr>
      <w:r w:rsidRPr="00305215">
        <w:rPr>
          <w:rFonts w:cs="Arial"/>
          <w:b/>
          <w:bCs/>
          <w:sz w:val="20"/>
        </w:rPr>
        <w:lastRenderedPageBreak/>
        <w:t>Upřesnění zdrojů financování rozhodné alokace výzvy:</w:t>
      </w:r>
      <w:r w:rsidR="00585B80" w:rsidRPr="00305215">
        <w:rPr>
          <w:rFonts w:cs="Arial"/>
          <w:b/>
          <w:bCs/>
          <w:sz w:val="20"/>
        </w:rPr>
        <w:t xml:space="preserve"> </w:t>
      </w:r>
      <w:r w:rsidRPr="00305215">
        <w:rPr>
          <w:rFonts w:cs="Arial"/>
          <w:bCs/>
          <w:sz w:val="20"/>
        </w:rPr>
        <w:t>Výběr projektů bude probíhat s využitím částek celkových způsobilých výdajů (tj. v</w:t>
      </w:r>
      <w:r w:rsidR="008A211E" w:rsidRPr="00305215">
        <w:rPr>
          <w:rFonts w:cs="Arial"/>
          <w:bCs/>
          <w:sz w:val="20"/>
        </w:rPr>
        <w:t>četně vlastních zdrojů žadatel</w:t>
      </w:r>
      <w:r w:rsidR="00E7029D" w:rsidRPr="00305215">
        <w:rPr>
          <w:rFonts w:cs="Arial"/>
          <w:bCs/>
          <w:sz w:val="20"/>
        </w:rPr>
        <w:t>e</w:t>
      </w:r>
      <w:r w:rsidR="008A211E" w:rsidRPr="00305215">
        <w:rPr>
          <w:rFonts w:cs="Arial"/>
          <w:bCs/>
          <w:sz w:val="20"/>
        </w:rPr>
        <w:t>).</w:t>
      </w:r>
    </w:p>
    <w:p w14:paraId="7FB4BF77" w14:textId="77777777" w:rsidR="008A211E" w:rsidRPr="00305215" w:rsidRDefault="008A211E" w:rsidP="00585B80">
      <w:pPr>
        <w:pStyle w:val="Default"/>
        <w:spacing w:after="120"/>
        <w:jc w:val="both"/>
        <w:rPr>
          <w:color w:val="00000A"/>
          <w:sz w:val="20"/>
          <w:szCs w:val="20"/>
        </w:rPr>
      </w:pPr>
    </w:p>
    <w:p w14:paraId="5422227A" w14:textId="77777777" w:rsidR="00585B80" w:rsidRPr="00305215" w:rsidRDefault="00585B80" w:rsidP="008A211E">
      <w:pPr>
        <w:pStyle w:val="Default"/>
        <w:spacing w:after="120" w:line="360" w:lineRule="auto"/>
        <w:jc w:val="both"/>
        <w:rPr>
          <w:b/>
          <w:bCs/>
          <w:color w:val="00000A"/>
          <w:sz w:val="20"/>
          <w:szCs w:val="20"/>
        </w:rPr>
      </w:pPr>
      <w:r w:rsidRPr="00305215">
        <w:rPr>
          <w:color w:val="00000A"/>
          <w:sz w:val="20"/>
          <w:szCs w:val="20"/>
        </w:rPr>
        <w:t xml:space="preserve">Podporované aktivity jsou rozděleny do dvou skupin aktivit: </w:t>
      </w:r>
      <w:r w:rsidRPr="00305215">
        <w:rPr>
          <w:b/>
          <w:color w:val="00000A"/>
          <w:sz w:val="20"/>
          <w:szCs w:val="20"/>
        </w:rPr>
        <w:t xml:space="preserve">skupina aktivit A Realizace záchytných parkovišť systému P+R </w:t>
      </w:r>
      <w:r w:rsidRPr="00305215">
        <w:rPr>
          <w:color w:val="00000A"/>
          <w:sz w:val="20"/>
          <w:szCs w:val="20"/>
        </w:rPr>
        <w:t>a</w:t>
      </w:r>
      <w:r w:rsidRPr="00305215">
        <w:rPr>
          <w:b/>
          <w:color w:val="00000A"/>
          <w:sz w:val="20"/>
          <w:szCs w:val="20"/>
        </w:rPr>
        <w:t xml:space="preserve"> skupina aktivit B Opatření pro preferenci povrchové městské veřejné dopravy v uličním provozu </w:t>
      </w:r>
      <w:r w:rsidRPr="00305215">
        <w:rPr>
          <w:color w:val="00000A"/>
          <w:sz w:val="20"/>
          <w:szCs w:val="20"/>
        </w:rPr>
        <w:t xml:space="preserve">(viz část 4.1. této výzvy). Celková alokace výzvy je rozdělena na dvě dílčí alokace mezi tyto dvě skupiny aktivit. </w:t>
      </w:r>
    </w:p>
    <w:p w14:paraId="3C91920A" w14:textId="492AB42A" w:rsidR="00585B80" w:rsidRPr="00305215" w:rsidRDefault="00585B80" w:rsidP="008A211E">
      <w:pPr>
        <w:pStyle w:val="Default"/>
        <w:spacing w:line="360" w:lineRule="auto"/>
        <w:jc w:val="both"/>
        <w:rPr>
          <w:color w:val="00000A"/>
          <w:sz w:val="20"/>
          <w:szCs w:val="20"/>
        </w:rPr>
      </w:pPr>
      <w:r w:rsidRPr="00305215">
        <w:rPr>
          <w:b/>
          <w:bCs/>
          <w:color w:val="00000A"/>
          <w:sz w:val="20"/>
          <w:szCs w:val="20"/>
        </w:rPr>
        <w:t xml:space="preserve">Alokace pro skupinu aktivit A: </w:t>
      </w:r>
      <w:r w:rsidR="00755F1E" w:rsidRPr="00305215">
        <w:rPr>
          <w:color w:val="00000A"/>
          <w:sz w:val="20"/>
          <w:szCs w:val="20"/>
        </w:rPr>
        <w:t>400 </w:t>
      </w:r>
      <w:r w:rsidRPr="00305215">
        <w:rPr>
          <w:color w:val="00000A"/>
          <w:sz w:val="20"/>
          <w:szCs w:val="20"/>
        </w:rPr>
        <w:t xml:space="preserve">000 000 Kč </w:t>
      </w:r>
    </w:p>
    <w:p w14:paraId="379C5CCE" w14:textId="10D6D443" w:rsidR="00585B80" w:rsidRPr="00305215" w:rsidRDefault="00585B80" w:rsidP="008A211E">
      <w:pPr>
        <w:pStyle w:val="Default"/>
        <w:spacing w:line="360" w:lineRule="auto"/>
        <w:jc w:val="both"/>
        <w:rPr>
          <w:color w:val="00000A"/>
          <w:sz w:val="20"/>
          <w:szCs w:val="20"/>
        </w:rPr>
      </w:pPr>
      <w:r w:rsidRPr="00305215">
        <w:rPr>
          <w:b/>
          <w:bCs/>
          <w:color w:val="00000A"/>
          <w:sz w:val="20"/>
          <w:szCs w:val="20"/>
        </w:rPr>
        <w:t xml:space="preserve">Alokace pro skupinu aktivit B: </w:t>
      </w:r>
      <w:r w:rsidR="00755F1E" w:rsidRPr="00305215">
        <w:rPr>
          <w:color w:val="00000A"/>
          <w:sz w:val="20"/>
          <w:szCs w:val="20"/>
        </w:rPr>
        <w:t>20</w:t>
      </w:r>
      <w:r w:rsidRPr="00305215">
        <w:rPr>
          <w:color w:val="00000A"/>
          <w:sz w:val="20"/>
          <w:szCs w:val="20"/>
        </w:rPr>
        <w:t>0 000 000 Kč</w:t>
      </w:r>
    </w:p>
    <w:p w14:paraId="04A11625" w14:textId="77777777" w:rsidR="00585B80" w:rsidRPr="00305215" w:rsidRDefault="00585B80" w:rsidP="00585B80">
      <w:pPr>
        <w:pStyle w:val="Default"/>
        <w:jc w:val="both"/>
        <w:rPr>
          <w:color w:val="00000A"/>
          <w:sz w:val="20"/>
          <w:szCs w:val="20"/>
        </w:rPr>
      </w:pPr>
    </w:p>
    <w:p w14:paraId="32DB2B9C" w14:textId="77777777" w:rsidR="00D45C20" w:rsidRPr="00305215" w:rsidRDefault="00606D38" w:rsidP="001F365E">
      <w:pPr>
        <w:pStyle w:val="txt"/>
        <w:numPr>
          <w:ilvl w:val="1"/>
          <w:numId w:val="2"/>
        </w:numPr>
        <w:spacing w:after="0" w:line="360" w:lineRule="auto"/>
        <w:ind w:left="993" w:hanging="631"/>
        <w:rPr>
          <w:rFonts w:cs="Arial"/>
          <w:b/>
          <w:bCs/>
          <w:sz w:val="20"/>
        </w:rPr>
      </w:pPr>
      <w:r w:rsidRPr="00305215">
        <w:rPr>
          <w:rFonts w:cs="Arial"/>
          <w:b/>
          <w:bCs/>
          <w:sz w:val="20"/>
        </w:rPr>
        <w:t xml:space="preserve">Typ podporovaných operací: </w:t>
      </w:r>
      <w:r w:rsidR="00F22F16" w:rsidRPr="00305215">
        <w:rPr>
          <w:rFonts w:cs="Arial"/>
          <w:bCs/>
          <w:sz w:val="20"/>
        </w:rPr>
        <w:t>integrovaný projekt</w:t>
      </w:r>
    </w:p>
    <w:p w14:paraId="1D24D2EB"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Vymezení oprávněných žadatelů: </w:t>
      </w:r>
    </w:p>
    <w:p w14:paraId="28BC53A5" w14:textId="6260BE29" w:rsidR="008E5504" w:rsidRPr="00305215" w:rsidRDefault="008E5504" w:rsidP="008E5504">
      <w:pPr>
        <w:pStyle w:val="Default"/>
        <w:spacing w:after="120"/>
        <w:jc w:val="both"/>
        <w:rPr>
          <w:color w:val="00000A"/>
          <w:sz w:val="20"/>
          <w:szCs w:val="20"/>
        </w:rPr>
      </w:pPr>
      <w:r w:rsidRPr="00305215">
        <w:rPr>
          <w:color w:val="00000A"/>
          <w:sz w:val="20"/>
          <w:szCs w:val="20"/>
        </w:rPr>
        <w:t xml:space="preserve">Výzva je určena pouze pro žadatele, kteří mají svůj projektový záměr zkonzultován s Řídicím výborem ITI Pražské metropolitní oblasti. </w:t>
      </w:r>
    </w:p>
    <w:p w14:paraId="5BE1A559" w14:textId="77777777" w:rsidR="00D30575" w:rsidRPr="00305215" w:rsidRDefault="00D30575" w:rsidP="00D30575">
      <w:pPr>
        <w:pStyle w:val="txt"/>
        <w:numPr>
          <w:ilvl w:val="0"/>
          <w:numId w:val="7"/>
        </w:numPr>
        <w:spacing w:line="276" w:lineRule="auto"/>
        <w:rPr>
          <w:rFonts w:cs="Arial"/>
          <w:bCs/>
          <w:sz w:val="20"/>
          <w:szCs w:val="20"/>
        </w:rPr>
      </w:pPr>
      <w:r w:rsidRPr="00305215">
        <w:rPr>
          <w:rFonts w:cs="Arial"/>
          <w:bCs/>
          <w:sz w:val="20"/>
          <w:szCs w:val="20"/>
        </w:rPr>
        <w:t>Hlavní město Praha</w:t>
      </w:r>
    </w:p>
    <w:p w14:paraId="7A914150" w14:textId="77777777" w:rsidR="00D30575" w:rsidRPr="00305215" w:rsidRDefault="00D30575" w:rsidP="00D30575">
      <w:pPr>
        <w:pStyle w:val="txt"/>
        <w:numPr>
          <w:ilvl w:val="0"/>
          <w:numId w:val="7"/>
        </w:numPr>
        <w:spacing w:line="276" w:lineRule="auto"/>
        <w:rPr>
          <w:rFonts w:cs="Arial"/>
          <w:bCs/>
          <w:sz w:val="20"/>
          <w:szCs w:val="20"/>
        </w:rPr>
      </w:pPr>
      <w:r w:rsidRPr="00305215">
        <w:rPr>
          <w:rFonts w:cs="Arial"/>
          <w:bCs/>
          <w:sz w:val="20"/>
          <w:szCs w:val="20"/>
        </w:rPr>
        <w:t>Městské části hl. m. Prahy</w:t>
      </w:r>
    </w:p>
    <w:p w14:paraId="31838F2D" w14:textId="77777777" w:rsidR="00A72F54" w:rsidRPr="00305215" w:rsidRDefault="00A72F54" w:rsidP="00A72F54">
      <w:pPr>
        <w:pStyle w:val="txt"/>
        <w:numPr>
          <w:ilvl w:val="0"/>
          <w:numId w:val="7"/>
        </w:numPr>
        <w:spacing w:line="276" w:lineRule="auto"/>
        <w:rPr>
          <w:rFonts w:cs="Arial"/>
          <w:bCs/>
          <w:sz w:val="20"/>
          <w:szCs w:val="20"/>
        </w:rPr>
      </w:pPr>
      <w:r w:rsidRPr="00305215">
        <w:rPr>
          <w:rFonts w:cs="Arial"/>
          <w:bCs/>
          <w:sz w:val="20"/>
          <w:szCs w:val="20"/>
        </w:rPr>
        <w:t>Organizace zřízené a založené hl. m. Prahou a městskými částmi hl. m. Prahy</w:t>
      </w:r>
    </w:p>
    <w:p w14:paraId="1F188798" w14:textId="77777777" w:rsidR="00A72F54" w:rsidRPr="00305215" w:rsidRDefault="008E5504" w:rsidP="008E5504">
      <w:pPr>
        <w:pStyle w:val="txt"/>
        <w:numPr>
          <w:ilvl w:val="0"/>
          <w:numId w:val="7"/>
        </w:numPr>
        <w:spacing w:line="276" w:lineRule="auto"/>
        <w:rPr>
          <w:rFonts w:cs="Arial"/>
          <w:bCs/>
          <w:sz w:val="20"/>
          <w:szCs w:val="20"/>
        </w:rPr>
      </w:pPr>
      <w:r w:rsidRPr="00305215">
        <w:rPr>
          <w:rFonts w:cs="Arial"/>
          <w:bCs/>
          <w:sz w:val="20"/>
          <w:szCs w:val="20"/>
        </w:rPr>
        <w:t>Dopravní podnik hl. m. Prahy, a.s.</w:t>
      </w:r>
    </w:p>
    <w:p w14:paraId="0B168852" w14:textId="77777777" w:rsidR="00D30575" w:rsidRPr="00305215" w:rsidRDefault="00D30575" w:rsidP="00D30575">
      <w:pPr>
        <w:pStyle w:val="txt"/>
        <w:numPr>
          <w:ilvl w:val="0"/>
          <w:numId w:val="7"/>
        </w:numPr>
        <w:spacing w:line="276" w:lineRule="auto"/>
        <w:rPr>
          <w:rFonts w:cs="Arial"/>
          <w:bCs/>
          <w:sz w:val="20"/>
          <w:szCs w:val="20"/>
        </w:rPr>
      </w:pPr>
      <w:r w:rsidRPr="00305215">
        <w:rPr>
          <w:rFonts w:cs="Arial"/>
          <w:bCs/>
          <w:sz w:val="20"/>
          <w:szCs w:val="20"/>
        </w:rPr>
        <w:t>Technická správa komunikací hl. m. Prahy</w:t>
      </w:r>
    </w:p>
    <w:p w14:paraId="7A786ACE" w14:textId="77777777" w:rsidR="00585B80" w:rsidRPr="00305215" w:rsidRDefault="00D30575" w:rsidP="00585B80">
      <w:pPr>
        <w:pStyle w:val="txt"/>
        <w:numPr>
          <w:ilvl w:val="0"/>
          <w:numId w:val="7"/>
        </w:numPr>
        <w:spacing w:line="276" w:lineRule="auto"/>
        <w:rPr>
          <w:rFonts w:cs="Arial"/>
          <w:bCs/>
          <w:sz w:val="20"/>
          <w:szCs w:val="20"/>
        </w:rPr>
      </w:pPr>
      <w:r w:rsidRPr="00305215">
        <w:rPr>
          <w:rFonts w:cs="Arial"/>
          <w:bCs/>
          <w:sz w:val="20"/>
          <w:szCs w:val="20"/>
        </w:rPr>
        <w:t>Správa železniční dopravní cesty</w:t>
      </w:r>
    </w:p>
    <w:p w14:paraId="78A669CD" w14:textId="77777777" w:rsidR="00585B80" w:rsidRPr="00305215" w:rsidRDefault="00585B80" w:rsidP="00585B80">
      <w:pPr>
        <w:pStyle w:val="txt"/>
        <w:numPr>
          <w:ilvl w:val="0"/>
          <w:numId w:val="7"/>
        </w:numPr>
        <w:spacing w:line="276" w:lineRule="auto"/>
        <w:rPr>
          <w:rFonts w:cs="Arial"/>
          <w:bCs/>
          <w:sz w:val="20"/>
          <w:szCs w:val="20"/>
        </w:rPr>
      </w:pPr>
      <w:r w:rsidRPr="00305215">
        <w:rPr>
          <w:rFonts w:cs="Arial"/>
          <w:bCs/>
          <w:sz w:val="20"/>
          <w:szCs w:val="20"/>
        </w:rPr>
        <w:t>ROPID / právnická osoba založená kraji a obcemi pro plnění úkolů při zřizování a organizaci integrovaných veřejných služeb v přepravě cestujících (dle zák. 194/2010 Sb. o veřejných službách v přepravě cestujících)</w:t>
      </w:r>
    </w:p>
    <w:p w14:paraId="2335DF2D" w14:textId="77777777" w:rsidR="00D45C20" w:rsidRPr="00305215" w:rsidRDefault="00D45C20" w:rsidP="008A211E">
      <w:pPr>
        <w:pStyle w:val="txt"/>
        <w:spacing w:after="0"/>
        <w:rPr>
          <w:rFonts w:cs="Arial"/>
          <w:bCs/>
          <w:sz w:val="20"/>
          <w:szCs w:val="20"/>
        </w:rPr>
      </w:pPr>
      <w:r w:rsidRPr="00305215">
        <w:rPr>
          <w:rFonts w:cs="Arial"/>
          <w:b/>
          <w:bCs/>
          <w:sz w:val="20"/>
        </w:rPr>
        <w:t xml:space="preserve">Definice jednotlivých oprávněných žadatelů: </w:t>
      </w:r>
    </w:p>
    <w:p w14:paraId="64BF8502" w14:textId="77777777" w:rsidR="00D30575" w:rsidRPr="00305215" w:rsidRDefault="00D30575" w:rsidP="008A211E">
      <w:pPr>
        <w:pStyle w:val="txt"/>
        <w:numPr>
          <w:ilvl w:val="0"/>
          <w:numId w:val="24"/>
        </w:numPr>
        <w:spacing w:after="0"/>
        <w:rPr>
          <w:rFonts w:cs="Arial"/>
          <w:b/>
          <w:bCs/>
          <w:sz w:val="20"/>
          <w:szCs w:val="20"/>
        </w:rPr>
      </w:pPr>
      <w:r w:rsidRPr="00305215">
        <w:rPr>
          <w:rFonts w:cs="Arial"/>
          <w:b/>
          <w:bCs/>
          <w:sz w:val="20"/>
          <w:szCs w:val="20"/>
        </w:rPr>
        <w:t>Hlavní město Praha</w:t>
      </w:r>
      <w:r w:rsidR="00B30B5D" w:rsidRPr="00305215">
        <w:rPr>
          <w:rFonts w:cs="Arial"/>
          <w:b/>
          <w:bCs/>
          <w:sz w:val="20"/>
          <w:szCs w:val="20"/>
        </w:rPr>
        <w:t xml:space="preserve"> </w:t>
      </w:r>
      <w:r w:rsidR="00473A86" w:rsidRPr="00305215">
        <w:rPr>
          <w:rFonts w:cs="Arial"/>
          <w:bCs/>
          <w:sz w:val="20"/>
          <w:szCs w:val="20"/>
        </w:rPr>
        <w:t>–</w:t>
      </w:r>
      <w:r w:rsidR="00B30B5D" w:rsidRPr="00305215">
        <w:rPr>
          <w:rFonts w:cs="Arial"/>
          <w:b/>
          <w:bCs/>
          <w:sz w:val="20"/>
          <w:szCs w:val="20"/>
        </w:rPr>
        <w:t xml:space="preserve"> </w:t>
      </w:r>
      <w:r w:rsidR="00B30B5D" w:rsidRPr="00305215">
        <w:rPr>
          <w:sz w:val="20"/>
          <w:szCs w:val="20"/>
        </w:rPr>
        <w:t xml:space="preserve">je veřejnoprávní korporace, která má vlastní majetek, má vlastní příjmy vymezené zákonem č. 131/2000 Sb., o hlavním městě Praze, ve znění pozdějších předpisů, nebo jiným zvláštním zákonem a hospodaří za podmínek </w:t>
      </w:r>
      <w:r w:rsidR="009E682B" w:rsidRPr="00305215">
        <w:rPr>
          <w:sz w:val="20"/>
          <w:szCs w:val="20"/>
        </w:rPr>
        <w:t>stanovených zákonem č. 131/2000 </w:t>
      </w:r>
      <w:r w:rsidR="00B30B5D" w:rsidRPr="00305215">
        <w:rPr>
          <w:sz w:val="20"/>
          <w:szCs w:val="20"/>
        </w:rPr>
        <w:t>Sb., o hlavním městě Praze, ve znění pozdějších předpisů, nebo zvláštním zákonem podle vlastního rozpočtu</w:t>
      </w:r>
      <w:r w:rsidR="00B30B5D" w:rsidRPr="00305215">
        <w:rPr>
          <w:rFonts w:cs="Arial"/>
          <w:sz w:val="20"/>
          <w:szCs w:val="20"/>
        </w:rPr>
        <w:t>.</w:t>
      </w:r>
    </w:p>
    <w:p w14:paraId="225E7864" w14:textId="77777777" w:rsidR="00A518C0" w:rsidRPr="00305215" w:rsidRDefault="00D30575" w:rsidP="008A211E">
      <w:pPr>
        <w:pStyle w:val="txt"/>
        <w:numPr>
          <w:ilvl w:val="0"/>
          <w:numId w:val="24"/>
        </w:numPr>
        <w:spacing w:after="0"/>
        <w:rPr>
          <w:rFonts w:cs="Arial"/>
          <w:b/>
          <w:bCs/>
          <w:sz w:val="20"/>
          <w:szCs w:val="20"/>
        </w:rPr>
      </w:pPr>
      <w:r w:rsidRPr="00305215">
        <w:rPr>
          <w:rFonts w:cs="Arial"/>
          <w:b/>
          <w:bCs/>
          <w:sz w:val="20"/>
          <w:szCs w:val="20"/>
        </w:rPr>
        <w:t>Městské části hl. m. Prahy</w:t>
      </w:r>
      <w:r w:rsidR="00473A86" w:rsidRPr="00305215">
        <w:rPr>
          <w:rFonts w:cs="Arial"/>
          <w:b/>
          <w:bCs/>
          <w:sz w:val="20"/>
          <w:szCs w:val="20"/>
        </w:rPr>
        <w:t xml:space="preserve"> </w:t>
      </w:r>
      <w:r w:rsidR="00473A86" w:rsidRPr="00305215">
        <w:rPr>
          <w:rFonts w:cs="Arial"/>
          <w:bCs/>
          <w:sz w:val="20"/>
          <w:szCs w:val="20"/>
        </w:rPr>
        <w:t>–</w:t>
      </w:r>
      <w:r w:rsidR="00E93A91" w:rsidRPr="00305215">
        <w:rPr>
          <w:rFonts w:cs="Arial"/>
          <w:b/>
          <w:bCs/>
          <w:sz w:val="20"/>
          <w:szCs w:val="20"/>
        </w:rPr>
        <w:t xml:space="preserve"> </w:t>
      </w:r>
      <w:r w:rsidR="00E93A91" w:rsidRPr="00305215">
        <w:rPr>
          <w:rFonts w:cs="Arial"/>
          <w:bCs/>
          <w:sz w:val="20"/>
          <w:szCs w:val="20"/>
        </w:rPr>
        <w:t>hlavní město Praha se člení na městské části. Postavení městských částí, jejich orgánů a jejich působnost stanoví zákon č. 131/2000 Sb., o hlavním městě Praze, ve znění pozdějších předpisů, zvláštní zákony a Statut hlavního města Prahy.</w:t>
      </w:r>
    </w:p>
    <w:p w14:paraId="1D3D65ED" w14:textId="77777777" w:rsidR="008E5504" w:rsidRPr="00305215" w:rsidRDefault="008E5504" w:rsidP="008A211E">
      <w:pPr>
        <w:pStyle w:val="txt"/>
        <w:numPr>
          <w:ilvl w:val="0"/>
          <w:numId w:val="24"/>
        </w:numPr>
        <w:spacing w:after="0"/>
        <w:rPr>
          <w:rFonts w:cs="Arial"/>
          <w:b/>
          <w:bCs/>
          <w:sz w:val="20"/>
          <w:szCs w:val="20"/>
        </w:rPr>
      </w:pPr>
      <w:r w:rsidRPr="00305215">
        <w:rPr>
          <w:rFonts w:cs="Arial"/>
          <w:b/>
          <w:bCs/>
          <w:sz w:val="20"/>
          <w:szCs w:val="20"/>
        </w:rPr>
        <w:t xml:space="preserve">Organizace zřízené a založené hl. m. Prahou a městskými částmi hl. m. Prahy </w:t>
      </w:r>
      <w:r w:rsidRPr="00305215">
        <w:rPr>
          <w:rFonts w:cs="Arial"/>
          <w:bCs/>
          <w:sz w:val="20"/>
          <w:szCs w:val="20"/>
        </w:rPr>
        <w:t xml:space="preserve">- </w:t>
      </w:r>
      <w:r w:rsidR="00A518C0" w:rsidRPr="00305215">
        <w:rPr>
          <w:rFonts w:cs="Arial"/>
          <w:bCs/>
          <w:sz w:val="20"/>
          <w:szCs w:val="20"/>
        </w:rPr>
        <w:t>jsou právnické osoby a organizační složky potřebné pro rozvoj hlavního města Prahy a/nebo městských částí hlavního města Prahy a pro uspokojování jejich potřeb občanů. Do samostatné působnosti hlavního města Prahy a městských částí hlavního města Prahy náleží jejich oprávnění zakládat, zřizovat a rušit tyto organizace (ve smyslu ustanovení § 16 odst. 1 a § 18 odst. 1 písm. b) zákona č. 131/2000 Sb., o hlavním městě Praze, ve znění pozdějších předpisů). Úprava postavení těchto organizací je vždy obsažena v zakladatelské listině (v zakládajícím právním jednání), na základě které tyto organizace vznikly.</w:t>
      </w:r>
    </w:p>
    <w:p w14:paraId="577C0785" w14:textId="77777777" w:rsidR="008E5504" w:rsidRPr="00305215" w:rsidRDefault="008E5504" w:rsidP="008A211E">
      <w:pPr>
        <w:pStyle w:val="txt"/>
        <w:numPr>
          <w:ilvl w:val="0"/>
          <w:numId w:val="24"/>
        </w:numPr>
        <w:spacing w:after="0"/>
        <w:rPr>
          <w:rFonts w:cs="Arial"/>
          <w:b/>
          <w:bCs/>
          <w:sz w:val="20"/>
          <w:szCs w:val="20"/>
        </w:rPr>
      </w:pPr>
      <w:r w:rsidRPr="00305215">
        <w:rPr>
          <w:rFonts w:cs="Arial"/>
          <w:b/>
          <w:bCs/>
          <w:sz w:val="20"/>
          <w:szCs w:val="20"/>
        </w:rPr>
        <w:t xml:space="preserve">Dopravní podnik hl. m. Prahy, a.s. </w:t>
      </w:r>
      <w:r w:rsidRPr="00305215">
        <w:rPr>
          <w:rFonts w:cs="Arial"/>
          <w:bCs/>
          <w:sz w:val="20"/>
          <w:szCs w:val="20"/>
        </w:rPr>
        <w:t xml:space="preserve">– patří mezi nejvýznamnější provozovatele městské hromadné dopravy na území České republiky. Stoprocentním vlastníkem akciové společnosti Dopravní podnik hl. m. Prahy, která byla založena v roce 1991, je hlavní město Praha. Hlavní činností Dopravního podniku hl. m. Prahy, a.s. je provozování městské hromadné dopravy. </w:t>
      </w:r>
    </w:p>
    <w:p w14:paraId="4C394BAA" w14:textId="77777777" w:rsidR="00BC248F" w:rsidRPr="00305215" w:rsidRDefault="00D30575" w:rsidP="008A211E">
      <w:pPr>
        <w:pStyle w:val="txt"/>
        <w:numPr>
          <w:ilvl w:val="0"/>
          <w:numId w:val="24"/>
        </w:numPr>
        <w:spacing w:after="0"/>
        <w:rPr>
          <w:rFonts w:cs="Arial"/>
          <w:b/>
          <w:bCs/>
          <w:sz w:val="20"/>
          <w:szCs w:val="20"/>
        </w:rPr>
      </w:pPr>
      <w:r w:rsidRPr="00305215">
        <w:rPr>
          <w:rFonts w:cs="Arial"/>
          <w:b/>
          <w:bCs/>
          <w:sz w:val="20"/>
          <w:szCs w:val="20"/>
        </w:rPr>
        <w:t>Technická správa komunikací hl. m. Prahy</w:t>
      </w:r>
      <w:r w:rsidR="00473A86" w:rsidRPr="00305215">
        <w:rPr>
          <w:rFonts w:cs="Arial"/>
          <w:b/>
          <w:bCs/>
          <w:sz w:val="20"/>
          <w:szCs w:val="20"/>
        </w:rPr>
        <w:t xml:space="preserve"> </w:t>
      </w:r>
      <w:r w:rsidR="00473A86" w:rsidRPr="00305215">
        <w:rPr>
          <w:rFonts w:cs="Arial"/>
          <w:bCs/>
          <w:sz w:val="20"/>
          <w:szCs w:val="20"/>
        </w:rPr>
        <w:t>–</w:t>
      </w:r>
      <w:r w:rsidR="00B30B5D" w:rsidRPr="00305215">
        <w:rPr>
          <w:rFonts w:cs="Arial"/>
          <w:b/>
          <w:bCs/>
          <w:sz w:val="20"/>
          <w:szCs w:val="20"/>
        </w:rPr>
        <w:t xml:space="preserve"> </w:t>
      </w:r>
      <w:r w:rsidR="00B30B5D" w:rsidRPr="00305215">
        <w:rPr>
          <w:rFonts w:cs="Arial"/>
          <w:bCs/>
          <w:sz w:val="20"/>
          <w:szCs w:val="20"/>
        </w:rPr>
        <w:t>Technická s</w:t>
      </w:r>
      <w:r w:rsidR="00E3361F" w:rsidRPr="00305215">
        <w:rPr>
          <w:rFonts w:cs="Arial"/>
          <w:bCs/>
          <w:sz w:val="20"/>
          <w:szCs w:val="20"/>
        </w:rPr>
        <w:t>práva komunikací byla zřízena k </w:t>
      </w:r>
      <w:r w:rsidR="00B30B5D" w:rsidRPr="00305215">
        <w:rPr>
          <w:rFonts w:cs="Arial"/>
          <w:bCs/>
          <w:sz w:val="20"/>
          <w:szCs w:val="20"/>
        </w:rPr>
        <w:t>1.</w:t>
      </w:r>
      <w:r w:rsidR="001752C6" w:rsidRPr="00305215">
        <w:rPr>
          <w:rFonts w:cs="Arial"/>
          <w:bCs/>
          <w:sz w:val="20"/>
          <w:szCs w:val="20"/>
        </w:rPr>
        <w:t> </w:t>
      </w:r>
      <w:r w:rsidR="00B30B5D" w:rsidRPr="00305215">
        <w:rPr>
          <w:rFonts w:cs="Arial"/>
          <w:bCs/>
          <w:sz w:val="20"/>
          <w:szCs w:val="20"/>
        </w:rPr>
        <w:t>7.</w:t>
      </w:r>
      <w:r w:rsidR="00473A86" w:rsidRPr="00305215">
        <w:rPr>
          <w:rFonts w:cs="Arial"/>
          <w:bCs/>
          <w:sz w:val="20"/>
          <w:szCs w:val="20"/>
        </w:rPr>
        <w:t> </w:t>
      </w:r>
      <w:r w:rsidR="00B30B5D" w:rsidRPr="00305215">
        <w:rPr>
          <w:rFonts w:cs="Arial"/>
          <w:bCs/>
          <w:sz w:val="20"/>
          <w:szCs w:val="20"/>
        </w:rPr>
        <w:t xml:space="preserve">1967 a jako příspěvková organizace začala fungovat od roku 1996. Tato organizace má za úkol spravovat veškerý komunikační majetek hlavního města Prahy. Dne 19. června 2014 byla </w:t>
      </w:r>
      <w:r w:rsidR="00B30B5D" w:rsidRPr="00305215">
        <w:rPr>
          <w:rFonts w:cs="Arial"/>
          <w:bCs/>
          <w:sz w:val="20"/>
          <w:szCs w:val="20"/>
        </w:rPr>
        <w:lastRenderedPageBreak/>
        <w:t>založena společnost Technická správa komunikací hl. m. Prahy, a. s. přijetím Stanov společnosti jediným zakladatelem, Hlavním městem Prahou, usnesením č. 40/19 Zastupitelstva hl. m. Prahy, a to v souladu s ustanovením § 8 a § 250 záko</w:t>
      </w:r>
      <w:r w:rsidR="00775F2E" w:rsidRPr="00305215">
        <w:rPr>
          <w:rFonts w:cs="Arial"/>
          <w:bCs/>
          <w:sz w:val="20"/>
          <w:szCs w:val="20"/>
        </w:rPr>
        <w:t>na o obchodních korporacích a § </w:t>
      </w:r>
      <w:r w:rsidR="00B30B5D" w:rsidRPr="00305215">
        <w:rPr>
          <w:rFonts w:cs="Arial"/>
          <w:bCs/>
          <w:sz w:val="20"/>
          <w:szCs w:val="20"/>
        </w:rPr>
        <w:t>59 zákona o Hlavním městě Praze. Dne 30. září 2014 byla akciová společnost Technická správa komunikací hlavního města Prahy zapsána do obchodního rejstříku.</w:t>
      </w:r>
    </w:p>
    <w:p w14:paraId="4D188423" w14:textId="77777777" w:rsidR="00E85062" w:rsidRPr="00305215" w:rsidRDefault="00E85062" w:rsidP="008A211E">
      <w:pPr>
        <w:pStyle w:val="txt"/>
        <w:numPr>
          <w:ilvl w:val="0"/>
          <w:numId w:val="24"/>
        </w:numPr>
        <w:spacing w:after="0"/>
        <w:rPr>
          <w:rFonts w:cs="Arial"/>
          <w:b/>
          <w:bCs/>
          <w:sz w:val="20"/>
          <w:szCs w:val="20"/>
        </w:rPr>
      </w:pPr>
      <w:r w:rsidRPr="00305215">
        <w:rPr>
          <w:rFonts w:cs="Arial"/>
          <w:b/>
          <w:bCs/>
          <w:sz w:val="20"/>
          <w:szCs w:val="20"/>
        </w:rPr>
        <w:t>Správa železniční dopravní cesty</w:t>
      </w:r>
      <w:r w:rsidRPr="00305215">
        <w:rPr>
          <w:rFonts w:cs="Arial"/>
          <w:bCs/>
          <w:sz w:val="20"/>
          <w:szCs w:val="20"/>
        </w:rPr>
        <w:t xml:space="preserve"> – je státní organizace, která hospodaří s železničními dráhami v majetku státu a plní funkci </w:t>
      </w:r>
      <w:hyperlink r:id="rId8" w:tooltip="Vlastník dráhy" w:history="1">
        <w:r w:rsidRPr="00305215">
          <w:rPr>
            <w:rFonts w:cs="Arial"/>
            <w:bCs/>
            <w:sz w:val="20"/>
            <w:szCs w:val="20"/>
          </w:rPr>
          <w:t>vlastníka</w:t>
        </w:r>
      </w:hyperlink>
      <w:r w:rsidRPr="00305215">
        <w:rPr>
          <w:rFonts w:cs="Arial"/>
          <w:bCs/>
          <w:sz w:val="20"/>
          <w:szCs w:val="20"/>
        </w:rPr>
        <w:t> a </w:t>
      </w:r>
      <w:hyperlink r:id="rId9" w:tooltip="Provozovatel dráhy" w:history="1">
        <w:r w:rsidRPr="00305215">
          <w:rPr>
            <w:rFonts w:cs="Arial"/>
            <w:bCs/>
            <w:sz w:val="20"/>
            <w:szCs w:val="20"/>
          </w:rPr>
          <w:t>provozovatele dráhy</w:t>
        </w:r>
      </w:hyperlink>
      <w:r w:rsidRPr="00305215">
        <w:rPr>
          <w:rFonts w:cs="Arial"/>
          <w:bCs/>
          <w:sz w:val="20"/>
          <w:szCs w:val="20"/>
        </w:rPr>
        <w:t> ve smyslu zákona o dráhách, zajišťuje provozování, provozuschopnost, modernizaci a rozvoj železniční dopravní cesty. Také přiděluje kapacitu dopravní cesty na </w:t>
      </w:r>
      <w:hyperlink r:id="rId10" w:tooltip="Celostátní dráha" w:history="1">
        <w:r w:rsidRPr="00305215">
          <w:rPr>
            <w:rFonts w:cs="Arial"/>
            <w:bCs/>
            <w:sz w:val="20"/>
            <w:szCs w:val="20"/>
          </w:rPr>
          <w:t>celostátní dráze</w:t>
        </w:r>
      </w:hyperlink>
      <w:r w:rsidRPr="00305215">
        <w:rPr>
          <w:rFonts w:cs="Arial"/>
          <w:bCs/>
          <w:sz w:val="20"/>
          <w:szCs w:val="20"/>
        </w:rPr>
        <w:t> a na </w:t>
      </w:r>
      <w:hyperlink r:id="rId11" w:tooltip="Regionální dráha" w:history="1">
        <w:r w:rsidRPr="00305215">
          <w:rPr>
            <w:rFonts w:cs="Arial"/>
            <w:bCs/>
            <w:sz w:val="20"/>
            <w:szCs w:val="20"/>
          </w:rPr>
          <w:t>regionálních drahách</w:t>
        </w:r>
      </w:hyperlink>
      <w:r w:rsidRPr="00305215">
        <w:rPr>
          <w:rFonts w:cs="Arial"/>
          <w:bCs/>
          <w:sz w:val="20"/>
          <w:szCs w:val="20"/>
        </w:rPr>
        <w:t xml:space="preserve"> ve vlastnictví </w:t>
      </w:r>
      <w:hyperlink r:id="rId12" w:tooltip="Česko" w:history="1">
        <w:r w:rsidRPr="00305215">
          <w:rPr>
            <w:rFonts w:cs="Arial"/>
            <w:bCs/>
            <w:sz w:val="20"/>
            <w:szCs w:val="20"/>
          </w:rPr>
          <w:t>České republiky</w:t>
        </w:r>
      </w:hyperlink>
      <w:r w:rsidRPr="00305215">
        <w:rPr>
          <w:rFonts w:cs="Arial"/>
          <w:bCs/>
          <w:sz w:val="20"/>
          <w:szCs w:val="20"/>
        </w:rPr>
        <w:t xml:space="preserve">. </w:t>
      </w:r>
    </w:p>
    <w:p w14:paraId="40920237" w14:textId="2F4BF09A" w:rsidR="008E5504" w:rsidRPr="0062220D" w:rsidRDefault="008E5504" w:rsidP="0062220D">
      <w:pPr>
        <w:pStyle w:val="txt"/>
        <w:numPr>
          <w:ilvl w:val="0"/>
          <w:numId w:val="24"/>
        </w:numPr>
        <w:spacing w:after="0"/>
        <w:rPr>
          <w:rFonts w:cs="Arial"/>
          <w:bCs/>
          <w:sz w:val="20"/>
          <w:szCs w:val="20"/>
        </w:rPr>
      </w:pPr>
      <w:r w:rsidRPr="00305215">
        <w:rPr>
          <w:rFonts w:cs="Arial"/>
          <w:b/>
          <w:bCs/>
          <w:sz w:val="20"/>
          <w:szCs w:val="20"/>
        </w:rPr>
        <w:t xml:space="preserve">ROPID / právnická osoba založená kraji a obcemi pro plnění úkolů při zřizování a organizaci integrovaných veřejných služeb v přepravě cestujících (dle zák. 194/2010 Sb. o veřejných službách v přepravě cestujících) </w:t>
      </w:r>
      <w:r w:rsidRPr="00305215">
        <w:rPr>
          <w:rFonts w:cs="Arial"/>
          <w:bCs/>
          <w:sz w:val="20"/>
          <w:szCs w:val="20"/>
        </w:rPr>
        <w:t xml:space="preserve">- </w:t>
      </w:r>
      <w:r w:rsidR="008A20C7" w:rsidRPr="00305215">
        <w:rPr>
          <w:rFonts w:cs="Arial"/>
          <w:bCs/>
          <w:sz w:val="20"/>
          <w:szCs w:val="20"/>
        </w:rPr>
        <w:t>ROPID, Regionální organizát</w:t>
      </w:r>
      <w:r w:rsidR="00AD2E05" w:rsidRPr="00305215">
        <w:rPr>
          <w:rFonts w:cs="Arial"/>
          <w:bCs/>
          <w:sz w:val="20"/>
          <w:szCs w:val="20"/>
        </w:rPr>
        <w:t>or Pražské integrované dopravy</w:t>
      </w:r>
      <w:r w:rsidR="0062220D">
        <w:rPr>
          <w:rFonts w:cs="Arial"/>
          <w:bCs/>
          <w:sz w:val="20"/>
          <w:szCs w:val="20"/>
        </w:rPr>
        <w:t xml:space="preserve"> byl zřízen</w:t>
      </w:r>
      <w:r w:rsidR="00F0327A" w:rsidRPr="0062220D">
        <w:rPr>
          <w:rFonts w:cs="Arial"/>
          <w:bCs/>
          <w:sz w:val="20"/>
          <w:szCs w:val="20"/>
        </w:rPr>
        <w:t xml:space="preserve"> ke dni 1.</w:t>
      </w:r>
      <w:r w:rsidR="0062220D">
        <w:rPr>
          <w:rFonts w:cs="Arial"/>
          <w:bCs/>
          <w:sz w:val="20"/>
          <w:szCs w:val="20"/>
        </w:rPr>
        <w:t xml:space="preserve"> </w:t>
      </w:r>
      <w:r w:rsidR="00F0327A" w:rsidRPr="0062220D">
        <w:rPr>
          <w:rFonts w:cs="Arial"/>
          <w:bCs/>
          <w:sz w:val="20"/>
          <w:szCs w:val="20"/>
        </w:rPr>
        <w:t>12.</w:t>
      </w:r>
      <w:r w:rsidR="0062220D">
        <w:rPr>
          <w:rFonts w:cs="Arial"/>
          <w:bCs/>
          <w:sz w:val="20"/>
          <w:szCs w:val="20"/>
        </w:rPr>
        <w:t xml:space="preserve"> </w:t>
      </w:r>
      <w:r w:rsidR="00F0327A" w:rsidRPr="0062220D">
        <w:rPr>
          <w:rFonts w:cs="Arial"/>
          <w:bCs/>
          <w:sz w:val="20"/>
          <w:szCs w:val="20"/>
        </w:rPr>
        <w:t xml:space="preserve">1993 usnesením 33. Zastupitelstva </w:t>
      </w:r>
      <w:r w:rsidR="0062220D">
        <w:rPr>
          <w:rFonts w:cs="Arial"/>
          <w:bCs/>
          <w:sz w:val="20"/>
          <w:szCs w:val="20"/>
        </w:rPr>
        <w:t>hl. m.</w:t>
      </w:r>
      <w:r w:rsidR="00F0327A" w:rsidRPr="0062220D">
        <w:rPr>
          <w:rFonts w:cs="Arial"/>
          <w:bCs/>
          <w:sz w:val="20"/>
          <w:szCs w:val="20"/>
        </w:rPr>
        <w:t xml:space="preserve"> Prahy </w:t>
      </w:r>
      <w:r w:rsidR="0062220D">
        <w:rPr>
          <w:rFonts w:cs="Arial"/>
          <w:bCs/>
          <w:sz w:val="20"/>
          <w:szCs w:val="20"/>
        </w:rPr>
        <w:t xml:space="preserve">    </w:t>
      </w:r>
      <w:r w:rsidR="00F0327A" w:rsidRPr="0062220D">
        <w:rPr>
          <w:rFonts w:cs="Arial"/>
          <w:bCs/>
          <w:sz w:val="20"/>
          <w:szCs w:val="20"/>
        </w:rPr>
        <w:t>č. 15 ze dne 25.</w:t>
      </w:r>
      <w:r w:rsidR="0062220D" w:rsidRPr="0062220D">
        <w:rPr>
          <w:rFonts w:cs="Arial"/>
          <w:bCs/>
          <w:sz w:val="20"/>
          <w:szCs w:val="20"/>
        </w:rPr>
        <w:t xml:space="preserve"> </w:t>
      </w:r>
      <w:r w:rsidR="00F0327A" w:rsidRPr="0062220D">
        <w:rPr>
          <w:rFonts w:cs="Arial"/>
          <w:bCs/>
          <w:sz w:val="20"/>
          <w:szCs w:val="20"/>
        </w:rPr>
        <w:t>11.</w:t>
      </w:r>
      <w:r w:rsidR="0062220D" w:rsidRPr="0062220D">
        <w:rPr>
          <w:rFonts w:cs="Arial"/>
          <w:bCs/>
          <w:sz w:val="20"/>
          <w:szCs w:val="20"/>
        </w:rPr>
        <w:t xml:space="preserve"> </w:t>
      </w:r>
      <w:r w:rsidR="00F0327A" w:rsidRPr="0062220D">
        <w:rPr>
          <w:rFonts w:cs="Arial"/>
          <w:bCs/>
          <w:sz w:val="20"/>
          <w:szCs w:val="20"/>
        </w:rPr>
        <w:t>1993</w:t>
      </w:r>
      <w:r w:rsidR="0062220D" w:rsidRPr="0062220D">
        <w:rPr>
          <w:rFonts w:ascii="Roboto Condensed" w:hAnsi="Roboto Condensed"/>
          <w:color w:val="131313"/>
        </w:rPr>
        <w:t xml:space="preserve"> </w:t>
      </w:r>
      <w:r w:rsidR="008A20C7" w:rsidRPr="0062220D">
        <w:rPr>
          <w:rFonts w:cs="Arial"/>
          <w:bCs/>
          <w:sz w:val="20"/>
          <w:szCs w:val="20"/>
        </w:rPr>
        <w:t>jako přís</w:t>
      </w:r>
      <w:r w:rsidR="009C79BD" w:rsidRPr="0062220D">
        <w:rPr>
          <w:rFonts w:cs="Arial"/>
          <w:bCs/>
          <w:sz w:val="20"/>
          <w:szCs w:val="20"/>
        </w:rPr>
        <w:t>pěvková organizace hl. m. Prahy s cílem v</w:t>
      </w:r>
      <w:r w:rsidR="008A20C7" w:rsidRPr="0062220D">
        <w:rPr>
          <w:rFonts w:cs="Arial"/>
          <w:bCs/>
          <w:sz w:val="20"/>
          <w:szCs w:val="20"/>
        </w:rPr>
        <w:t>ytvoř</w:t>
      </w:r>
      <w:r w:rsidR="009C79BD" w:rsidRPr="0062220D">
        <w:rPr>
          <w:rFonts w:cs="Arial"/>
          <w:bCs/>
          <w:sz w:val="20"/>
          <w:szCs w:val="20"/>
        </w:rPr>
        <w:t>it a rozvíjet systém Pražské integrované dopravy.</w:t>
      </w:r>
      <w:r w:rsidR="008A20C7" w:rsidRPr="0062220D">
        <w:rPr>
          <w:rFonts w:cs="Arial"/>
          <w:bCs/>
          <w:sz w:val="20"/>
          <w:szCs w:val="20"/>
        </w:rPr>
        <w:t xml:space="preserve"> </w:t>
      </w:r>
      <w:r w:rsidR="009C79BD" w:rsidRPr="0062220D">
        <w:rPr>
          <w:rFonts w:cs="Arial"/>
          <w:bCs/>
          <w:sz w:val="20"/>
          <w:szCs w:val="20"/>
        </w:rPr>
        <w:t>Ú</w:t>
      </w:r>
      <w:r w:rsidR="008A20C7" w:rsidRPr="0062220D">
        <w:rPr>
          <w:rFonts w:cs="Arial"/>
          <w:bCs/>
          <w:sz w:val="20"/>
          <w:szCs w:val="20"/>
        </w:rPr>
        <w:t>loha</w:t>
      </w:r>
      <w:r w:rsidR="009C79BD" w:rsidRPr="0062220D">
        <w:rPr>
          <w:rFonts w:cs="Arial"/>
          <w:bCs/>
          <w:sz w:val="20"/>
          <w:szCs w:val="20"/>
        </w:rPr>
        <w:t xml:space="preserve"> ROPID</w:t>
      </w:r>
      <w:r w:rsidR="00E50FE2" w:rsidRPr="0062220D">
        <w:rPr>
          <w:rFonts w:cs="Arial"/>
          <w:bCs/>
          <w:sz w:val="20"/>
          <w:szCs w:val="20"/>
        </w:rPr>
        <w:t>u</w:t>
      </w:r>
      <w:r w:rsidR="009C79BD" w:rsidRPr="0062220D">
        <w:rPr>
          <w:rFonts w:cs="Arial"/>
          <w:bCs/>
          <w:sz w:val="20"/>
          <w:szCs w:val="20"/>
        </w:rPr>
        <w:t xml:space="preserve"> je organizační a kontrolní, z</w:t>
      </w:r>
      <w:r w:rsidR="008A20C7" w:rsidRPr="0062220D">
        <w:rPr>
          <w:rFonts w:cs="Arial"/>
          <w:bCs/>
          <w:sz w:val="20"/>
          <w:szCs w:val="20"/>
        </w:rPr>
        <w:t>e své práce se odpovídá orgánům samosprávy a státní správy, které jej zabezpečením</w:t>
      </w:r>
      <w:r w:rsidR="009C79BD" w:rsidRPr="0062220D">
        <w:rPr>
          <w:rFonts w:cs="Arial"/>
          <w:bCs/>
          <w:sz w:val="20"/>
          <w:szCs w:val="20"/>
        </w:rPr>
        <w:t xml:space="preserve"> integrované</w:t>
      </w:r>
      <w:r w:rsidR="008A20C7" w:rsidRPr="0062220D">
        <w:rPr>
          <w:rFonts w:cs="Arial"/>
          <w:bCs/>
          <w:sz w:val="20"/>
          <w:szCs w:val="20"/>
        </w:rPr>
        <w:t xml:space="preserve"> dopravy pověřily.</w:t>
      </w:r>
      <w:r w:rsidR="00E50FE2" w:rsidRPr="0062220D">
        <w:rPr>
          <w:rFonts w:cs="Arial"/>
          <w:bCs/>
          <w:sz w:val="20"/>
          <w:szCs w:val="20"/>
        </w:rPr>
        <w:t xml:space="preserve"> V hlavním městě Praze je ROPID jediným pověřeným organizátorem integrované dopravy.</w:t>
      </w:r>
    </w:p>
    <w:p w14:paraId="3C6BC71B" w14:textId="77777777" w:rsidR="00D84605" w:rsidRPr="00305215" w:rsidRDefault="00D84605" w:rsidP="00D84605">
      <w:pPr>
        <w:pStyle w:val="txt"/>
        <w:numPr>
          <w:ilvl w:val="1"/>
          <w:numId w:val="2"/>
        </w:numPr>
        <w:spacing w:before="120" w:after="0" w:line="360" w:lineRule="auto"/>
        <w:ind w:left="992" w:hanging="629"/>
        <w:rPr>
          <w:rFonts w:cs="Arial"/>
          <w:b/>
          <w:bCs/>
          <w:sz w:val="20"/>
        </w:rPr>
      </w:pPr>
      <w:r w:rsidRPr="00305215">
        <w:rPr>
          <w:rFonts w:cs="Arial"/>
          <w:b/>
          <w:bCs/>
          <w:sz w:val="20"/>
        </w:rPr>
        <w:t xml:space="preserve">Vymezení oprávněných partnerů: </w:t>
      </w:r>
      <w:r w:rsidRPr="00305215">
        <w:rPr>
          <w:rFonts w:cs="Arial"/>
          <w:bCs/>
          <w:sz w:val="20"/>
        </w:rPr>
        <w:t xml:space="preserve">Partnerství není v této výzvě </w:t>
      </w:r>
      <w:r w:rsidR="00F368E5" w:rsidRPr="00305215">
        <w:rPr>
          <w:rFonts w:cs="Arial"/>
          <w:bCs/>
          <w:sz w:val="20"/>
        </w:rPr>
        <w:t>přípustné</w:t>
      </w:r>
      <w:r w:rsidRPr="00305215">
        <w:rPr>
          <w:rFonts w:cs="Arial"/>
          <w:bCs/>
          <w:sz w:val="20"/>
        </w:rPr>
        <w:t>.</w:t>
      </w:r>
    </w:p>
    <w:p w14:paraId="0DC22975"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Míra podpory – rozpad zdrojů financování: </w:t>
      </w:r>
    </w:p>
    <w:tbl>
      <w:tblPr>
        <w:tblStyle w:val="Mkatabulky"/>
        <w:tblW w:w="9039" w:type="dxa"/>
        <w:jc w:val="right"/>
        <w:tblLayout w:type="fixed"/>
        <w:tblLook w:val="04A0" w:firstRow="1" w:lastRow="0" w:firstColumn="1" w:lastColumn="0" w:noHBand="0" w:noVBand="1"/>
      </w:tblPr>
      <w:tblGrid>
        <w:gridCol w:w="4786"/>
        <w:gridCol w:w="1418"/>
        <w:gridCol w:w="1701"/>
        <w:gridCol w:w="1134"/>
      </w:tblGrid>
      <w:tr w:rsidR="00D84605" w:rsidRPr="00305215" w14:paraId="349E398F" w14:textId="77777777" w:rsidTr="00510992">
        <w:trPr>
          <w:trHeight w:val="595"/>
          <w:jc w:val="right"/>
        </w:trPr>
        <w:tc>
          <w:tcPr>
            <w:tcW w:w="4786" w:type="dxa"/>
            <w:shd w:val="pct12" w:color="auto" w:fill="auto"/>
            <w:vAlign w:val="center"/>
          </w:tcPr>
          <w:p w14:paraId="6CBD2E64" w14:textId="77777777" w:rsidR="00D84605" w:rsidRPr="00305215" w:rsidRDefault="00D84605" w:rsidP="00D84605">
            <w:pPr>
              <w:jc w:val="center"/>
              <w:rPr>
                <w:b/>
                <w:szCs w:val="20"/>
              </w:rPr>
            </w:pPr>
            <w:r w:rsidRPr="00305215">
              <w:rPr>
                <w:b/>
                <w:szCs w:val="20"/>
              </w:rPr>
              <w:t>Typ příjemce</w:t>
            </w:r>
          </w:p>
        </w:tc>
        <w:tc>
          <w:tcPr>
            <w:tcW w:w="1418" w:type="dxa"/>
            <w:shd w:val="pct12" w:color="auto" w:fill="auto"/>
            <w:vAlign w:val="center"/>
          </w:tcPr>
          <w:p w14:paraId="30A997B5" w14:textId="77777777" w:rsidR="00D84605" w:rsidRPr="00305215" w:rsidRDefault="00D84605" w:rsidP="00D84605">
            <w:pPr>
              <w:jc w:val="center"/>
              <w:rPr>
                <w:b/>
                <w:szCs w:val="20"/>
              </w:rPr>
            </w:pPr>
            <w:r w:rsidRPr="00305215">
              <w:rPr>
                <w:b/>
                <w:szCs w:val="20"/>
              </w:rPr>
              <w:t>Podíl EU</w:t>
            </w:r>
          </w:p>
        </w:tc>
        <w:tc>
          <w:tcPr>
            <w:tcW w:w="1701" w:type="dxa"/>
            <w:shd w:val="pct12" w:color="auto" w:fill="auto"/>
            <w:vAlign w:val="center"/>
          </w:tcPr>
          <w:p w14:paraId="752DCB73" w14:textId="77777777" w:rsidR="00D84605" w:rsidRPr="00305215" w:rsidRDefault="00D84605" w:rsidP="00D84605">
            <w:pPr>
              <w:jc w:val="center"/>
              <w:rPr>
                <w:b/>
                <w:szCs w:val="20"/>
              </w:rPr>
            </w:pPr>
            <w:r w:rsidRPr="00305215">
              <w:rPr>
                <w:b/>
                <w:szCs w:val="20"/>
              </w:rPr>
              <w:t>Rozpočet hl. m. Prahy</w:t>
            </w:r>
          </w:p>
        </w:tc>
        <w:tc>
          <w:tcPr>
            <w:tcW w:w="1134" w:type="dxa"/>
            <w:shd w:val="pct12" w:color="auto" w:fill="auto"/>
            <w:vAlign w:val="center"/>
          </w:tcPr>
          <w:p w14:paraId="78E2ECAA" w14:textId="77777777" w:rsidR="00D84605" w:rsidRPr="00305215" w:rsidRDefault="00D84605" w:rsidP="00D84605">
            <w:pPr>
              <w:jc w:val="center"/>
              <w:rPr>
                <w:b/>
                <w:szCs w:val="20"/>
              </w:rPr>
            </w:pPr>
            <w:r w:rsidRPr="00305215">
              <w:rPr>
                <w:b/>
                <w:szCs w:val="20"/>
              </w:rPr>
              <w:t>Příjemce</w:t>
            </w:r>
          </w:p>
        </w:tc>
      </w:tr>
      <w:tr w:rsidR="00D30575" w:rsidRPr="00305215" w14:paraId="0075F4A1" w14:textId="77777777" w:rsidTr="00A518C0">
        <w:trPr>
          <w:trHeight w:val="420"/>
          <w:jc w:val="right"/>
        </w:trPr>
        <w:tc>
          <w:tcPr>
            <w:tcW w:w="4786" w:type="dxa"/>
            <w:vAlign w:val="center"/>
          </w:tcPr>
          <w:p w14:paraId="3512E9E8" w14:textId="77777777" w:rsidR="00D30575" w:rsidRPr="00305215" w:rsidRDefault="00D30575" w:rsidP="0074607B">
            <w:pPr>
              <w:jc w:val="left"/>
              <w:rPr>
                <w:szCs w:val="20"/>
              </w:rPr>
            </w:pPr>
            <w:r w:rsidRPr="00305215">
              <w:rPr>
                <w:szCs w:val="20"/>
              </w:rPr>
              <w:t>Hlavní město Praha</w:t>
            </w:r>
          </w:p>
        </w:tc>
        <w:tc>
          <w:tcPr>
            <w:tcW w:w="1418" w:type="dxa"/>
            <w:vAlign w:val="center"/>
          </w:tcPr>
          <w:p w14:paraId="31A443A5" w14:textId="77777777" w:rsidR="00D30575" w:rsidRPr="00305215" w:rsidRDefault="00D30575" w:rsidP="00A518C0">
            <w:pPr>
              <w:jc w:val="center"/>
              <w:rPr>
                <w:szCs w:val="20"/>
              </w:rPr>
            </w:pPr>
            <w:r w:rsidRPr="00305215">
              <w:rPr>
                <w:szCs w:val="20"/>
              </w:rPr>
              <w:t>50 %</w:t>
            </w:r>
          </w:p>
        </w:tc>
        <w:tc>
          <w:tcPr>
            <w:tcW w:w="1701" w:type="dxa"/>
            <w:vAlign w:val="center"/>
          </w:tcPr>
          <w:p w14:paraId="05C3ED08" w14:textId="77777777" w:rsidR="00D30575" w:rsidRPr="00305215" w:rsidRDefault="00D30575" w:rsidP="00A518C0">
            <w:pPr>
              <w:jc w:val="center"/>
              <w:rPr>
                <w:szCs w:val="20"/>
              </w:rPr>
            </w:pPr>
            <w:r w:rsidRPr="00305215">
              <w:rPr>
                <w:szCs w:val="20"/>
              </w:rPr>
              <w:t>40 %</w:t>
            </w:r>
          </w:p>
        </w:tc>
        <w:tc>
          <w:tcPr>
            <w:tcW w:w="1134" w:type="dxa"/>
            <w:vAlign w:val="center"/>
          </w:tcPr>
          <w:p w14:paraId="48690873" w14:textId="77777777" w:rsidR="00D30575" w:rsidRPr="00305215" w:rsidRDefault="00D30575" w:rsidP="00A518C0">
            <w:pPr>
              <w:jc w:val="center"/>
              <w:rPr>
                <w:szCs w:val="20"/>
              </w:rPr>
            </w:pPr>
            <w:r w:rsidRPr="00305215">
              <w:rPr>
                <w:szCs w:val="20"/>
              </w:rPr>
              <w:t>10 %</w:t>
            </w:r>
          </w:p>
        </w:tc>
      </w:tr>
      <w:tr w:rsidR="00D30575" w:rsidRPr="00305215" w14:paraId="686494B8" w14:textId="77777777" w:rsidTr="00510992">
        <w:trPr>
          <w:trHeight w:val="538"/>
          <w:jc w:val="right"/>
        </w:trPr>
        <w:tc>
          <w:tcPr>
            <w:tcW w:w="4786" w:type="dxa"/>
            <w:vAlign w:val="center"/>
          </w:tcPr>
          <w:p w14:paraId="48367797" w14:textId="77777777" w:rsidR="00D30575" w:rsidRPr="00305215" w:rsidRDefault="00D30575" w:rsidP="0074607B">
            <w:pPr>
              <w:jc w:val="left"/>
              <w:rPr>
                <w:szCs w:val="20"/>
              </w:rPr>
            </w:pPr>
            <w:r w:rsidRPr="00305215">
              <w:rPr>
                <w:szCs w:val="20"/>
              </w:rPr>
              <w:t>Městské části hl. m. Prahy</w:t>
            </w:r>
          </w:p>
        </w:tc>
        <w:tc>
          <w:tcPr>
            <w:tcW w:w="1418" w:type="dxa"/>
            <w:vAlign w:val="center"/>
          </w:tcPr>
          <w:p w14:paraId="6C96B10C" w14:textId="77777777" w:rsidR="00D30575" w:rsidRPr="00305215" w:rsidRDefault="00D30575" w:rsidP="00A518C0">
            <w:pPr>
              <w:jc w:val="center"/>
              <w:rPr>
                <w:szCs w:val="20"/>
              </w:rPr>
            </w:pPr>
            <w:r w:rsidRPr="00305215">
              <w:rPr>
                <w:szCs w:val="20"/>
              </w:rPr>
              <w:t>50 %</w:t>
            </w:r>
          </w:p>
        </w:tc>
        <w:tc>
          <w:tcPr>
            <w:tcW w:w="1701" w:type="dxa"/>
            <w:vAlign w:val="center"/>
          </w:tcPr>
          <w:p w14:paraId="6C1312D1" w14:textId="77777777" w:rsidR="00D30575" w:rsidRPr="00305215" w:rsidRDefault="00D30575" w:rsidP="00A518C0">
            <w:pPr>
              <w:jc w:val="center"/>
              <w:rPr>
                <w:szCs w:val="20"/>
              </w:rPr>
            </w:pPr>
            <w:r w:rsidRPr="00305215">
              <w:rPr>
                <w:szCs w:val="20"/>
              </w:rPr>
              <w:t>40 %</w:t>
            </w:r>
          </w:p>
        </w:tc>
        <w:tc>
          <w:tcPr>
            <w:tcW w:w="1134" w:type="dxa"/>
            <w:vAlign w:val="center"/>
          </w:tcPr>
          <w:p w14:paraId="32C5C6B3" w14:textId="77777777" w:rsidR="00D30575" w:rsidRPr="00305215" w:rsidRDefault="00D30575" w:rsidP="00A518C0">
            <w:pPr>
              <w:jc w:val="center"/>
              <w:rPr>
                <w:szCs w:val="20"/>
              </w:rPr>
            </w:pPr>
            <w:r w:rsidRPr="00305215">
              <w:rPr>
                <w:szCs w:val="20"/>
              </w:rPr>
              <w:t>10 %</w:t>
            </w:r>
          </w:p>
        </w:tc>
      </w:tr>
      <w:tr w:rsidR="002F656B" w:rsidRPr="00305215" w14:paraId="222FC5AC" w14:textId="77777777" w:rsidTr="000F1210">
        <w:trPr>
          <w:trHeight w:val="538"/>
          <w:jc w:val="right"/>
        </w:trPr>
        <w:tc>
          <w:tcPr>
            <w:tcW w:w="4786" w:type="dxa"/>
            <w:vAlign w:val="center"/>
          </w:tcPr>
          <w:p w14:paraId="75AA52EC" w14:textId="77777777" w:rsidR="002F656B" w:rsidRPr="00305215" w:rsidRDefault="002F656B" w:rsidP="002F656B">
            <w:pPr>
              <w:jc w:val="left"/>
              <w:rPr>
                <w:rFonts w:cs="Arial"/>
                <w:bCs/>
                <w:szCs w:val="20"/>
              </w:rPr>
            </w:pPr>
            <w:r w:rsidRPr="00305215">
              <w:rPr>
                <w:rFonts w:cs="Arial"/>
                <w:bCs/>
                <w:szCs w:val="20"/>
              </w:rPr>
              <w:t>Organizace zřízené a založené hl. m. Prahou a městskými částmi hl. m. Prahy (včetně právnických osoby vykonávající činnost škol a školských zařízení zapsané ve školském rejstříku tj. MŠ, ZŠ, SŠ, ZUŠ, DDM apod.):</w:t>
            </w:r>
          </w:p>
          <w:p w14:paraId="223C2025" w14:textId="77777777" w:rsidR="002F656B" w:rsidRPr="00305215" w:rsidRDefault="002F656B" w:rsidP="002F656B">
            <w:pPr>
              <w:pStyle w:val="Odstavecseseznamem"/>
              <w:numPr>
                <w:ilvl w:val="0"/>
                <w:numId w:val="43"/>
              </w:numPr>
              <w:jc w:val="left"/>
              <w:rPr>
                <w:rFonts w:cs="Arial"/>
                <w:bCs/>
                <w:szCs w:val="20"/>
              </w:rPr>
            </w:pPr>
            <w:r w:rsidRPr="00305215">
              <w:rPr>
                <w:rFonts w:cs="Arial"/>
                <w:bCs/>
                <w:szCs w:val="20"/>
              </w:rPr>
              <w:t>příspěvkové organizace hl. m. Prahy a městských částí hl. m. Prahy</w:t>
            </w:r>
          </w:p>
          <w:p w14:paraId="77AA0162" w14:textId="77777777" w:rsidR="002F656B" w:rsidRPr="00305215" w:rsidRDefault="002F656B" w:rsidP="002F656B">
            <w:pPr>
              <w:pStyle w:val="Odstavecseseznamem"/>
              <w:numPr>
                <w:ilvl w:val="0"/>
                <w:numId w:val="43"/>
              </w:numPr>
              <w:jc w:val="left"/>
              <w:rPr>
                <w:rFonts w:cs="Arial"/>
                <w:bCs/>
                <w:szCs w:val="20"/>
              </w:rPr>
            </w:pPr>
            <w:r w:rsidRPr="00305215">
              <w:rPr>
                <w:rFonts w:cs="Arial"/>
                <w:bCs/>
                <w:szCs w:val="20"/>
              </w:rPr>
              <w:t>ostatní organizace zřízené či založené hl. m. Prahou a městskými částmi hl. m. Prahy</w:t>
            </w:r>
          </w:p>
        </w:tc>
        <w:tc>
          <w:tcPr>
            <w:tcW w:w="1418" w:type="dxa"/>
          </w:tcPr>
          <w:p w14:paraId="5003F38D" w14:textId="77777777" w:rsidR="002F656B" w:rsidRPr="00305215" w:rsidRDefault="002F656B" w:rsidP="002F656B">
            <w:pPr>
              <w:jc w:val="center"/>
            </w:pPr>
          </w:p>
          <w:p w14:paraId="42A3583E" w14:textId="77777777" w:rsidR="002F656B" w:rsidRPr="00305215" w:rsidRDefault="002F656B" w:rsidP="002F656B">
            <w:pPr>
              <w:jc w:val="center"/>
            </w:pPr>
          </w:p>
          <w:p w14:paraId="0F7D0B35" w14:textId="77777777" w:rsidR="002F656B" w:rsidRPr="00305215" w:rsidRDefault="002F656B" w:rsidP="002F656B">
            <w:pPr>
              <w:jc w:val="center"/>
            </w:pPr>
          </w:p>
          <w:p w14:paraId="4B23AB12" w14:textId="77777777" w:rsidR="002F656B" w:rsidRPr="00305215" w:rsidRDefault="002F656B" w:rsidP="002F656B">
            <w:pPr>
              <w:jc w:val="center"/>
            </w:pPr>
          </w:p>
          <w:p w14:paraId="3266C1EF" w14:textId="77777777" w:rsidR="009C79BD" w:rsidRPr="00305215" w:rsidRDefault="009C79BD" w:rsidP="002F656B">
            <w:pPr>
              <w:jc w:val="center"/>
            </w:pPr>
          </w:p>
          <w:p w14:paraId="2B2AB2FC" w14:textId="77777777" w:rsidR="002F656B" w:rsidRPr="00305215" w:rsidRDefault="002F656B" w:rsidP="009C79BD">
            <w:pPr>
              <w:jc w:val="center"/>
            </w:pPr>
            <w:r w:rsidRPr="00305215">
              <w:t>50 %</w:t>
            </w:r>
          </w:p>
        </w:tc>
        <w:tc>
          <w:tcPr>
            <w:tcW w:w="1701" w:type="dxa"/>
          </w:tcPr>
          <w:p w14:paraId="20213A20" w14:textId="77777777" w:rsidR="002F656B" w:rsidRPr="00305215" w:rsidRDefault="002F656B" w:rsidP="002F656B">
            <w:pPr>
              <w:jc w:val="center"/>
            </w:pPr>
          </w:p>
          <w:p w14:paraId="35BFA987" w14:textId="77777777" w:rsidR="002F656B" w:rsidRPr="00305215" w:rsidRDefault="002F656B" w:rsidP="002F656B">
            <w:pPr>
              <w:jc w:val="center"/>
            </w:pPr>
          </w:p>
          <w:p w14:paraId="14D779F6" w14:textId="77777777" w:rsidR="002F656B" w:rsidRPr="00305215" w:rsidRDefault="002F656B" w:rsidP="002F656B">
            <w:pPr>
              <w:jc w:val="center"/>
            </w:pPr>
          </w:p>
          <w:p w14:paraId="296E84A5" w14:textId="77777777" w:rsidR="002F656B" w:rsidRPr="00305215" w:rsidRDefault="002F656B" w:rsidP="002F656B">
            <w:pPr>
              <w:jc w:val="center"/>
            </w:pPr>
          </w:p>
          <w:p w14:paraId="0FE38337" w14:textId="77777777" w:rsidR="002F656B" w:rsidRPr="00305215" w:rsidRDefault="002F656B" w:rsidP="002F656B">
            <w:pPr>
              <w:jc w:val="center"/>
            </w:pPr>
          </w:p>
          <w:p w14:paraId="262D7D38" w14:textId="77777777" w:rsidR="002F656B" w:rsidRPr="00305215" w:rsidRDefault="002F656B" w:rsidP="002F656B">
            <w:pPr>
              <w:jc w:val="center"/>
            </w:pPr>
            <w:r w:rsidRPr="00305215">
              <w:t>40 %</w:t>
            </w:r>
          </w:p>
          <w:p w14:paraId="3A299593" w14:textId="77777777" w:rsidR="002F656B" w:rsidRPr="00305215" w:rsidRDefault="002F656B" w:rsidP="002F656B">
            <w:pPr>
              <w:jc w:val="center"/>
            </w:pPr>
          </w:p>
          <w:p w14:paraId="685C0623" w14:textId="77777777" w:rsidR="002F656B" w:rsidRPr="00305215" w:rsidRDefault="002F656B" w:rsidP="002F656B">
            <w:pPr>
              <w:jc w:val="center"/>
            </w:pPr>
            <w:r w:rsidRPr="00305215">
              <w:t>35 %</w:t>
            </w:r>
          </w:p>
        </w:tc>
        <w:tc>
          <w:tcPr>
            <w:tcW w:w="1134" w:type="dxa"/>
          </w:tcPr>
          <w:p w14:paraId="2D644F79" w14:textId="77777777" w:rsidR="002F656B" w:rsidRPr="00305215" w:rsidRDefault="002F656B" w:rsidP="002F656B">
            <w:pPr>
              <w:jc w:val="center"/>
            </w:pPr>
          </w:p>
          <w:p w14:paraId="7C4997DD" w14:textId="77777777" w:rsidR="002F656B" w:rsidRPr="00305215" w:rsidRDefault="002F656B" w:rsidP="002F656B">
            <w:pPr>
              <w:jc w:val="center"/>
            </w:pPr>
          </w:p>
          <w:p w14:paraId="2E54015B" w14:textId="77777777" w:rsidR="002F656B" w:rsidRPr="00305215" w:rsidRDefault="002F656B" w:rsidP="002F656B">
            <w:pPr>
              <w:jc w:val="center"/>
            </w:pPr>
          </w:p>
          <w:p w14:paraId="67C4D480" w14:textId="77777777" w:rsidR="002F656B" w:rsidRPr="00305215" w:rsidRDefault="002F656B" w:rsidP="002F656B">
            <w:pPr>
              <w:jc w:val="center"/>
            </w:pPr>
          </w:p>
          <w:p w14:paraId="0519278B" w14:textId="77777777" w:rsidR="002F656B" w:rsidRPr="00305215" w:rsidRDefault="002F656B" w:rsidP="002F656B">
            <w:pPr>
              <w:jc w:val="center"/>
            </w:pPr>
          </w:p>
          <w:p w14:paraId="310EA855" w14:textId="77777777" w:rsidR="002F656B" w:rsidRPr="00305215" w:rsidRDefault="002F656B" w:rsidP="002F656B">
            <w:pPr>
              <w:jc w:val="center"/>
            </w:pPr>
            <w:r w:rsidRPr="00305215">
              <w:t>10 %</w:t>
            </w:r>
          </w:p>
          <w:p w14:paraId="1A5C9E7F" w14:textId="77777777" w:rsidR="002F656B" w:rsidRPr="00305215" w:rsidRDefault="002F656B" w:rsidP="002F656B">
            <w:pPr>
              <w:pStyle w:val="Odstavecseseznamem"/>
              <w:jc w:val="center"/>
            </w:pPr>
          </w:p>
          <w:p w14:paraId="6E392AE7" w14:textId="77777777" w:rsidR="002F656B" w:rsidRPr="00305215" w:rsidRDefault="002F656B" w:rsidP="002F656B">
            <w:pPr>
              <w:jc w:val="center"/>
            </w:pPr>
            <w:r w:rsidRPr="00305215">
              <w:t>15 %</w:t>
            </w:r>
          </w:p>
        </w:tc>
      </w:tr>
      <w:tr w:rsidR="002F656B" w:rsidRPr="00305215" w14:paraId="1896A279" w14:textId="77777777" w:rsidTr="00510992">
        <w:trPr>
          <w:trHeight w:val="538"/>
          <w:jc w:val="right"/>
        </w:trPr>
        <w:tc>
          <w:tcPr>
            <w:tcW w:w="4786" w:type="dxa"/>
            <w:vAlign w:val="center"/>
          </w:tcPr>
          <w:p w14:paraId="1DBF24BD" w14:textId="77777777" w:rsidR="002F656B" w:rsidRPr="00305215" w:rsidRDefault="002F656B" w:rsidP="002F656B">
            <w:pPr>
              <w:jc w:val="left"/>
              <w:rPr>
                <w:szCs w:val="20"/>
              </w:rPr>
            </w:pPr>
            <w:r w:rsidRPr="00305215">
              <w:rPr>
                <w:szCs w:val="20"/>
              </w:rPr>
              <w:t xml:space="preserve">Dopravní podnik hl. m. Prahy, a.s. </w:t>
            </w:r>
          </w:p>
        </w:tc>
        <w:tc>
          <w:tcPr>
            <w:tcW w:w="1418" w:type="dxa"/>
            <w:vAlign w:val="center"/>
          </w:tcPr>
          <w:p w14:paraId="48F1248D" w14:textId="77777777" w:rsidR="002F656B" w:rsidRPr="00305215" w:rsidRDefault="002F656B" w:rsidP="002F656B">
            <w:pPr>
              <w:jc w:val="center"/>
              <w:rPr>
                <w:szCs w:val="20"/>
              </w:rPr>
            </w:pPr>
            <w:r w:rsidRPr="00305215">
              <w:rPr>
                <w:szCs w:val="20"/>
              </w:rPr>
              <w:t>50 %</w:t>
            </w:r>
          </w:p>
        </w:tc>
        <w:tc>
          <w:tcPr>
            <w:tcW w:w="1701" w:type="dxa"/>
            <w:vAlign w:val="center"/>
          </w:tcPr>
          <w:p w14:paraId="66141069" w14:textId="77777777" w:rsidR="002F656B" w:rsidRPr="00305215" w:rsidRDefault="002F656B" w:rsidP="002F656B">
            <w:pPr>
              <w:jc w:val="center"/>
              <w:rPr>
                <w:szCs w:val="20"/>
              </w:rPr>
            </w:pPr>
            <w:r w:rsidRPr="00305215">
              <w:rPr>
                <w:szCs w:val="20"/>
              </w:rPr>
              <w:t>35 %</w:t>
            </w:r>
          </w:p>
        </w:tc>
        <w:tc>
          <w:tcPr>
            <w:tcW w:w="1134" w:type="dxa"/>
            <w:vAlign w:val="center"/>
          </w:tcPr>
          <w:p w14:paraId="2AC66828" w14:textId="77777777" w:rsidR="002F656B" w:rsidRPr="00305215" w:rsidRDefault="002F656B" w:rsidP="002F656B">
            <w:pPr>
              <w:jc w:val="center"/>
              <w:rPr>
                <w:szCs w:val="20"/>
              </w:rPr>
            </w:pPr>
            <w:r w:rsidRPr="00305215">
              <w:rPr>
                <w:szCs w:val="20"/>
              </w:rPr>
              <w:t>15 %</w:t>
            </w:r>
          </w:p>
        </w:tc>
      </w:tr>
      <w:tr w:rsidR="002F656B" w:rsidRPr="00305215" w14:paraId="530AB985" w14:textId="77777777" w:rsidTr="00623257">
        <w:trPr>
          <w:trHeight w:val="538"/>
          <w:jc w:val="right"/>
        </w:trPr>
        <w:tc>
          <w:tcPr>
            <w:tcW w:w="4786" w:type="dxa"/>
            <w:vAlign w:val="center"/>
          </w:tcPr>
          <w:p w14:paraId="65E3AA8F" w14:textId="77777777" w:rsidR="002F656B" w:rsidRPr="00305215" w:rsidRDefault="002F656B" w:rsidP="002F656B">
            <w:pPr>
              <w:jc w:val="left"/>
              <w:rPr>
                <w:szCs w:val="20"/>
              </w:rPr>
            </w:pPr>
            <w:r w:rsidRPr="00305215">
              <w:rPr>
                <w:szCs w:val="20"/>
              </w:rPr>
              <w:t>Technická správa komunikací hl. m. Prahy</w:t>
            </w:r>
          </w:p>
          <w:p w14:paraId="6A132F66" w14:textId="77777777" w:rsidR="002F656B" w:rsidRPr="00305215" w:rsidRDefault="002F656B" w:rsidP="002F656B">
            <w:pPr>
              <w:pStyle w:val="Odstavecseseznamem"/>
              <w:numPr>
                <w:ilvl w:val="0"/>
                <w:numId w:val="40"/>
              </w:numPr>
              <w:jc w:val="left"/>
              <w:rPr>
                <w:szCs w:val="20"/>
              </w:rPr>
            </w:pPr>
            <w:r w:rsidRPr="00305215">
              <w:rPr>
                <w:szCs w:val="20"/>
              </w:rPr>
              <w:t>příspěvková organizace</w:t>
            </w:r>
          </w:p>
          <w:p w14:paraId="7D0E5B21" w14:textId="77777777" w:rsidR="002F656B" w:rsidRPr="00305215" w:rsidRDefault="002F656B" w:rsidP="002F656B">
            <w:pPr>
              <w:pStyle w:val="Odstavecseseznamem"/>
              <w:numPr>
                <w:ilvl w:val="0"/>
                <w:numId w:val="40"/>
              </w:numPr>
              <w:jc w:val="left"/>
              <w:rPr>
                <w:szCs w:val="20"/>
              </w:rPr>
            </w:pPr>
            <w:r w:rsidRPr="00305215">
              <w:rPr>
                <w:szCs w:val="20"/>
              </w:rPr>
              <w:t>akciová společnost</w:t>
            </w:r>
          </w:p>
        </w:tc>
        <w:tc>
          <w:tcPr>
            <w:tcW w:w="1418" w:type="dxa"/>
            <w:vAlign w:val="center"/>
          </w:tcPr>
          <w:p w14:paraId="2ACB0397" w14:textId="77777777" w:rsidR="002F656B" w:rsidRPr="00305215" w:rsidRDefault="002F656B" w:rsidP="002F656B">
            <w:pPr>
              <w:jc w:val="center"/>
              <w:rPr>
                <w:szCs w:val="20"/>
              </w:rPr>
            </w:pPr>
          </w:p>
          <w:p w14:paraId="49558269" w14:textId="77777777" w:rsidR="002F656B" w:rsidRPr="00305215" w:rsidRDefault="002F656B" w:rsidP="002F656B">
            <w:pPr>
              <w:jc w:val="center"/>
              <w:rPr>
                <w:szCs w:val="20"/>
              </w:rPr>
            </w:pPr>
            <w:r w:rsidRPr="00305215">
              <w:rPr>
                <w:szCs w:val="20"/>
              </w:rPr>
              <w:t>50 %</w:t>
            </w:r>
          </w:p>
          <w:p w14:paraId="7078C5B7" w14:textId="77777777" w:rsidR="002F656B" w:rsidRPr="00305215" w:rsidRDefault="002F656B" w:rsidP="002F656B">
            <w:pPr>
              <w:jc w:val="center"/>
            </w:pPr>
          </w:p>
        </w:tc>
        <w:tc>
          <w:tcPr>
            <w:tcW w:w="1701" w:type="dxa"/>
            <w:vAlign w:val="center"/>
          </w:tcPr>
          <w:p w14:paraId="6445F9EF" w14:textId="77777777" w:rsidR="002F656B" w:rsidRPr="00305215" w:rsidRDefault="002F656B" w:rsidP="002F656B">
            <w:pPr>
              <w:jc w:val="center"/>
              <w:rPr>
                <w:szCs w:val="20"/>
              </w:rPr>
            </w:pPr>
          </w:p>
          <w:p w14:paraId="6B923AC9" w14:textId="77777777" w:rsidR="002F656B" w:rsidRPr="00305215" w:rsidRDefault="002F656B" w:rsidP="002F656B">
            <w:pPr>
              <w:jc w:val="center"/>
              <w:rPr>
                <w:szCs w:val="20"/>
              </w:rPr>
            </w:pPr>
            <w:r w:rsidRPr="00305215">
              <w:rPr>
                <w:szCs w:val="20"/>
              </w:rPr>
              <w:t>40 %</w:t>
            </w:r>
          </w:p>
          <w:p w14:paraId="63E61F9D" w14:textId="77777777" w:rsidR="002F656B" w:rsidRPr="00305215" w:rsidRDefault="002F656B" w:rsidP="002F656B">
            <w:pPr>
              <w:jc w:val="center"/>
              <w:rPr>
                <w:szCs w:val="20"/>
              </w:rPr>
            </w:pPr>
            <w:r w:rsidRPr="00305215">
              <w:rPr>
                <w:szCs w:val="20"/>
              </w:rPr>
              <w:t>35 %</w:t>
            </w:r>
          </w:p>
        </w:tc>
        <w:tc>
          <w:tcPr>
            <w:tcW w:w="1134" w:type="dxa"/>
            <w:vAlign w:val="center"/>
          </w:tcPr>
          <w:p w14:paraId="0E57A7C6" w14:textId="77777777" w:rsidR="002F656B" w:rsidRPr="00305215" w:rsidRDefault="002F656B" w:rsidP="002F656B">
            <w:pPr>
              <w:jc w:val="center"/>
              <w:rPr>
                <w:szCs w:val="20"/>
              </w:rPr>
            </w:pPr>
          </w:p>
          <w:p w14:paraId="53CC1352" w14:textId="77777777" w:rsidR="002F656B" w:rsidRPr="00305215" w:rsidRDefault="002F656B" w:rsidP="002F656B">
            <w:pPr>
              <w:jc w:val="center"/>
              <w:rPr>
                <w:szCs w:val="20"/>
              </w:rPr>
            </w:pPr>
            <w:r w:rsidRPr="00305215">
              <w:rPr>
                <w:szCs w:val="20"/>
              </w:rPr>
              <w:t>10 %</w:t>
            </w:r>
          </w:p>
          <w:p w14:paraId="570E1A10" w14:textId="77777777" w:rsidR="002F656B" w:rsidRPr="00305215" w:rsidRDefault="002F656B" w:rsidP="002F656B">
            <w:pPr>
              <w:jc w:val="center"/>
              <w:rPr>
                <w:szCs w:val="20"/>
              </w:rPr>
            </w:pPr>
            <w:r w:rsidRPr="00305215">
              <w:rPr>
                <w:szCs w:val="20"/>
              </w:rPr>
              <w:t>15 %</w:t>
            </w:r>
          </w:p>
        </w:tc>
      </w:tr>
      <w:tr w:rsidR="002F656B" w:rsidRPr="00305215" w14:paraId="712F61BB" w14:textId="77777777" w:rsidTr="00757A9F">
        <w:trPr>
          <w:trHeight w:val="538"/>
          <w:jc w:val="right"/>
        </w:trPr>
        <w:tc>
          <w:tcPr>
            <w:tcW w:w="4786" w:type="dxa"/>
            <w:vAlign w:val="center"/>
          </w:tcPr>
          <w:p w14:paraId="5D7BF7C2" w14:textId="77777777" w:rsidR="002F656B" w:rsidRPr="00305215" w:rsidRDefault="002F656B" w:rsidP="002F656B">
            <w:pPr>
              <w:jc w:val="left"/>
              <w:rPr>
                <w:szCs w:val="20"/>
              </w:rPr>
            </w:pPr>
            <w:r w:rsidRPr="00305215">
              <w:rPr>
                <w:szCs w:val="20"/>
              </w:rPr>
              <w:t>Správa železniční dopravní cesty</w:t>
            </w:r>
          </w:p>
        </w:tc>
        <w:tc>
          <w:tcPr>
            <w:tcW w:w="1418" w:type="dxa"/>
            <w:vAlign w:val="center"/>
          </w:tcPr>
          <w:p w14:paraId="77DCC283" w14:textId="77777777" w:rsidR="002F656B" w:rsidRPr="00305215" w:rsidRDefault="002F656B" w:rsidP="002F656B">
            <w:pPr>
              <w:jc w:val="center"/>
              <w:rPr>
                <w:szCs w:val="20"/>
              </w:rPr>
            </w:pPr>
            <w:r w:rsidRPr="00305215">
              <w:rPr>
                <w:szCs w:val="20"/>
              </w:rPr>
              <w:t>50 %</w:t>
            </w:r>
          </w:p>
        </w:tc>
        <w:tc>
          <w:tcPr>
            <w:tcW w:w="1701" w:type="dxa"/>
            <w:vAlign w:val="center"/>
          </w:tcPr>
          <w:p w14:paraId="6B1F1126" w14:textId="77777777" w:rsidR="002F656B" w:rsidRPr="00305215" w:rsidRDefault="002F656B" w:rsidP="002F656B">
            <w:pPr>
              <w:jc w:val="center"/>
              <w:rPr>
                <w:szCs w:val="20"/>
              </w:rPr>
            </w:pPr>
            <w:r w:rsidRPr="00305215">
              <w:rPr>
                <w:szCs w:val="20"/>
              </w:rPr>
              <w:t>0 %</w:t>
            </w:r>
          </w:p>
        </w:tc>
        <w:tc>
          <w:tcPr>
            <w:tcW w:w="1134" w:type="dxa"/>
            <w:vAlign w:val="center"/>
          </w:tcPr>
          <w:p w14:paraId="21E1DEDC" w14:textId="77777777" w:rsidR="002F656B" w:rsidRPr="00305215" w:rsidRDefault="002F656B" w:rsidP="002F656B">
            <w:pPr>
              <w:jc w:val="center"/>
              <w:rPr>
                <w:szCs w:val="20"/>
              </w:rPr>
            </w:pPr>
            <w:r w:rsidRPr="00305215">
              <w:rPr>
                <w:szCs w:val="20"/>
              </w:rPr>
              <w:t>50 %</w:t>
            </w:r>
          </w:p>
        </w:tc>
      </w:tr>
      <w:tr w:rsidR="00D63376" w:rsidRPr="00305215" w14:paraId="465A320A" w14:textId="77777777" w:rsidTr="00757A9F">
        <w:trPr>
          <w:trHeight w:val="456"/>
          <w:jc w:val="right"/>
        </w:trPr>
        <w:tc>
          <w:tcPr>
            <w:tcW w:w="4786" w:type="dxa"/>
            <w:vAlign w:val="center"/>
          </w:tcPr>
          <w:p w14:paraId="5C600FFB" w14:textId="341CBC47" w:rsidR="00E125D4" w:rsidRPr="00E125D4" w:rsidRDefault="00E125D4" w:rsidP="00E125D4">
            <w:pPr>
              <w:pStyle w:val="Odstavecseseznamem"/>
              <w:numPr>
                <w:ilvl w:val="0"/>
                <w:numId w:val="48"/>
              </w:numPr>
              <w:jc w:val="left"/>
              <w:rPr>
                <w:szCs w:val="20"/>
              </w:rPr>
            </w:pPr>
            <w:r w:rsidRPr="00E125D4">
              <w:rPr>
                <w:szCs w:val="20"/>
              </w:rPr>
              <w:t>ROPID</w:t>
            </w:r>
          </w:p>
          <w:p w14:paraId="41C52B89" w14:textId="4E8B9857" w:rsidR="00D63376" w:rsidRPr="00E125D4" w:rsidRDefault="00D63376" w:rsidP="00E125D4">
            <w:pPr>
              <w:pStyle w:val="Odstavecseseznamem"/>
              <w:numPr>
                <w:ilvl w:val="0"/>
                <w:numId w:val="48"/>
              </w:numPr>
              <w:jc w:val="left"/>
              <w:rPr>
                <w:szCs w:val="20"/>
              </w:rPr>
            </w:pPr>
            <w:r w:rsidRPr="00E125D4">
              <w:rPr>
                <w:szCs w:val="20"/>
              </w:rPr>
              <w:t>právnická osoba založená kraji a obcemi pro plnění úkolů při zřizování a organizaci integrovaných veřejných služeb v přepravě cestujících (dle zák. 194/2010 Sb. o veřejných službách v přepravě cestujících)</w:t>
            </w:r>
          </w:p>
        </w:tc>
        <w:tc>
          <w:tcPr>
            <w:tcW w:w="1418" w:type="dxa"/>
            <w:vAlign w:val="center"/>
          </w:tcPr>
          <w:p w14:paraId="4423F020" w14:textId="77777777" w:rsidR="00D63376" w:rsidRPr="00305215" w:rsidRDefault="00D63376" w:rsidP="00D63376">
            <w:pPr>
              <w:jc w:val="center"/>
              <w:rPr>
                <w:szCs w:val="20"/>
              </w:rPr>
            </w:pPr>
            <w:r w:rsidRPr="00305215">
              <w:rPr>
                <w:szCs w:val="20"/>
              </w:rPr>
              <w:t>50 %</w:t>
            </w:r>
          </w:p>
        </w:tc>
        <w:tc>
          <w:tcPr>
            <w:tcW w:w="1701" w:type="dxa"/>
            <w:vAlign w:val="center"/>
          </w:tcPr>
          <w:p w14:paraId="67DE3176" w14:textId="77777777" w:rsidR="00D63376" w:rsidRDefault="00D63376" w:rsidP="00D63376">
            <w:pPr>
              <w:jc w:val="center"/>
              <w:rPr>
                <w:szCs w:val="20"/>
              </w:rPr>
            </w:pPr>
            <w:r w:rsidRPr="00305215">
              <w:rPr>
                <w:szCs w:val="20"/>
              </w:rPr>
              <w:t>40 %</w:t>
            </w:r>
          </w:p>
          <w:p w14:paraId="7D8D3BBC" w14:textId="77777777" w:rsidR="00E125D4" w:rsidRPr="00E125D4" w:rsidRDefault="00E125D4" w:rsidP="00E125D4">
            <w:pPr>
              <w:pStyle w:val="Zkladntext"/>
            </w:pPr>
          </w:p>
          <w:p w14:paraId="4D6FC510" w14:textId="77777777" w:rsidR="00E125D4" w:rsidRPr="00E125D4" w:rsidRDefault="00E125D4" w:rsidP="00E125D4">
            <w:pPr>
              <w:pStyle w:val="Zkladntext"/>
            </w:pPr>
          </w:p>
          <w:p w14:paraId="31BFCECC" w14:textId="77777777" w:rsidR="00E125D4" w:rsidRPr="00E125D4" w:rsidRDefault="00E125D4" w:rsidP="00E125D4">
            <w:pPr>
              <w:pStyle w:val="Zkladntext"/>
              <w:jc w:val="center"/>
            </w:pPr>
            <w:r>
              <w:t>35 %</w:t>
            </w:r>
          </w:p>
        </w:tc>
        <w:tc>
          <w:tcPr>
            <w:tcW w:w="1134" w:type="dxa"/>
            <w:vAlign w:val="center"/>
          </w:tcPr>
          <w:p w14:paraId="28F33A2C" w14:textId="77777777" w:rsidR="00D63376" w:rsidRDefault="00D63376" w:rsidP="00D63376">
            <w:pPr>
              <w:jc w:val="center"/>
              <w:rPr>
                <w:szCs w:val="20"/>
              </w:rPr>
            </w:pPr>
            <w:r w:rsidRPr="00305215">
              <w:rPr>
                <w:szCs w:val="20"/>
              </w:rPr>
              <w:t>10 %</w:t>
            </w:r>
          </w:p>
          <w:p w14:paraId="2E399F66" w14:textId="77777777" w:rsidR="00E125D4" w:rsidRPr="00E125D4" w:rsidRDefault="00E125D4" w:rsidP="00E125D4">
            <w:pPr>
              <w:pStyle w:val="Zkladntext"/>
            </w:pPr>
          </w:p>
          <w:p w14:paraId="53E7C569" w14:textId="77777777" w:rsidR="00E125D4" w:rsidRPr="00E125D4" w:rsidRDefault="00E125D4" w:rsidP="00E125D4">
            <w:pPr>
              <w:pStyle w:val="Zkladntext"/>
            </w:pPr>
          </w:p>
          <w:p w14:paraId="266D336A" w14:textId="66C0E00D" w:rsidR="00E125D4" w:rsidRPr="00E125D4" w:rsidRDefault="00E125D4" w:rsidP="00E125D4">
            <w:pPr>
              <w:pStyle w:val="Zkladntext"/>
              <w:jc w:val="center"/>
            </w:pPr>
            <w:r>
              <w:t>15 %</w:t>
            </w:r>
          </w:p>
        </w:tc>
      </w:tr>
    </w:tbl>
    <w:p w14:paraId="0D3E7CE2" w14:textId="77777777" w:rsidR="00C76163" w:rsidRPr="0062220D" w:rsidRDefault="00C76163" w:rsidP="008E5504">
      <w:pPr>
        <w:pStyle w:val="txt"/>
        <w:spacing w:after="0" w:line="360" w:lineRule="auto"/>
        <w:ind w:firstLine="0"/>
        <w:rPr>
          <w:rFonts w:cs="Arial"/>
          <w:b/>
          <w:bCs/>
          <w:sz w:val="12"/>
        </w:rPr>
      </w:pPr>
    </w:p>
    <w:p w14:paraId="31499603" w14:textId="77777777" w:rsidR="00D45C20" w:rsidRPr="00305215" w:rsidRDefault="00D45C20" w:rsidP="00606D38">
      <w:pPr>
        <w:pStyle w:val="txt"/>
        <w:numPr>
          <w:ilvl w:val="1"/>
          <w:numId w:val="2"/>
        </w:numPr>
        <w:spacing w:after="0" w:line="360" w:lineRule="auto"/>
        <w:ind w:left="993" w:hanging="631"/>
        <w:rPr>
          <w:rFonts w:cs="Arial"/>
          <w:b/>
          <w:bCs/>
          <w:sz w:val="20"/>
        </w:rPr>
      </w:pPr>
      <w:r w:rsidRPr="00305215">
        <w:rPr>
          <w:rFonts w:cs="Arial"/>
          <w:b/>
          <w:bCs/>
          <w:sz w:val="20"/>
        </w:rPr>
        <w:t>Maximální a minimální výše celkových způsobilých výdajů projektu:</w:t>
      </w:r>
    </w:p>
    <w:p w14:paraId="6F0CB57F" w14:textId="77777777" w:rsidR="00D84605" w:rsidRPr="00305215" w:rsidRDefault="00D84605" w:rsidP="00F4271F">
      <w:pPr>
        <w:overflowPunct w:val="0"/>
        <w:autoSpaceDE w:val="0"/>
        <w:autoSpaceDN w:val="0"/>
        <w:adjustRightInd w:val="0"/>
        <w:spacing w:line="360" w:lineRule="auto"/>
        <w:ind w:left="363"/>
        <w:textAlignment w:val="baseline"/>
        <w:rPr>
          <w:rFonts w:cs="Arial"/>
          <w:b/>
          <w:bCs/>
          <w:szCs w:val="20"/>
        </w:rPr>
      </w:pPr>
      <w:r w:rsidRPr="00305215">
        <w:rPr>
          <w:rFonts w:cs="Arial"/>
          <w:b/>
          <w:bCs/>
          <w:szCs w:val="20"/>
        </w:rPr>
        <w:t xml:space="preserve">Minimální výše celkových způsobilých výdajů projektu: </w:t>
      </w:r>
      <w:r w:rsidR="008E5504" w:rsidRPr="00305215">
        <w:rPr>
          <w:rFonts w:cs="Arial"/>
          <w:bCs/>
          <w:szCs w:val="20"/>
        </w:rPr>
        <w:t>1</w:t>
      </w:r>
      <w:r w:rsidR="000271E6" w:rsidRPr="00305215">
        <w:rPr>
          <w:rFonts w:cs="Arial"/>
          <w:bCs/>
          <w:szCs w:val="20"/>
        </w:rPr>
        <w:t>00 000</w:t>
      </w:r>
      <w:r w:rsidRPr="00305215">
        <w:rPr>
          <w:rFonts w:cs="Arial"/>
          <w:bCs/>
          <w:szCs w:val="20"/>
        </w:rPr>
        <w:t xml:space="preserve"> Kč</w:t>
      </w:r>
    </w:p>
    <w:p w14:paraId="559BC31E" w14:textId="2543F554" w:rsidR="00D84605" w:rsidRPr="00305215" w:rsidRDefault="00D84605" w:rsidP="00F4271F">
      <w:pPr>
        <w:overflowPunct w:val="0"/>
        <w:autoSpaceDE w:val="0"/>
        <w:autoSpaceDN w:val="0"/>
        <w:adjustRightInd w:val="0"/>
        <w:spacing w:line="360" w:lineRule="auto"/>
        <w:ind w:left="363"/>
        <w:textAlignment w:val="baseline"/>
        <w:rPr>
          <w:rFonts w:cs="Arial"/>
          <w:b/>
          <w:bCs/>
          <w:szCs w:val="20"/>
        </w:rPr>
      </w:pPr>
      <w:r w:rsidRPr="00305215">
        <w:rPr>
          <w:rFonts w:cs="Arial"/>
          <w:b/>
          <w:bCs/>
          <w:szCs w:val="20"/>
        </w:rPr>
        <w:t xml:space="preserve">Maximální výše celkových způsobilých výdajů projektu: </w:t>
      </w:r>
      <w:r w:rsidR="008E5504" w:rsidRPr="00305215">
        <w:rPr>
          <w:rFonts w:cs="Arial"/>
          <w:bCs/>
          <w:szCs w:val="20"/>
        </w:rPr>
        <w:t xml:space="preserve">do výše alokace </w:t>
      </w:r>
      <w:r w:rsidR="00971E92" w:rsidRPr="00305215">
        <w:rPr>
          <w:rFonts w:cs="Arial"/>
          <w:bCs/>
          <w:szCs w:val="20"/>
        </w:rPr>
        <w:t>pro skupinu aktivit</w:t>
      </w:r>
    </w:p>
    <w:p w14:paraId="53994B03" w14:textId="77777777" w:rsidR="00D45C20" w:rsidRPr="00305215" w:rsidRDefault="00D45C20" w:rsidP="00D84605">
      <w:pPr>
        <w:pStyle w:val="txt"/>
        <w:numPr>
          <w:ilvl w:val="1"/>
          <w:numId w:val="2"/>
        </w:numPr>
        <w:spacing w:before="120" w:after="0" w:line="360" w:lineRule="auto"/>
        <w:ind w:left="992" w:hanging="629"/>
        <w:rPr>
          <w:rFonts w:cs="Arial"/>
          <w:b/>
          <w:bCs/>
          <w:sz w:val="20"/>
        </w:rPr>
      </w:pPr>
      <w:r w:rsidRPr="00305215">
        <w:rPr>
          <w:rFonts w:cs="Arial"/>
          <w:b/>
          <w:bCs/>
          <w:sz w:val="20"/>
        </w:rPr>
        <w:lastRenderedPageBreak/>
        <w:t xml:space="preserve">Forma financování: </w:t>
      </w:r>
      <w:r w:rsidRPr="00305215">
        <w:rPr>
          <w:rFonts w:cs="Arial"/>
          <w:bCs/>
          <w:sz w:val="20"/>
        </w:rPr>
        <w:t>ex-post</w:t>
      </w:r>
    </w:p>
    <w:p w14:paraId="3ADF8842" w14:textId="77777777" w:rsidR="00D84605" w:rsidRPr="00305215" w:rsidRDefault="00D84605" w:rsidP="00D84605">
      <w:pPr>
        <w:pStyle w:val="Odstavecseseznamem"/>
        <w:overflowPunct w:val="0"/>
        <w:autoSpaceDE w:val="0"/>
        <w:autoSpaceDN w:val="0"/>
        <w:adjustRightInd w:val="0"/>
        <w:spacing w:after="120"/>
        <w:ind w:left="357"/>
        <w:textAlignment w:val="baseline"/>
        <w:rPr>
          <w:rFonts w:cs="Arial"/>
          <w:b/>
          <w:bCs/>
          <w:szCs w:val="20"/>
        </w:rPr>
      </w:pPr>
      <w:r w:rsidRPr="00305215">
        <w:rPr>
          <w:rFonts w:cs="Arial"/>
          <w:bCs/>
          <w:szCs w:val="20"/>
        </w:rPr>
        <w:t>Prostředky jsou poskytovány teprve poté, co příjemce výdaj uhradil, prokázal a výdaj byl z úrovně ŘO schválen (viz kapitola 12.8. Finanční toky Pravid</w:t>
      </w:r>
      <w:r w:rsidR="007208ED" w:rsidRPr="00305215">
        <w:rPr>
          <w:rFonts w:cs="Arial"/>
          <w:bCs/>
          <w:szCs w:val="20"/>
        </w:rPr>
        <w:t>el pro žadatele a příjemce OP P</w:t>
      </w:r>
      <w:r w:rsidRPr="00305215">
        <w:rPr>
          <w:rFonts w:cs="Arial"/>
          <w:bCs/>
          <w:szCs w:val="20"/>
        </w:rPr>
        <w:t>PR – viz bod 1</w:t>
      </w:r>
      <w:r w:rsidR="00635B2C" w:rsidRPr="00305215">
        <w:rPr>
          <w:rFonts w:cs="Arial"/>
          <w:bCs/>
          <w:szCs w:val="20"/>
        </w:rPr>
        <w:t>1</w:t>
      </w:r>
      <w:r w:rsidRPr="00305215">
        <w:rPr>
          <w:rFonts w:cs="Arial"/>
          <w:bCs/>
          <w:szCs w:val="20"/>
        </w:rPr>
        <w:t xml:space="preserve">.1. výzvy). </w:t>
      </w:r>
    </w:p>
    <w:p w14:paraId="2C7B2179" w14:textId="77777777" w:rsidR="00D45C20" w:rsidRPr="00305215" w:rsidRDefault="00D45C20" w:rsidP="00F4271F">
      <w:pPr>
        <w:pStyle w:val="txt"/>
        <w:numPr>
          <w:ilvl w:val="1"/>
          <w:numId w:val="2"/>
        </w:numPr>
        <w:spacing w:after="0" w:line="360" w:lineRule="auto"/>
        <w:ind w:left="993" w:hanging="631"/>
        <w:rPr>
          <w:rFonts w:cs="Arial"/>
          <w:b/>
          <w:bCs/>
          <w:sz w:val="20"/>
        </w:rPr>
      </w:pPr>
      <w:r w:rsidRPr="00305215">
        <w:rPr>
          <w:rFonts w:cs="Arial"/>
          <w:b/>
          <w:bCs/>
          <w:sz w:val="20"/>
        </w:rPr>
        <w:t>Informace o podmínkách veřejné podpory:</w:t>
      </w:r>
    </w:p>
    <w:p w14:paraId="0ABFDC1A" w14:textId="77777777" w:rsidR="00C745EA" w:rsidRPr="00305215" w:rsidRDefault="00C745EA" w:rsidP="00C745EA">
      <w:pPr>
        <w:pStyle w:val="Styl2"/>
        <w:numPr>
          <w:ilvl w:val="2"/>
          <w:numId w:val="2"/>
        </w:numPr>
        <w:spacing w:line="360" w:lineRule="auto"/>
        <w:textAlignment w:val="auto"/>
        <w:rPr>
          <w:szCs w:val="20"/>
        </w:rPr>
      </w:pPr>
      <w:r w:rsidRPr="00305215">
        <w:rPr>
          <w:szCs w:val="20"/>
        </w:rPr>
        <w:t xml:space="preserve"> Obecné podmínky</w:t>
      </w:r>
    </w:p>
    <w:p w14:paraId="73866511" w14:textId="77777777" w:rsidR="00F20B8D" w:rsidRPr="00305215" w:rsidRDefault="00F20B8D" w:rsidP="00F20B8D">
      <w:pPr>
        <w:pStyle w:val="Styl5"/>
        <w:numPr>
          <w:ilvl w:val="3"/>
          <w:numId w:val="2"/>
        </w:numPr>
        <w:spacing w:line="360" w:lineRule="auto"/>
        <w:ind w:left="426" w:firstLine="0"/>
        <w:textAlignment w:val="auto"/>
        <w:rPr>
          <w:szCs w:val="20"/>
        </w:rPr>
      </w:pPr>
      <w:r w:rsidRPr="00305215">
        <w:rPr>
          <w:szCs w:val="20"/>
        </w:rPr>
        <w:t>Postup stanovení režimu podpory pro jednotlivé projekty</w:t>
      </w:r>
    </w:p>
    <w:p w14:paraId="05E025EE"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Vyhlašovatel stanovil pro danou výzvu režimy podpory dle bodu 3.8.2 níže.</w:t>
      </w:r>
    </w:p>
    <w:p w14:paraId="031BCC8B"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Volbu vhodného režimu veřejné podpory provede ve fázi projektové žádosti žadatel tím, že režim podpory označí v souladu s výzvou ve Studii proveditelnosti. Tato fáze stanovení režimu veřejné podpory není závazná a slouží k tomu, aby žadatel mohl upravit nastavení projektové žádosti zvolenému režimu veřejné podpory.</w:t>
      </w:r>
    </w:p>
    <w:p w14:paraId="5C82A2FF"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 xml:space="preserve">Finální stanovení režimu veřejné podpory provede vyhlašovatel ve smlouvě o poskytnutí podpory v návaznosti na posouzení, hodnocení a negociaci s vybraným žadatelem tak, aby poskytnutá podpora </w:t>
      </w:r>
      <w:r w:rsidRPr="00305215">
        <w:rPr>
          <w:szCs w:val="20"/>
        </w:rPr>
        <w:t>byla v souladu s pravidly veřejné podpory ve smyslu čl. 107 odst. 1 Smlouvy o fungování Evropské unie (SFEU).</w:t>
      </w:r>
    </w:p>
    <w:p w14:paraId="1AB3FAD1" w14:textId="77777777" w:rsidR="00F20B8D" w:rsidRPr="00305215" w:rsidRDefault="00F20B8D" w:rsidP="00F20B8D">
      <w:pPr>
        <w:pStyle w:val="Styl5"/>
        <w:numPr>
          <w:ilvl w:val="3"/>
          <w:numId w:val="2"/>
        </w:numPr>
        <w:spacing w:line="360" w:lineRule="auto"/>
        <w:ind w:left="426" w:firstLine="0"/>
        <w:textAlignment w:val="auto"/>
        <w:rPr>
          <w:szCs w:val="20"/>
        </w:rPr>
      </w:pPr>
      <w:r w:rsidRPr="00305215">
        <w:rPr>
          <w:szCs w:val="20"/>
        </w:rPr>
        <w:t>Obecné podmínky poskytnutí podpory</w:t>
      </w:r>
    </w:p>
    <w:p w14:paraId="05A9D6CE"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5FA25D1F"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rámci této výzvy nelze poskytnout podporu podniku v obtížích ve smyslu předpisů EU o veřejné podpoře.</w:t>
      </w:r>
    </w:p>
    <w:p w14:paraId="72DB689E" w14:textId="3E79F52F"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U projektů, u nichž bude poskytnutí podpory z Operačního programu Praha – pól růstu ČR (dále jen „OP PPR“) zakládat veřejnou podporu,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Více informací lze nalézt v Obecné části Pravidel pro žadatele a příjemce v rámci OP PPR (konkrétní odkaz na elektronickou verzi tohoto dokumentu viz část 1</w:t>
      </w:r>
      <w:r w:rsidR="00DA386F" w:rsidRPr="00305215">
        <w:rPr>
          <w:rFonts w:cs="Arial"/>
          <w:bCs/>
          <w:szCs w:val="20"/>
        </w:rPr>
        <w:t>1</w:t>
      </w:r>
      <w:r w:rsidRPr="00305215">
        <w:rPr>
          <w:rFonts w:cs="Arial"/>
          <w:bCs/>
          <w:szCs w:val="20"/>
        </w:rPr>
        <w:t>.1 této výzvy). V důsledku toho je možné, že projekt nebude z veřejných zdrojů podpořen v maximálním rozsahu s ohledem na omezení v části 3.8 této výzvy.</w:t>
      </w:r>
    </w:p>
    <w:p w14:paraId="664966FD" w14:textId="77777777" w:rsidR="00F20B8D" w:rsidRPr="00305215" w:rsidRDefault="00F20B8D" w:rsidP="00F20B8D">
      <w:pPr>
        <w:pStyle w:val="Styl2"/>
        <w:numPr>
          <w:ilvl w:val="2"/>
          <w:numId w:val="2"/>
        </w:numPr>
        <w:spacing w:line="360" w:lineRule="auto"/>
        <w:ind w:left="709" w:firstLine="0"/>
        <w:textAlignment w:val="auto"/>
        <w:rPr>
          <w:szCs w:val="20"/>
        </w:rPr>
      </w:pPr>
      <w:r w:rsidRPr="00305215">
        <w:rPr>
          <w:szCs w:val="20"/>
        </w:rPr>
        <w:t xml:space="preserve"> Režimy podpory</w:t>
      </w:r>
    </w:p>
    <w:p w14:paraId="2900DFD6"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rámci této výzvy jsou připuštěny následující režimy podpory:</w:t>
      </w:r>
    </w:p>
    <w:p w14:paraId="2197EC1C" w14:textId="77777777" w:rsidR="00F20B8D" w:rsidRPr="00305215" w:rsidRDefault="00F20B8D" w:rsidP="00F20B8D">
      <w:pPr>
        <w:pStyle w:val="Zkladntext"/>
        <w:numPr>
          <w:ilvl w:val="0"/>
          <w:numId w:val="12"/>
        </w:numPr>
        <w:ind w:left="567" w:hanging="283"/>
        <w:rPr>
          <w:szCs w:val="20"/>
        </w:rPr>
      </w:pPr>
      <w:r w:rsidRPr="00305215">
        <w:rPr>
          <w:szCs w:val="20"/>
        </w:rPr>
        <w:t>Režim podpory nezakládající veřejnou podporu - z důvodů nenaplnění znaků veřejné podpory dle čl. 107 Smlouvy o fungování Evropské unie (dále také jen "SFEU");</w:t>
      </w:r>
    </w:p>
    <w:p w14:paraId="5C49C011" w14:textId="77777777" w:rsidR="00F20B8D" w:rsidRPr="00305215" w:rsidRDefault="00F20B8D" w:rsidP="00F20B8D">
      <w:pPr>
        <w:pStyle w:val="Zkladntext"/>
        <w:numPr>
          <w:ilvl w:val="0"/>
          <w:numId w:val="12"/>
        </w:numPr>
        <w:ind w:left="567" w:hanging="283"/>
        <w:rPr>
          <w:szCs w:val="20"/>
        </w:rPr>
      </w:pPr>
      <w:r w:rsidRPr="00305215">
        <w:rPr>
          <w:szCs w:val="20"/>
        </w:rPr>
        <w:t xml:space="preserve">Režim veřejné podpory slučitelné s vnitřním trhem bez nutnosti notifikace (dále také jen „slučitelná podpora“) - služby obecného hospodářského zájmu dle Nařízení </w:t>
      </w:r>
      <w:r w:rsidRPr="00305215">
        <w:t>Evropského parlamentu a Rady</w:t>
      </w:r>
      <w:r w:rsidRPr="00305215">
        <w:rPr>
          <w:szCs w:val="20"/>
        </w:rPr>
        <w:t xml:space="preserve"> (EU) č. 1370/2007 ze dne 23. října 2007, o veřejných službách v přepravě cestujících po železnici a silnici a o zrušení nařízení Rady (EHS) č. 1191/69 a č. 1107/70, Úř. věst. L 315, 3.12.2007, s. 1—13 (dále také jen "N1370/2007") a/nebo </w:t>
      </w:r>
      <w:r w:rsidRPr="00305215">
        <w:t>Rozhodnutí Komise EU ze dne 20. prosince 2011 o použití čl. 106 odst. 2 Smlouvy o fungování Evropské unie na státní podporu ve formě vyrovnávací platby za závazek veřejné služby udělené určitým podnikům pověřeným poskytováním služeb obecného hospodářského zájmu (2012/21/EU), Úř. Věst. L 7/5, 11. 1. 2012 (dále jen „</w:t>
      </w:r>
      <w:r w:rsidRPr="00305215">
        <w:rPr>
          <w:b/>
          <w:i/>
        </w:rPr>
        <w:t>Rozhodnutí SGEI</w:t>
      </w:r>
      <w:r w:rsidRPr="00305215">
        <w:t>“)</w:t>
      </w:r>
      <w:r w:rsidRPr="00305215">
        <w:rPr>
          <w:szCs w:val="20"/>
        </w:rPr>
        <w:t>;</w:t>
      </w:r>
    </w:p>
    <w:p w14:paraId="145A3A79" w14:textId="24519DF6" w:rsidR="00F20B8D" w:rsidRPr="00305215" w:rsidRDefault="00F20B8D" w:rsidP="00F20B8D">
      <w:pPr>
        <w:pStyle w:val="Zkladntext"/>
        <w:numPr>
          <w:ilvl w:val="0"/>
          <w:numId w:val="12"/>
        </w:numPr>
        <w:ind w:left="567" w:hanging="283"/>
        <w:rPr>
          <w:szCs w:val="20"/>
        </w:rPr>
      </w:pPr>
      <w:r w:rsidRPr="00305215">
        <w:rPr>
          <w:szCs w:val="20"/>
        </w:rPr>
        <w:t>Režim podpory SGEI nezakládajícím veřejnou podporu dle Rozsudku</w:t>
      </w:r>
      <w:r w:rsidR="00AD2E05" w:rsidRPr="00305215">
        <w:rPr>
          <w:szCs w:val="20"/>
        </w:rPr>
        <w:t xml:space="preserve"> </w:t>
      </w:r>
      <w:r w:rsidRPr="00305215">
        <w:rPr>
          <w:szCs w:val="20"/>
        </w:rPr>
        <w:t>Altmark (C-280/00) (dále také jen "Rozsudek Altmark")</w:t>
      </w:r>
    </w:p>
    <w:p w14:paraId="6481F5D1"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Podmínky stanovené níže jsou stanoveny jako další podmínky nad rámec podmínek upravených v jiných částech této výzvy. Níže uvedené podmínky nelze vykládat jako rozšíření podmínek stanovených v jiné části této výzvy.</w:t>
      </w:r>
    </w:p>
    <w:p w14:paraId="44FCF60F" w14:textId="77777777" w:rsidR="009C008D" w:rsidRPr="00305215" w:rsidRDefault="009C008D" w:rsidP="00F20B8D">
      <w:pPr>
        <w:pStyle w:val="Odstavecseseznamem"/>
        <w:overflowPunct w:val="0"/>
        <w:autoSpaceDE w:val="0"/>
        <w:autoSpaceDN w:val="0"/>
        <w:adjustRightInd w:val="0"/>
        <w:spacing w:after="120"/>
        <w:ind w:left="357"/>
        <w:textAlignment w:val="baseline"/>
        <w:rPr>
          <w:rFonts w:cs="Arial"/>
          <w:bCs/>
          <w:szCs w:val="20"/>
        </w:rPr>
      </w:pPr>
    </w:p>
    <w:p w14:paraId="37787C03" w14:textId="77777777" w:rsidR="009C008D" w:rsidRPr="00305215" w:rsidRDefault="009C008D" w:rsidP="00F20B8D">
      <w:pPr>
        <w:pStyle w:val="Odstavecseseznamem"/>
        <w:overflowPunct w:val="0"/>
        <w:autoSpaceDE w:val="0"/>
        <w:autoSpaceDN w:val="0"/>
        <w:adjustRightInd w:val="0"/>
        <w:spacing w:after="120"/>
        <w:ind w:left="357"/>
        <w:textAlignment w:val="baseline"/>
        <w:rPr>
          <w:rFonts w:cs="Arial"/>
          <w:bCs/>
          <w:szCs w:val="20"/>
        </w:rPr>
      </w:pPr>
    </w:p>
    <w:p w14:paraId="68C0462A" w14:textId="77777777" w:rsidR="00F20B8D" w:rsidRPr="00305215" w:rsidRDefault="00F20B8D" w:rsidP="00F20B8D">
      <w:pPr>
        <w:pStyle w:val="Styl5"/>
        <w:numPr>
          <w:ilvl w:val="3"/>
          <w:numId w:val="2"/>
        </w:numPr>
        <w:spacing w:before="120" w:line="360" w:lineRule="auto"/>
        <w:ind w:left="426" w:firstLine="0"/>
        <w:textAlignment w:val="auto"/>
        <w:rPr>
          <w:szCs w:val="20"/>
        </w:rPr>
      </w:pPr>
      <w:r w:rsidRPr="00305215">
        <w:rPr>
          <w:szCs w:val="20"/>
        </w:rPr>
        <w:lastRenderedPageBreak/>
        <w:t xml:space="preserve">Režim podpory nezakládající veřejnou podporu </w:t>
      </w:r>
    </w:p>
    <w:p w14:paraId="3350A109"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tomto režimu lze poskytnout podporu v případě, že podpořený projekt nenaplňuje jeden ze znaků veřejné podpory dle čl. 107 SFEU (zejména podpora nehospodářských činností ve smyslu platných výkladových dokumentů Evropské Komise včetně podpory veřejné infrastruktury využívané výhradně nebo téměř výhradně pro nehospodářské činnosti, podpora projektu nemůže narušit hospodářskou soutěž nebo nemá dopad na obchod mezi členskými státy; opatření ryze lokální povahy apod.)</w:t>
      </w:r>
    </w:p>
    <w:p w14:paraId="373E9FB3" w14:textId="7AE1E740" w:rsidR="00F20B8D" w:rsidRPr="00305215" w:rsidRDefault="00F20B8D" w:rsidP="00F20B8D">
      <w:pPr>
        <w:pStyle w:val="Styl5"/>
        <w:numPr>
          <w:ilvl w:val="3"/>
          <w:numId w:val="2"/>
        </w:numPr>
        <w:spacing w:before="120" w:after="120"/>
        <w:ind w:left="426" w:firstLine="0"/>
        <w:textAlignment w:val="auto"/>
        <w:rPr>
          <w:szCs w:val="20"/>
        </w:rPr>
      </w:pPr>
      <w:r w:rsidRPr="00305215">
        <w:rPr>
          <w:szCs w:val="20"/>
        </w:rPr>
        <w:t xml:space="preserve">Režim podpory slučitelné se společným </w:t>
      </w:r>
      <w:r w:rsidR="00A514F4">
        <w:rPr>
          <w:szCs w:val="20"/>
        </w:rPr>
        <w:t xml:space="preserve">trhem - </w:t>
      </w:r>
      <w:r w:rsidRPr="00305215">
        <w:rPr>
          <w:szCs w:val="20"/>
        </w:rPr>
        <w:t>služby obecného hospodářského zájmu</w:t>
      </w:r>
    </w:p>
    <w:p w14:paraId="7881702A"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tomto režimu je možné poskytnout podporu projektům v oblasti kolejové a silniční přepravy cestujících dle N1370/2007 pro příjemce Dopravní podnik Hlavního města Prahy na bázi smlouvy o veřejných službách a obecných pravidel dle tohoto nařízení, anebo v oblastech nespadajících do působnosti tohoto nařízení dle Rozhodnutí SGEI.</w:t>
      </w:r>
    </w:p>
    <w:p w14:paraId="18B8E8CE"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p>
    <w:p w14:paraId="47D32632" w14:textId="2BF0CBF8"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režimu podpory dle Rozhodnutí SGEI bude podpora poskytována na bázi písemného pověření SGEI a vyrovnávací platby SGEI. Podmínkou aplikace tohoto režimu je, že projekt spadá do oblasti působnosti Rozhodnutí SGEI. Vyhlašovatel předpokládá zejména pro Skupinu aktivit A aplikaci obecné kategorie SGEI dle článku 2 odst. 1 písm. a) kde platí podmínka, že vyrovnávací platba nepřesáhne roční částku 15mil EUR.</w:t>
      </w:r>
    </w:p>
    <w:p w14:paraId="0A6D39A3" w14:textId="77777777" w:rsidR="00F20B8D" w:rsidRPr="00305215" w:rsidRDefault="00F20B8D" w:rsidP="00F20B8D">
      <w:pPr>
        <w:pStyle w:val="Styl5"/>
        <w:numPr>
          <w:ilvl w:val="3"/>
          <w:numId w:val="2"/>
        </w:numPr>
        <w:spacing w:before="120" w:after="120"/>
        <w:ind w:left="426" w:firstLine="0"/>
        <w:textAlignment w:val="auto"/>
        <w:rPr>
          <w:szCs w:val="20"/>
        </w:rPr>
      </w:pPr>
      <w:r w:rsidRPr="00305215">
        <w:rPr>
          <w:szCs w:val="20"/>
        </w:rPr>
        <w:t>Režim podpory SGEI nezakládající veřejnou podporu dle Rozsudku Altmark - specifické podmínky</w:t>
      </w:r>
    </w:p>
    <w:p w14:paraId="1B48E428" w14:textId="77777777" w:rsidR="00F20B8D" w:rsidRPr="00305215" w:rsidRDefault="00F20B8D" w:rsidP="00F20B8D">
      <w:pPr>
        <w:pStyle w:val="Odstavecseseznamem"/>
        <w:overflowPunct w:val="0"/>
        <w:autoSpaceDE w:val="0"/>
        <w:autoSpaceDN w:val="0"/>
        <w:adjustRightInd w:val="0"/>
        <w:spacing w:after="120"/>
        <w:ind w:left="357"/>
        <w:textAlignment w:val="baseline"/>
        <w:rPr>
          <w:rFonts w:cs="Arial"/>
          <w:bCs/>
          <w:szCs w:val="20"/>
        </w:rPr>
      </w:pPr>
      <w:r w:rsidRPr="00305215">
        <w:rPr>
          <w:rFonts w:cs="Arial"/>
          <w:bCs/>
          <w:szCs w:val="20"/>
        </w:rPr>
        <w:t>V tomto režimu lze výjimečně poskytnout podporu za podmínek naplnění všech čtyřech podmínek Rozsudku Altmark:</w:t>
      </w:r>
    </w:p>
    <w:p w14:paraId="56658003" w14:textId="77777777" w:rsidR="00F20B8D" w:rsidRPr="00305215" w:rsidRDefault="00F20B8D" w:rsidP="00F20B8D">
      <w:pPr>
        <w:ind w:left="426"/>
        <w:rPr>
          <w:szCs w:val="20"/>
        </w:rPr>
      </w:pPr>
      <w:r w:rsidRPr="00305215">
        <w:rPr>
          <w:szCs w:val="20"/>
        </w:rPr>
        <w:t>1. subjekt, který je příjemcem vyrovnávací platby, musí být výkonem SGEI pověřen, a to jasně vymezeným způsobem;</w:t>
      </w:r>
    </w:p>
    <w:p w14:paraId="0EECD6BF" w14:textId="77777777" w:rsidR="00F20B8D" w:rsidRPr="00305215" w:rsidRDefault="00F20B8D" w:rsidP="00F20B8D">
      <w:pPr>
        <w:ind w:left="426"/>
        <w:rPr>
          <w:szCs w:val="20"/>
        </w:rPr>
      </w:pPr>
      <w:r w:rsidRPr="00305215">
        <w:rPr>
          <w:szCs w:val="20"/>
        </w:rPr>
        <w:t>2. ukazatele pro kalkulaci výše vyrovnávací platby musí být stanoveny předem a objektivním způsobem;</w:t>
      </w:r>
    </w:p>
    <w:p w14:paraId="2EF72731" w14:textId="77777777" w:rsidR="00F20B8D" w:rsidRPr="00305215" w:rsidRDefault="00F20B8D" w:rsidP="00F20B8D">
      <w:pPr>
        <w:ind w:left="426"/>
        <w:rPr>
          <w:szCs w:val="20"/>
        </w:rPr>
      </w:pPr>
      <w:r w:rsidRPr="00305215">
        <w:rPr>
          <w:szCs w:val="20"/>
        </w:rPr>
        <w:t xml:space="preserve">3. výše vyrovnávací platby nesmí překročit </w:t>
      </w:r>
      <w:r w:rsidRPr="00305215">
        <w:rPr>
          <w:szCs w:val="20"/>
          <w:u w:val="single"/>
        </w:rPr>
        <w:t xml:space="preserve">náklady vynaložené subjektem při plnění závazku veřejné služby po odečtení příslušných příjmů z tohoto závazku a přičtení přiměřeného zisku </w:t>
      </w:r>
      <w:r w:rsidRPr="00305215">
        <w:rPr>
          <w:szCs w:val="20"/>
        </w:rPr>
        <w:t>(nástroje proti překompenzaci); a</w:t>
      </w:r>
    </w:p>
    <w:p w14:paraId="5AA7596B" w14:textId="77777777" w:rsidR="00F20B8D" w:rsidRPr="00305215" w:rsidRDefault="00F20B8D" w:rsidP="00F20B8D">
      <w:pPr>
        <w:ind w:left="426"/>
        <w:rPr>
          <w:szCs w:val="20"/>
        </w:rPr>
      </w:pPr>
      <w:r w:rsidRPr="00305215">
        <w:rPr>
          <w:szCs w:val="20"/>
        </w:rPr>
        <w:t>4. platí, že buďto:</w:t>
      </w:r>
    </w:p>
    <w:p w14:paraId="611E36CF" w14:textId="77777777" w:rsidR="00F20B8D" w:rsidRPr="00305215" w:rsidRDefault="00F20B8D" w:rsidP="00F20B8D">
      <w:pPr>
        <w:pStyle w:val="Odstavecseseznamem"/>
        <w:numPr>
          <w:ilvl w:val="0"/>
          <w:numId w:val="13"/>
        </w:numPr>
        <w:spacing w:after="120"/>
        <w:ind w:left="426" w:firstLine="0"/>
        <w:rPr>
          <w:szCs w:val="20"/>
        </w:rPr>
      </w:pPr>
      <w:r w:rsidRPr="00305215">
        <w:rPr>
          <w:szCs w:val="20"/>
        </w:rPr>
        <w:t>subjekt pověřený výkonem veřejné služby byl vybrán v rámci výběrového řízení umožňující vybrat zájemce schopného poskytovat tyto služby za nejmenších nákladů; nebo</w:t>
      </w:r>
    </w:p>
    <w:p w14:paraId="5F299457" w14:textId="77777777" w:rsidR="00F20B8D" w:rsidRPr="00305215" w:rsidRDefault="00F20B8D" w:rsidP="00F20B8D">
      <w:pPr>
        <w:pStyle w:val="Odstavecseseznamem"/>
        <w:numPr>
          <w:ilvl w:val="0"/>
          <w:numId w:val="13"/>
        </w:numPr>
        <w:spacing w:after="120"/>
        <w:ind w:left="426" w:firstLine="0"/>
        <w:rPr>
          <w:szCs w:val="20"/>
        </w:rPr>
      </w:pPr>
      <w:r w:rsidRPr="00305215">
        <w:rPr>
          <w:szCs w:val="20"/>
        </w:rPr>
        <w:t>kompenzace byla stanovena na základě analýzy nákladů, jež by na výkon veřejné služby vynaložil průměrný, řádně řízený podnik, jež disponuje odpovídajícími technickými prostředky k plnění výkonu dané veřejné služby.</w:t>
      </w:r>
    </w:p>
    <w:p w14:paraId="592CB215" w14:textId="77777777" w:rsidR="00F20B8D" w:rsidRPr="00305215" w:rsidRDefault="00F20B8D" w:rsidP="00F20B8D">
      <w:pPr>
        <w:pStyle w:val="Odstavecseseznamem"/>
        <w:overflowPunct w:val="0"/>
        <w:autoSpaceDE w:val="0"/>
        <w:autoSpaceDN w:val="0"/>
        <w:adjustRightInd w:val="0"/>
        <w:spacing w:after="120"/>
        <w:ind w:left="426"/>
        <w:textAlignment w:val="baseline"/>
        <w:rPr>
          <w:rFonts w:cs="Arial"/>
          <w:bCs/>
          <w:szCs w:val="20"/>
        </w:rPr>
      </w:pPr>
      <w:r w:rsidRPr="00305215">
        <w:rPr>
          <w:rFonts w:cs="Arial"/>
          <w:bCs/>
          <w:szCs w:val="20"/>
        </w:rPr>
        <w:t>Aplikace tohoto režimu bude zpravidla přicházet v úvahu pouze v případě, kdy je žadatel v projektové žádosti schopen doložit existující pověření dle první podmínky a zároveň skutečnost, že byl vybrán dle 4. podmínky. V rámci této výzvy nelze aplikovat splnění čtvrté podmínky analýzou nákladů.</w:t>
      </w:r>
    </w:p>
    <w:p w14:paraId="7D6B8D4F" w14:textId="77777777" w:rsidR="00772091" w:rsidRPr="00A514F4" w:rsidRDefault="00772091" w:rsidP="00F20B8D">
      <w:pPr>
        <w:overflowPunct w:val="0"/>
        <w:autoSpaceDE w:val="0"/>
        <w:autoSpaceDN w:val="0"/>
        <w:adjustRightInd w:val="0"/>
        <w:spacing w:after="120"/>
        <w:textAlignment w:val="baseline"/>
        <w:rPr>
          <w:rFonts w:cs="Arial"/>
          <w:bCs/>
          <w:sz w:val="14"/>
          <w:szCs w:val="20"/>
        </w:rPr>
      </w:pPr>
    </w:p>
    <w:p w14:paraId="221914ED"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Věcné zaměření</w:t>
      </w:r>
    </w:p>
    <w:p w14:paraId="37447A13"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Popis podporovaných aktivit:</w:t>
      </w:r>
    </w:p>
    <w:p w14:paraId="590C0AA9" w14:textId="77777777" w:rsidR="002642B1" w:rsidRPr="00305215" w:rsidRDefault="002642B1" w:rsidP="005D0EF8">
      <w:pPr>
        <w:pStyle w:val="Prav-odr"/>
        <w:numPr>
          <w:ilvl w:val="0"/>
          <w:numId w:val="0"/>
        </w:numPr>
        <w:ind w:left="360"/>
      </w:pPr>
      <w:r w:rsidRPr="00305215">
        <w:t xml:space="preserve">Všechny podporované aktivity musí být vždy v souladu se schválenou </w:t>
      </w:r>
      <w:r w:rsidR="007470A9" w:rsidRPr="00305215">
        <w:t xml:space="preserve">Integrovanou </w:t>
      </w:r>
      <w:r w:rsidRPr="00305215">
        <w:t xml:space="preserve">strategií </w:t>
      </w:r>
      <w:r w:rsidR="007470A9" w:rsidRPr="00305215">
        <w:t xml:space="preserve">pro </w:t>
      </w:r>
      <w:r w:rsidRPr="00305215">
        <w:t>ITI</w:t>
      </w:r>
      <w:r w:rsidR="007470A9" w:rsidRPr="00305215">
        <w:t xml:space="preserve"> Pražské metropolitní oblasti</w:t>
      </w:r>
      <w:r w:rsidRPr="00305215">
        <w:t>.</w:t>
      </w:r>
    </w:p>
    <w:p w14:paraId="3E01D47B" w14:textId="77777777" w:rsidR="00890D6C" w:rsidRPr="00305215" w:rsidRDefault="00890D6C" w:rsidP="005D0EF8">
      <w:pPr>
        <w:pStyle w:val="Prav-odr"/>
        <w:numPr>
          <w:ilvl w:val="0"/>
          <w:numId w:val="0"/>
        </w:numPr>
        <w:ind w:left="360"/>
      </w:pPr>
      <w:r w:rsidRPr="00305215">
        <w:t>Pokud vyjádření Řídícího výboru ITI nebude mít kladný charakter, nebude možné projekt podpořit.</w:t>
      </w:r>
    </w:p>
    <w:p w14:paraId="6741396A" w14:textId="77777777" w:rsidR="002642B1" w:rsidRPr="00305215" w:rsidRDefault="002642B1" w:rsidP="005D0EF8">
      <w:pPr>
        <w:pStyle w:val="Prav-odr"/>
        <w:numPr>
          <w:ilvl w:val="0"/>
          <w:numId w:val="0"/>
        </w:numPr>
        <w:ind w:left="360"/>
        <w:rPr>
          <w:b/>
          <w:i/>
          <w:color w:val="00000A"/>
        </w:rPr>
      </w:pPr>
    </w:p>
    <w:p w14:paraId="4C448354" w14:textId="77777777" w:rsidR="00772091" w:rsidRPr="00305215" w:rsidRDefault="00772091" w:rsidP="005D0EF8">
      <w:pPr>
        <w:pStyle w:val="Prav-odr"/>
        <w:numPr>
          <w:ilvl w:val="0"/>
          <w:numId w:val="0"/>
        </w:numPr>
        <w:ind w:left="360"/>
        <w:rPr>
          <w:i/>
        </w:rPr>
      </w:pPr>
      <w:r w:rsidRPr="00305215">
        <w:rPr>
          <w:b/>
          <w:i/>
          <w:color w:val="00000A"/>
        </w:rPr>
        <w:t>Skupina aktivit A Realizace záchytných parkovišť systému P+R</w:t>
      </w:r>
    </w:p>
    <w:p w14:paraId="7B6F15F6" w14:textId="77777777" w:rsidR="00F3256C" w:rsidRPr="00305215" w:rsidRDefault="00F06E27" w:rsidP="005D0EF8">
      <w:pPr>
        <w:pStyle w:val="Prav-odr"/>
        <w:numPr>
          <w:ilvl w:val="0"/>
          <w:numId w:val="0"/>
        </w:numPr>
        <w:ind w:left="360"/>
      </w:pPr>
      <w:r w:rsidRPr="00305215">
        <w:t>Realizace záchytných parkovišť systému P+R (park &amp; ride) u stanic a zastávek drážní dopravy, případně včetně doplňkových služeb úschovy jízdních kol B+R (</w:t>
      </w:r>
      <w:r w:rsidR="006D3F57" w:rsidRPr="00305215">
        <w:t>bike &amp; ride) – může jít nejen o </w:t>
      </w:r>
      <w:r w:rsidRPr="00305215">
        <w:t xml:space="preserve">parkoviště úrovňové, ale i v nadzemním, případně v podzemním objektu; </w:t>
      </w:r>
      <w:r w:rsidR="006D3F57" w:rsidRPr="00305215">
        <w:t>doplňkově mohou být v </w:t>
      </w:r>
      <w:r w:rsidRPr="00305215">
        <w:t>rámci nového záchytného parkoviště zřízena jako součás</w:t>
      </w:r>
      <w:r w:rsidR="006D3F57" w:rsidRPr="00305215">
        <w:t>t systému P+R parkovací místa s </w:t>
      </w:r>
      <w:r w:rsidRPr="00305215">
        <w:t>možností dobíjení elektromobilů; do rámce podpory může být kromě jednotného standardního vybavení areálu nebo objektu parkoviště P+R zahrnutý také nov</w:t>
      </w:r>
      <w:r w:rsidR="006D3F57" w:rsidRPr="00305215">
        <w:t xml:space="preserve">ý (případně upravený) příjezd </w:t>
      </w:r>
      <w:r w:rsidR="006D3F57" w:rsidRPr="00305215">
        <w:lastRenderedPageBreak/>
        <w:t>z </w:t>
      </w:r>
      <w:r w:rsidRPr="00305215">
        <w:t>místní uliční sítě k realizovanému parkovišti P+R, nový (případně upravený) bezbariérový pěší přístup od realizovaného parkoviště P+R k návazné drážní dopravě (tj. ke vstupu do stanice metra, ke vstupu do železniční stanice, k železniční nebo tramvajové zastávce) a také příslušnému účelu odpovídající rozsah osvětlení a značení (tj. dopravního</w:t>
      </w:r>
      <w:r w:rsidR="006D3F57" w:rsidRPr="00305215">
        <w:t xml:space="preserve"> značení a naváděcího značení k </w:t>
      </w:r>
      <w:r w:rsidRPr="00305215">
        <w:t>realizovanému záchytnému parkovišti P+R, případně i k ú</w:t>
      </w:r>
      <w:r w:rsidR="006D3F57" w:rsidRPr="00305215">
        <w:t>schovně jízdních kol B+R nebo k </w:t>
      </w:r>
      <w:r w:rsidRPr="00305215">
        <w:t>dobíjecímu místu, které jsou součástí objektu tohoto parkoviště). V případě dobíjecích míst musí být zajištěna jejich technologická neutralita (tj. elektrické připojení musí být použitelné pro běžný unifikovaný typ elektrických zástrček).</w:t>
      </w:r>
      <w:r w:rsidR="00F3256C" w:rsidRPr="00305215">
        <w:t xml:space="preserve"> </w:t>
      </w:r>
    </w:p>
    <w:p w14:paraId="6FAA8682" w14:textId="77777777" w:rsidR="00F06E27" w:rsidRPr="00305215" w:rsidRDefault="00F3256C" w:rsidP="005D0EF8">
      <w:pPr>
        <w:pStyle w:val="Prav-odr"/>
        <w:numPr>
          <w:ilvl w:val="0"/>
          <w:numId w:val="0"/>
        </w:numPr>
        <w:ind w:left="360"/>
      </w:pPr>
      <w:r w:rsidRPr="00305215">
        <w:t>Realizovaná parkoviště P+R musí být v souladu s aktuální celoměsts</w:t>
      </w:r>
      <w:r w:rsidR="001267D8" w:rsidRPr="00305215">
        <w:t>kou koncepcí nových lokalit P+R</w:t>
      </w:r>
      <w:r w:rsidR="00770E71" w:rsidRPr="00305215">
        <w:t xml:space="preserve">. </w:t>
      </w:r>
    </w:p>
    <w:p w14:paraId="7BF72B13" w14:textId="77777777" w:rsidR="0016422D" w:rsidRPr="00305215" w:rsidRDefault="00770E71" w:rsidP="0016422D">
      <w:pPr>
        <w:pStyle w:val="Prav-odr"/>
        <w:numPr>
          <w:ilvl w:val="0"/>
          <w:numId w:val="0"/>
        </w:numPr>
        <w:ind w:left="360"/>
      </w:pPr>
      <w:r w:rsidRPr="00305215">
        <w:t xml:space="preserve">Realizovaná parkoviště P+R </w:t>
      </w:r>
      <w:r w:rsidR="003E0E70" w:rsidRPr="00305215">
        <w:t>budou provozována ve vazbě na následné použití PID.</w:t>
      </w:r>
      <w:r w:rsidR="0016422D" w:rsidRPr="00305215">
        <w:t xml:space="preserve"> </w:t>
      </w:r>
      <w:r w:rsidR="003E0E70" w:rsidRPr="00305215">
        <w:t xml:space="preserve">Parkoviště P+R jsou hlídaná nebo nehlídaná s bezobslužným provozem. Na území hl. m. Prahy je použití parkovišť P+R zpoplatněno dle platného Tarifu Pražské integrované dopravy. </w:t>
      </w:r>
    </w:p>
    <w:p w14:paraId="543C6FDD" w14:textId="77777777" w:rsidR="003E0E70" w:rsidRPr="00305215" w:rsidRDefault="003E0E70" w:rsidP="0016422D">
      <w:pPr>
        <w:pStyle w:val="Prav-odr"/>
        <w:numPr>
          <w:ilvl w:val="0"/>
          <w:numId w:val="0"/>
        </w:numPr>
        <w:ind w:left="360"/>
      </w:pPr>
      <w:r w:rsidRPr="00305215">
        <w:t>Parkoviště P+R nehlídané s bezobslužným provozem je parkoviště s omezenou dobou stání na maximálně 1 den (24 hod.).</w:t>
      </w:r>
    </w:p>
    <w:p w14:paraId="2D9C43C8" w14:textId="77777777" w:rsidR="003E0E70" w:rsidRPr="00305215" w:rsidRDefault="00770E71" w:rsidP="003E0E70">
      <w:pPr>
        <w:pStyle w:val="Prav-odr"/>
        <w:numPr>
          <w:ilvl w:val="0"/>
          <w:numId w:val="0"/>
        </w:numPr>
        <w:ind w:left="360"/>
      </w:pPr>
      <w:r w:rsidRPr="00305215">
        <w:t>Parkoviště P+R</w:t>
      </w:r>
      <w:r w:rsidR="0016422D" w:rsidRPr="00305215">
        <w:t xml:space="preserve"> hlídané</w:t>
      </w:r>
      <w:r w:rsidRPr="00305215">
        <w:t xml:space="preserve"> jsou </w:t>
      </w:r>
      <w:r w:rsidR="00816124" w:rsidRPr="00305215">
        <w:t xml:space="preserve">v provozu </w:t>
      </w:r>
      <w:r w:rsidRPr="00305215">
        <w:t>od 4 hodin ráno do cca 1 hodiny následujícího dne (ukončení provozu metra). Po ukončení provozu metra se parkoviště uzavírají.</w:t>
      </w:r>
    </w:p>
    <w:p w14:paraId="5EE128F8" w14:textId="77777777" w:rsidR="0044298A" w:rsidRPr="00305215" w:rsidRDefault="0044298A" w:rsidP="003E0E70">
      <w:pPr>
        <w:pStyle w:val="Prav-odr"/>
        <w:numPr>
          <w:ilvl w:val="0"/>
          <w:numId w:val="0"/>
        </w:numPr>
        <w:ind w:left="360"/>
      </w:pPr>
    </w:p>
    <w:p w14:paraId="7EED9FB6" w14:textId="77777777" w:rsidR="002642B1" w:rsidRPr="00305215" w:rsidRDefault="002642B1" w:rsidP="003E0E70">
      <w:pPr>
        <w:pStyle w:val="Prav-odr"/>
        <w:numPr>
          <w:ilvl w:val="0"/>
          <w:numId w:val="0"/>
        </w:numPr>
        <w:ind w:left="360"/>
      </w:pPr>
      <w:r w:rsidRPr="00305215">
        <w:t xml:space="preserve">Minimální náležitosti parkoviště P+R, které budou posuzovány v rámci </w:t>
      </w:r>
      <w:r w:rsidR="0044298A" w:rsidRPr="00305215">
        <w:t>věcného hodnocení:</w:t>
      </w:r>
    </w:p>
    <w:p w14:paraId="7D14FF5A" w14:textId="77777777" w:rsidR="00571391" w:rsidRPr="00305215" w:rsidRDefault="00FE7291" w:rsidP="00FE7291">
      <w:pPr>
        <w:pStyle w:val="Prav-odr"/>
        <w:numPr>
          <w:ilvl w:val="0"/>
          <w:numId w:val="47"/>
        </w:numPr>
      </w:pPr>
      <w:r w:rsidRPr="00305215">
        <w:t>p</w:t>
      </w:r>
      <w:r w:rsidR="00571391" w:rsidRPr="00305215">
        <w:t>očet vytvořených parkovacích míst</w:t>
      </w:r>
      <w:r w:rsidR="00D0372C" w:rsidRPr="00305215">
        <w:t xml:space="preserve"> novém parkovišti P+R</w:t>
      </w:r>
      <w:r w:rsidRPr="00305215">
        <w:t>: 30;</w:t>
      </w:r>
    </w:p>
    <w:p w14:paraId="299511D0" w14:textId="77777777" w:rsidR="00E573AF" w:rsidRPr="00305215" w:rsidRDefault="00FE7291" w:rsidP="00FE7291">
      <w:pPr>
        <w:pStyle w:val="Prav-odr"/>
        <w:numPr>
          <w:ilvl w:val="0"/>
          <w:numId w:val="47"/>
        </w:numPr>
      </w:pPr>
      <w:r w:rsidRPr="00305215">
        <w:t>p</w:t>
      </w:r>
      <w:r w:rsidR="00571391" w:rsidRPr="00305215">
        <w:t xml:space="preserve">očet vozidel parkujících na novém parkovišti P+R za rok: </w:t>
      </w:r>
      <w:r w:rsidR="00620893" w:rsidRPr="00305215">
        <w:t>8</w:t>
      </w:r>
      <w:r w:rsidR="00C7582D" w:rsidRPr="00305215">
        <w:t> </w:t>
      </w:r>
      <w:r w:rsidR="00620893" w:rsidRPr="00305215">
        <w:t>000.</w:t>
      </w:r>
    </w:p>
    <w:p w14:paraId="56D9249D" w14:textId="77777777" w:rsidR="00C7582D" w:rsidRPr="00305215" w:rsidRDefault="00C7582D" w:rsidP="00C7582D">
      <w:pPr>
        <w:pStyle w:val="Prav-odr"/>
        <w:numPr>
          <w:ilvl w:val="0"/>
          <w:numId w:val="0"/>
        </w:numPr>
        <w:ind w:left="360"/>
      </w:pPr>
    </w:p>
    <w:p w14:paraId="635E82E2" w14:textId="77777777" w:rsidR="00772091" w:rsidRPr="00305215" w:rsidRDefault="00772091" w:rsidP="00772091">
      <w:pPr>
        <w:pStyle w:val="Prav-odr"/>
        <w:numPr>
          <w:ilvl w:val="0"/>
          <w:numId w:val="0"/>
        </w:numPr>
        <w:ind w:left="360"/>
        <w:rPr>
          <w:i/>
        </w:rPr>
      </w:pPr>
      <w:r w:rsidRPr="00305215">
        <w:rPr>
          <w:b/>
          <w:i/>
          <w:color w:val="00000A"/>
        </w:rPr>
        <w:t>Skupina aktivit B Opatření pro preferenci povrchové městské veřejné dopravy v uličním provozu</w:t>
      </w:r>
    </w:p>
    <w:p w14:paraId="3BD00EDD" w14:textId="77777777" w:rsidR="00AF4728" w:rsidRPr="00305215" w:rsidRDefault="00AF4728" w:rsidP="00AF4728">
      <w:pPr>
        <w:pStyle w:val="Prav-odr"/>
        <w:numPr>
          <w:ilvl w:val="0"/>
          <w:numId w:val="0"/>
        </w:numPr>
        <w:ind w:left="360"/>
      </w:pPr>
      <w:r w:rsidRPr="00305215">
        <w:t>Opatření pro preferenci povrchové městské veřejné dopravy v uličním provozu: realizace nového oddělení tramvajového pásu od uličního provozu, realizace nebo vyznačení vyhrazených jízdních pruhů pro autobusy, úpravy světelných signalizačních zařízení pro preferenci tramvají nebo pro preferenci autobusů (s využitím systému aktivní detekce); k těmto opatřením mohou být v řešených úsecích případně doplňkově uplatněna opatření k rychlejšímu a bezpečnějšímu nástupu a výstupu na zastávkách tramvají a autobusů (tzv. vídeňské zastávky, zastávkové mysy, časové ostrůvky, zvýšení nástupních hran apod., přičemž součástí těchto doplňkových opatření mohou být také bezprostředně související úpravy pro zajištění chybějícího bezbariérového přístupu k řešeným zastávkám a také úpravy tohoto přístupu a řešených zastávek k usnadnění jejich používání osobami se specifickým tělesným postižením, zejména se zrakovým postižením), případně úpravy dopravního značení a úpravy režimu parkování směřující k plynulejšímu průjezdu tramvají nebo autobusů - uvedené aktivity nesmějí znamenat celkovou rekonstrukci tramvajové trati nebo komunikace; doplňkově může být také instalováno zařízení pro aktivní detekci v autobusech městské veřejné dopravy nasazovaných do provozu na řešených úsecích.</w:t>
      </w:r>
    </w:p>
    <w:p w14:paraId="37D70A4E" w14:textId="77777777" w:rsidR="00AF4728" w:rsidRPr="00305215" w:rsidRDefault="00AF4728" w:rsidP="00AF4728">
      <w:pPr>
        <w:pStyle w:val="Prav-odr"/>
        <w:numPr>
          <w:ilvl w:val="0"/>
          <w:numId w:val="0"/>
        </w:numPr>
        <w:ind w:left="360"/>
      </w:pPr>
      <w:r w:rsidRPr="00305215">
        <w:t xml:space="preserve">Opatření pro preferenci </w:t>
      </w:r>
      <w:r w:rsidR="00F56A9D" w:rsidRPr="00305215">
        <w:t xml:space="preserve">povrchové městské veřejné dopravy </w:t>
      </w:r>
      <w:r w:rsidRPr="00305215">
        <w:t>musí být v souladu s aktuální</w:t>
      </w:r>
      <w:r w:rsidR="00F56A9D" w:rsidRPr="00305215">
        <w:t>m</w:t>
      </w:r>
      <w:r w:rsidRPr="00305215">
        <w:t xml:space="preserve"> celoměsts</w:t>
      </w:r>
      <w:r w:rsidR="00F56A9D" w:rsidRPr="00305215">
        <w:t>kým Projektem preference.</w:t>
      </w:r>
      <w:r w:rsidRPr="00305215">
        <w:t xml:space="preserve"> </w:t>
      </w:r>
    </w:p>
    <w:p w14:paraId="4FB319E4" w14:textId="77777777" w:rsidR="0044298A" w:rsidRPr="00305215" w:rsidRDefault="0044298A" w:rsidP="0044298A">
      <w:pPr>
        <w:pStyle w:val="Prav-odr"/>
        <w:numPr>
          <w:ilvl w:val="0"/>
          <w:numId w:val="0"/>
        </w:numPr>
        <w:ind w:left="360"/>
      </w:pPr>
    </w:p>
    <w:p w14:paraId="24F52B94" w14:textId="57A04C3C" w:rsidR="0044298A" w:rsidRPr="00305215" w:rsidRDefault="0044298A" w:rsidP="0044298A">
      <w:pPr>
        <w:pStyle w:val="Prav-odr"/>
        <w:numPr>
          <w:ilvl w:val="0"/>
          <w:numId w:val="0"/>
        </w:numPr>
        <w:ind w:left="360"/>
      </w:pPr>
      <w:r w:rsidRPr="00305215">
        <w:t xml:space="preserve">Minimální </w:t>
      </w:r>
      <w:r w:rsidR="00DF3194" w:rsidRPr="00305215">
        <w:t xml:space="preserve">požadavky </w:t>
      </w:r>
      <w:r w:rsidRPr="00305215">
        <w:t>preferenčních opatření, které budou posuzovány v rámci věcného hodnocení</w:t>
      </w:r>
      <w:r w:rsidR="00DF3194" w:rsidRPr="00305215">
        <w:rPr>
          <w:rStyle w:val="Znakapoznpodarou"/>
        </w:rPr>
        <w:footnoteReference w:id="1"/>
      </w:r>
      <w:r w:rsidRPr="00305215">
        <w:t>:</w:t>
      </w:r>
    </w:p>
    <w:p w14:paraId="6C9587E2" w14:textId="1FBA872D" w:rsidR="00F56A9D" w:rsidRPr="00305215" w:rsidRDefault="00FE7291" w:rsidP="006B3256">
      <w:pPr>
        <w:pStyle w:val="Prav-odr"/>
        <w:numPr>
          <w:ilvl w:val="0"/>
          <w:numId w:val="46"/>
        </w:numPr>
      </w:pPr>
      <w:r w:rsidRPr="00305215">
        <w:t>z</w:t>
      </w:r>
      <w:r w:rsidR="00F56A9D" w:rsidRPr="00305215">
        <w:t>krácení přepravního času na zlepšeném úseku</w:t>
      </w:r>
      <w:r w:rsidR="00721920" w:rsidRPr="00305215">
        <w:t xml:space="preserve"> </w:t>
      </w:r>
      <w:r w:rsidR="006B3256" w:rsidRPr="00305215">
        <w:t xml:space="preserve">(případně zlepšených úsecích v rámci projektu) </w:t>
      </w:r>
      <w:r w:rsidR="00CF6D99" w:rsidRPr="00305215">
        <w:t xml:space="preserve">v případě </w:t>
      </w:r>
      <w:r w:rsidR="00920F46" w:rsidRPr="00305215">
        <w:t>realizace aktivit, vedoucích ke zkrácení přepravního času</w:t>
      </w:r>
      <w:r w:rsidR="00F56A9D" w:rsidRPr="00305215">
        <w:t>: 0,5 min.</w:t>
      </w:r>
      <w:r w:rsidRPr="00305215">
        <w:t>;</w:t>
      </w:r>
    </w:p>
    <w:p w14:paraId="3F8ACF01" w14:textId="262A4E57" w:rsidR="00F56A9D" w:rsidRPr="00305215" w:rsidRDefault="00F56A9D" w:rsidP="006B3256">
      <w:pPr>
        <w:pStyle w:val="Prav-odr"/>
        <w:numPr>
          <w:ilvl w:val="0"/>
          <w:numId w:val="46"/>
        </w:numPr>
      </w:pPr>
      <w:r w:rsidRPr="00305215">
        <w:t xml:space="preserve">úspora nafty v provozu městské autobusové dopravy v rámci </w:t>
      </w:r>
      <w:r w:rsidR="00721920" w:rsidRPr="00305215">
        <w:t>zlepšeného úseku</w:t>
      </w:r>
      <w:r w:rsidR="006B3256" w:rsidRPr="00305215">
        <w:t xml:space="preserve"> (příp. zlepšených úseků v rámci projektu)</w:t>
      </w:r>
      <w:r w:rsidR="00721920" w:rsidRPr="00305215">
        <w:t xml:space="preserve"> s podporou preferenčních opatření pro autobusy</w:t>
      </w:r>
      <w:r w:rsidR="00FE7291" w:rsidRPr="00305215">
        <w:t xml:space="preserve">: 200 litrů/rok; </w:t>
      </w:r>
    </w:p>
    <w:p w14:paraId="4B343467" w14:textId="2011195F" w:rsidR="00F56A9D" w:rsidRPr="00305215" w:rsidRDefault="00F56A9D" w:rsidP="00721920">
      <w:pPr>
        <w:pStyle w:val="Prav-odr"/>
        <w:numPr>
          <w:ilvl w:val="0"/>
          <w:numId w:val="46"/>
        </w:numPr>
      </w:pPr>
      <w:r w:rsidRPr="00305215">
        <w:lastRenderedPageBreak/>
        <w:t>délka nových podélných dělících preferenčních opatření v případě realizace po</w:t>
      </w:r>
      <w:r w:rsidR="00FE7291" w:rsidRPr="00305215">
        <w:t>délných dělících prvků: 0,05 km</w:t>
      </w:r>
      <w:r w:rsidR="00721920" w:rsidRPr="00305215">
        <w:t xml:space="preserve"> v rámci zlepšeného úseku</w:t>
      </w:r>
      <w:r w:rsidR="006B3256" w:rsidRPr="00305215">
        <w:t xml:space="preserve"> (případně zlepšených úseků v rámci projektu)</w:t>
      </w:r>
      <w:r w:rsidR="00FE7291" w:rsidRPr="00305215">
        <w:t>;</w:t>
      </w:r>
    </w:p>
    <w:p w14:paraId="2CCB217F" w14:textId="3E1A3B03" w:rsidR="00F56A9D" w:rsidRPr="00305215" w:rsidRDefault="00F56A9D" w:rsidP="00721920">
      <w:pPr>
        <w:pStyle w:val="Prav-odr"/>
        <w:numPr>
          <w:ilvl w:val="0"/>
          <w:numId w:val="46"/>
        </w:numPr>
      </w:pPr>
      <w:r w:rsidRPr="00305215">
        <w:t>počet zařízení a služeb pro řízení dopr</w:t>
      </w:r>
      <w:r w:rsidR="00FE7291" w:rsidRPr="00305215">
        <w:t>avy v případě implementace/</w:t>
      </w:r>
      <w:r w:rsidRPr="00305215">
        <w:t>optimalizace zařízení: 1</w:t>
      </w:r>
      <w:r w:rsidR="00721920" w:rsidRPr="00305215">
        <w:t xml:space="preserve">              v rámci zlepšeného úseku</w:t>
      </w:r>
      <w:r w:rsidR="006B3256" w:rsidRPr="00305215">
        <w:t xml:space="preserve"> (případně zlepšených úseků v rámci projektu)</w:t>
      </w:r>
      <w:r w:rsidRPr="00305215">
        <w:t>.</w:t>
      </w:r>
    </w:p>
    <w:p w14:paraId="07D0C2F5" w14:textId="77777777" w:rsidR="00772091" w:rsidRPr="00305215" w:rsidRDefault="00772091" w:rsidP="00920F46">
      <w:pPr>
        <w:pStyle w:val="Prav-odr"/>
        <w:numPr>
          <w:ilvl w:val="0"/>
          <w:numId w:val="0"/>
        </w:numPr>
      </w:pPr>
    </w:p>
    <w:p w14:paraId="6ED3DEDC"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Cílová skupina: </w:t>
      </w:r>
      <w:r w:rsidR="00F06E27" w:rsidRPr="00305215">
        <w:rPr>
          <w:rFonts w:cs="Arial"/>
          <w:bCs/>
          <w:sz w:val="20"/>
        </w:rPr>
        <w:t>Obyvatelé a návštěvníci města</w:t>
      </w:r>
    </w:p>
    <w:p w14:paraId="51197E0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Indikátory: </w:t>
      </w:r>
    </w:p>
    <w:p w14:paraId="5A05BAB9" w14:textId="77777777" w:rsidR="004A42AD" w:rsidRPr="00305215" w:rsidRDefault="00FC534A" w:rsidP="00920F46">
      <w:pPr>
        <w:pStyle w:val="Prav-odr"/>
        <w:numPr>
          <w:ilvl w:val="0"/>
          <w:numId w:val="0"/>
        </w:numPr>
        <w:ind w:left="360"/>
      </w:pPr>
      <w:r w:rsidRPr="00305215">
        <w:t xml:space="preserve">Každý žadatel si v žádosti o podporu zvolí </w:t>
      </w:r>
      <w:r w:rsidR="00AB1D59" w:rsidRPr="00305215">
        <w:t xml:space="preserve">všechny </w:t>
      </w:r>
      <w:r w:rsidRPr="00305215">
        <w:t xml:space="preserve">následující indikátory, které budou příjemcem povinně vykazovány </w:t>
      </w:r>
      <w:r w:rsidR="00416F77" w:rsidRPr="00305215">
        <w:t>a</w:t>
      </w:r>
      <w:r w:rsidRPr="00305215">
        <w:t xml:space="preserve"> naplňovány: </w:t>
      </w:r>
    </w:p>
    <w:p w14:paraId="28D92AAB" w14:textId="77777777" w:rsidR="00920F46" w:rsidRPr="00305215" w:rsidRDefault="00920F46" w:rsidP="00920F46">
      <w:pPr>
        <w:pStyle w:val="Prav-odr"/>
        <w:numPr>
          <w:ilvl w:val="0"/>
          <w:numId w:val="0"/>
        </w:numPr>
        <w:ind w:left="360"/>
      </w:pPr>
    </w:p>
    <w:p w14:paraId="2E46A555" w14:textId="77777777" w:rsidR="00920F46" w:rsidRPr="00305215" w:rsidRDefault="004A42AD" w:rsidP="00754B6F">
      <w:pPr>
        <w:pStyle w:val="Prav-odr"/>
        <w:numPr>
          <w:ilvl w:val="0"/>
          <w:numId w:val="0"/>
        </w:numPr>
        <w:ind w:left="720" w:hanging="360"/>
        <w:rPr>
          <w:b/>
          <w:i/>
          <w:color w:val="00000A"/>
        </w:rPr>
      </w:pPr>
      <w:r w:rsidRPr="00305215">
        <w:rPr>
          <w:b/>
          <w:i/>
          <w:color w:val="00000A"/>
        </w:rPr>
        <w:t>Skupina aktivit A Realizace záchytných parkovišť systému P+R</w:t>
      </w:r>
    </w:p>
    <w:p w14:paraId="67418518" w14:textId="77777777" w:rsidR="001267D8" w:rsidRPr="00305215" w:rsidRDefault="00A15490" w:rsidP="00C76163">
      <w:pPr>
        <w:pStyle w:val="txt"/>
        <w:numPr>
          <w:ilvl w:val="0"/>
          <w:numId w:val="28"/>
        </w:numPr>
        <w:spacing w:after="0"/>
        <w:rPr>
          <w:rFonts w:cs="Arial"/>
          <w:bCs/>
          <w:sz w:val="20"/>
          <w:szCs w:val="20"/>
        </w:rPr>
      </w:pPr>
      <w:r w:rsidRPr="00305215">
        <w:rPr>
          <w:rFonts w:cs="Arial"/>
          <w:bCs/>
          <w:sz w:val="20"/>
          <w:szCs w:val="20"/>
        </w:rPr>
        <w:t>povinné k výběru</w:t>
      </w:r>
      <w:r w:rsidR="00FC534A" w:rsidRPr="00305215">
        <w:rPr>
          <w:rStyle w:val="Znakapoznpodarou"/>
          <w:szCs w:val="20"/>
        </w:rPr>
        <w:footnoteReference w:id="2"/>
      </w:r>
      <w:r w:rsidR="00FC534A" w:rsidRPr="00305215">
        <w:rPr>
          <w:rFonts w:cs="Arial"/>
          <w:bCs/>
          <w:sz w:val="20"/>
          <w:szCs w:val="20"/>
        </w:rPr>
        <w:t>:</w:t>
      </w:r>
    </w:p>
    <w:tbl>
      <w:tblPr>
        <w:tblW w:w="5000" w:type="pct"/>
        <w:tblCellMar>
          <w:left w:w="70" w:type="dxa"/>
          <w:right w:w="70" w:type="dxa"/>
        </w:tblCellMar>
        <w:tblLook w:val="04A0" w:firstRow="1" w:lastRow="0" w:firstColumn="1" w:lastColumn="0" w:noHBand="0" w:noVBand="1"/>
      </w:tblPr>
      <w:tblGrid>
        <w:gridCol w:w="1417"/>
        <w:gridCol w:w="4868"/>
        <w:gridCol w:w="1622"/>
        <w:gridCol w:w="1298"/>
      </w:tblGrid>
      <w:tr w:rsidR="00A15490" w:rsidRPr="00305215" w14:paraId="4E4083E2"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79BD40A" w14:textId="77777777" w:rsidR="00A15490" w:rsidRPr="00305215" w:rsidRDefault="00A15490" w:rsidP="00A518C0">
            <w:pPr>
              <w:jc w:val="center"/>
              <w:rPr>
                <w:rFonts w:cs="Arial"/>
                <w:b/>
                <w:color w:val="000000"/>
                <w:szCs w:val="20"/>
              </w:rPr>
            </w:pPr>
            <w:r w:rsidRPr="00305215">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auto"/>
            <w:vAlign w:val="center"/>
          </w:tcPr>
          <w:p w14:paraId="15B5AB1A" w14:textId="77777777" w:rsidR="00A15490" w:rsidRPr="00305215" w:rsidRDefault="00A15490" w:rsidP="00A518C0">
            <w:pPr>
              <w:jc w:val="center"/>
              <w:rPr>
                <w:rFonts w:cs="Arial"/>
                <w:b/>
                <w:color w:val="000000"/>
                <w:szCs w:val="20"/>
              </w:rPr>
            </w:pPr>
            <w:r w:rsidRPr="00305215">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auto"/>
            <w:vAlign w:val="center"/>
          </w:tcPr>
          <w:p w14:paraId="7571B200" w14:textId="77777777" w:rsidR="00A15490" w:rsidRPr="00305215" w:rsidRDefault="00A15490" w:rsidP="00A518C0">
            <w:pPr>
              <w:jc w:val="center"/>
              <w:rPr>
                <w:rFonts w:cs="Arial"/>
                <w:b/>
                <w:color w:val="000000"/>
                <w:szCs w:val="20"/>
              </w:rPr>
            </w:pPr>
            <w:r w:rsidRPr="00305215">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auto"/>
            <w:vAlign w:val="center"/>
          </w:tcPr>
          <w:p w14:paraId="25C694A0" w14:textId="77777777" w:rsidR="00A15490" w:rsidRPr="00305215" w:rsidRDefault="00A15490" w:rsidP="00A518C0">
            <w:pPr>
              <w:jc w:val="center"/>
              <w:rPr>
                <w:rFonts w:cs="Arial"/>
                <w:b/>
                <w:color w:val="000000"/>
                <w:szCs w:val="20"/>
              </w:rPr>
            </w:pPr>
            <w:r w:rsidRPr="00305215">
              <w:rPr>
                <w:rFonts w:cs="Arial"/>
                <w:b/>
                <w:color w:val="000000"/>
                <w:szCs w:val="20"/>
              </w:rPr>
              <w:t>Typ indikátoru</w:t>
            </w:r>
          </w:p>
        </w:tc>
      </w:tr>
      <w:tr w:rsidR="00A15490" w:rsidRPr="00305215" w14:paraId="7495FDBE"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1C105310" w14:textId="77777777" w:rsidR="00A15490" w:rsidRPr="00305215" w:rsidRDefault="00A15490" w:rsidP="00A518C0">
            <w:pPr>
              <w:jc w:val="left"/>
              <w:rPr>
                <w:rFonts w:cs="Arial"/>
                <w:color w:val="000000"/>
                <w:szCs w:val="20"/>
              </w:rPr>
            </w:pPr>
            <w:r w:rsidRPr="00305215">
              <w:rPr>
                <w:rFonts w:cs="Arial"/>
                <w:color w:val="000000"/>
                <w:szCs w:val="20"/>
              </w:rPr>
              <w:t>3 60 10</w:t>
            </w:r>
          </w:p>
        </w:tc>
        <w:tc>
          <w:tcPr>
            <w:tcW w:w="2644" w:type="pct"/>
            <w:tcBorders>
              <w:top w:val="single" w:sz="4" w:space="0" w:color="auto"/>
              <w:left w:val="nil"/>
              <w:bottom w:val="single" w:sz="4" w:space="0" w:color="auto"/>
              <w:right w:val="single" w:sz="4" w:space="0" w:color="auto"/>
            </w:tcBorders>
            <w:shd w:val="clear" w:color="auto" w:fill="auto"/>
            <w:vAlign w:val="center"/>
          </w:tcPr>
          <w:p w14:paraId="394F5E1C" w14:textId="77777777" w:rsidR="00A15490" w:rsidRPr="00305215" w:rsidRDefault="00A15490" w:rsidP="00A518C0">
            <w:pPr>
              <w:jc w:val="left"/>
              <w:rPr>
                <w:rFonts w:cs="Arial"/>
                <w:color w:val="000000"/>
                <w:szCs w:val="20"/>
              </w:rPr>
            </w:pPr>
            <w:r w:rsidRPr="00305215">
              <w:rPr>
                <w:rFonts w:cs="Arial"/>
                <w:color w:val="000000"/>
                <w:szCs w:val="20"/>
              </w:rPr>
              <w:t>Odhadované roční snížení emisí skleníkových plynů</w:t>
            </w:r>
          </w:p>
        </w:tc>
        <w:tc>
          <w:tcPr>
            <w:tcW w:w="881" w:type="pct"/>
            <w:tcBorders>
              <w:top w:val="single" w:sz="4" w:space="0" w:color="auto"/>
              <w:left w:val="nil"/>
              <w:bottom w:val="single" w:sz="4" w:space="0" w:color="auto"/>
              <w:right w:val="single" w:sz="4" w:space="0" w:color="auto"/>
            </w:tcBorders>
            <w:shd w:val="clear" w:color="auto" w:fill="auto"/>
            <w:vAlign w:val="center"/>
          </w:tcPr>
          <w:p w14:paraId="34DA3515" w14:textId="77777777" w:rsidR="00A15490" w:rsidRPr="00305215" w:rsidRDefault="00A15490" w:rsidP="00A518C0">
            <w:pPr>
              <w:jc w:val="left"/>
              <w:rPr>
                <w:rFonts w:cs="Arial"/>
                <w:color w:val="000000"/>
                <w:szCs w:val="20"/>
              </w:rPr>
            </w:pPr>
            <w:r w:rsidRPr="00305215">
              <w:rPr>
                <w:rFonts w:cs="Arial"/>
                <w:color w:val="000000"/>
                <w:szCs w:val="20"/>
              </w:rPr>
              <w:t>t ekv. CO</w:t>
            </w:r>
            <w:r w:rsidRPr="00305215">
              <w:rPr>
                <w:rFonts w:cs="Arial"/>
                <w:color w:val="000000"/>
                <w:szCs w:val="20"/>
                <w:vertAlign w:val="subscript"/>
              </w:rPr>
              <w:t>2</w:t>
            </w:r>
            <w:r w:rsidRPr="00305215">
              <w:rPr>
                <w:rFonts w:cs="Arial"/>
                <w:color w:val="000000"/>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32334976" w14:textId="77777777" w:rsidR="00A15490" w:rsidRPr="00305215" w:rsidRDefault="00A15490" w:rsidP="00A518C0">
            <w:pPr>
              <w:jc w:val="left"/>
              <w:rPr>
                <w:rFonts w:cs="Arial"/>
                <w:color w:val="000000"/>
                <w:szCs w:val="20"/>
              </w:rPr>
            </w:pPr>
            <w:r w:rsidRPr="00305215">
              <w:rPr>
                <w:rFonts w:cs="Arial"/>
                <w:color w:val="000000"/>
                <w:szCs w:val="20"/>
              </w:rPr>
              <w:t>výstup</w:t>
            </w:r>
          </w:p>
        </w:tc>
      </w:tr>
    </w:tbl>
    <w:p w14:paraId="393465F9" w14:textId="77777777" w:rsidR="00A15490" w:rsidRPr="00305215" w:rsidRDefault="00A15490" w:rsidP="00A15490">
      <w:pPr>
        <w:pStyle w:val="txt"/>
        <w:spacing w:after="0"/>
        <w:ind w:left="720" w:firstLine="0"/>
        <w:rPr>
          <w:rFonts w:cs="Arial"/>
          <w:bCs/>
          <w:sz w:val="20"/>
          <w:szCs w:val="20"/>
        </w:rPr>
      </w:pPr>
    </w:p>
    <w:p w14:paraId="2A38D65A" w14:textId="77777777" w:rsidR="00FC534A" w:rsidRPr="00305215" w:rsidRDefault="00A15490" w:rsidP="00C76163">
      <w:pPr>
        <w:pStyle w:val="txt"/>
        <w:numPr>
          <w:ilvl w:val="0"/>
          <w:numId w:val="28"/>
        </w:numPr>
        <w:spacing w:after="0"/>
        <w:rPr>
          <w:rFonts w:cs="Arial"/>
          <w:bCs/>
          <w:sz w:val="20"/>
          <w:szCs w:val="20"/>
        </w:rPr>
      </w:pPr>
      <w:r w:rsidRPr="00305215">
        <w:rPr>
          <w:rFonts w:cs="Arial"/>
          <w:bCs/>
          <w:sz w:val="20"/>
          <w:szCs w:val="20"/>
        </w:rPr>
        <w:t>povinné k naplnění</w:t>
      </w:r>
      <w:r w:rsidR="006A2216" w:rsidRPr="00305215">
        <w:rPr>
          <w:rStyle w:val="Znakapoznpodarou"/>
          <w:rFonts w:cs="Arial"/>
          <w:bCs/>
          <w:sz w:val="20"/>
          <w:szCs w:val="20"/>
        </w:rPr>
        <w:footnoteReference w:id="3"/>
      </w:r>
    </w:p>
    <w:tbl>
      <w:tblPr>
        <w:tblW w:w="5000" w:type="pct"/>
        <w:tblCellMar>
          <w:left w:w="70" w:type="dxa"/>
          <w:right w:w="70" w:type="dxa"/>
        </w:tblCellMar>
        <w:tblLook w:val="04A0" w:firstRow="1" w:lastRow="0" w:firstColumn="1" w:lastColumn="0" w:noHBand="0" w:noVBand="1"/>
      </w:tblPr>
      <w:tblGrid>
        <w:gridCol w:w="1417"/>
        <w:gridCol w:w="4868"/>
        <w:gridCol w:w="1622"/>
        <w:gridCol w:w="1298"/>
      </w:tblGrid>
      <w:tr w:rsidR="00FC534A" w:rsidRPr="00305215" w14:paraId="40B0A879"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61840CD1" w14:textId="77777777" w:rsidR="00FC534A" w:rsidRPr="00305215" w:rsidRDefault="00FC534A" w:rsidP="00A518C0">
            <w:pPr>
              <w:jc w:val="center"/>
              <w:rPr>
                <w:rFonts w:cs="Arial"/>
                <w:b/>
                <w:color w:val="000000"/>
                <w:szCs w:val="20"/>
              </w:rPr>
            </w:pPr>
            <w:r w:rsidRPr="00305215">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auto"/>
            <w:vAlign w:val="center"/>
          </w:tcPr>
          <w:p w14:paraId="0A9436B5" w14:textId="77777777" w:rsidR="00FC534A" w:rsidRPr="00305215" w:rsidRDefault="00FC534A" w:rsidP="00A518C0">
            <w:pPr>
              <w:jc w:val="center"/>
              <w:rPr>
                <w:rFonts w:cs="Arial"/>
                <w:b/>
                <w:color w:val="000000"/>
                <w:szCs w:val="20"/>
              </w:rPr>
            </w:pPr>
            <w:r w:rsidRPr="00305215">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auto"/>
            <w:vAlign w:val="center"/>
          </w:tcPr>
          <w:p w14:paraId="73036563" w14:textId="77777777" w:rsidR="00FC534A" w:rsidRPr="00305215" w:rsidRDefault="00FC534A" w:rsidP="00A518C0">
            <w:pPr>
              <w:jc w:val="center"/>
              <w:rPr>
                <w:rFonts w:cs="Arial"/>
                <w:b/>
                <w:color w:val="000000"/>
                <w:szCs w:val="20"/>
              </w:rPr>
            </w:pPr>
            <w:r w:rsidRPr="00305215">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auto"/>
            <w:vAlign w:val="center"/>
          </w:tcPr>
          <w:p w14:paraId="64558A89" w14:textId="77777777" w:rsidR="00FC534A" w:rsidRPr="00305215" w:rsidRDefault="00FC534A" w:rsidP="00A518C0">
            <w:pPr>
              <w:jc w:val="center"/>
              <w:rPr>
                <w:rFonts w:cs="Arial"/>
                <w:b/>
                <w:color w:val="000000"/>
                <w:szCs w:val="20"/>
              </w:rPr>
            </w:pPr>
            <w:r w:rsidRPr="00305215">
              <w:rPr>
                <w:rFonts w:cs="Arial"/>
                <w:b/>
                <w:color w:val="000000"/>
                <w:szCs w:val="20"/>
              </w:rPr>
              <w:t>Typ indikátoru</w:t>
            </w:r>
          </w:p>
        </w:tc>
      </w:tr>
      <w:tr w:rsidR="00513CC9" w:rsidRPr="00305215" w14:paraId="15FCF266"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43C09B7" w14:textId="77777777" w:rsidR="00513CC9" w:rsidRPr="00305215" w:rsidRDefault="00513CC9" w:rsidP="00513CC9">
            <w:pPr>
              <w:jc w:val="left"/>
              <w:rPr>
                <w:rFonts w:cs="Arial"/>
                <w:color w:val="000000"/>
                <w:szCs w:val="20"/>
              </w:rPr>
            </w:pPr>
            <w:r w:rsidRPr="00305215">
              <w:rPr>
                <w:rFonts w:cs="Arial"/>
                <w:color w:val="000000"/>
                <w:szCs w:val="20"/>
              </w:rPr>
              <w:t>7 04 01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1E4D9091" w14:textId="77777777" w:rsidR="00513CC9" w:rsidRPr="00305215" w:rsidRDefault="00513CC9" w:rsidP="00513CC9">
            <w:pPr>
              <w:jc w:val="left"/>
              <w:rPr>
                <w:rFonts w:cs="Arial"/>
                <w:color w:val="000000"/>
                <w:szCs w:val="20"/>
              </w:rPr>
            </w:pPr>
            <w:r w:rsidRPr="00305215">
              <w:rPr>
                <w:rFonts w:cs="Arial"/>
                <w:color w:val="000000"/>
                <w:szCs w:val="20"/>
              </w:rPr>
              <w:t>Počet zařízení a služeb pro řízení dopravy</w:t>
            </w:r>
          </w:p>
        </w:tc>
        <w:tc>
          <w:tcPr>
            <w:tcW w:w="881" w:type="pct"/>
            <w:tcBorders>
              <w:top w:val="single" w:sz="4" w:space="0" w:color="auto"/>
              <w:left w:val="nil"/>
              <w:bottom w:val="single" w:sz="4" w:space="0" w:color="auto"/>
              <w:right w:val="single" w:sz="4" w:space="0" w:color="auto"/>
            </w:tcBorders>
            <w:shd w:val="clear" w:color="auto" w:fill="auto"/>
            <w:vAlign w:val="center"/>
          </w:tcPr>
          <w:p w14:paraId="20AFD169" w14:textId="77777777" w:rsidR="00513CC9" w:rsidRPr="00305215" w:rsidRDefault="00513CC9" w:rsidP="00513CC9">
            <w:pPr>
              <w:jc w:val="left"/>
              <w:rPr>
                <w:rFonts w:cs="Arial"/>
                <w:color w:val="000000"/>
                <w:szCs w:val="20"/>
              </w:rPr>
            </w:pPr>
            <w:r w:rsidRPr="00305215">
              <w:rPr>
                <w:rFonts w:cs="Arial"/>
                <w:color w:val="000000"/>
                <w:szCs w:val="20"/>
              </w:rPr>
              <w:t>ks</w:t>
            </w:r>
          </w:p>
        </w:tc>
        <w:tc>
          <w:tcPr>
            <w:tcW w:w="705" w:type="pct"/>
            <w:tcBorders>
              <w:top w:val="single" w:sz="4" w:space="0" w:color="auto"/>
              <w:left w:val="nil"/>
              <w:bottom w:val="single" w:sz="4" w:space="0" w:color="auto"/>
              <w:right w:val="single" w:sz="4" w:space="0" w:color="auto"/>
            </w:tcBorders>
            <w:shd w:val="clear" w:color="auto" w:fill="auto"/>
            <w:vAlign w:val="center"/>
          </w:tcPr>
          <w:p w14:paraId="14016E9B" w14:textId="77777777" w:rsidR="00513CC9" w:rsidRPr="00305215" w:rsidRDefault="00513CC9" w:rsidP="00513CC9">
            <w:pPr>
              <w:jc w:val="left"/>
              <w:rPr>
                <w:rFonts w:cs="Arial"/>
                <w:color w:val="000000"/>
                <w:szCs w:val="20"/>
              </w:rPr>
            </w:pPr>
            <w:r w:rsidRPr="00305215">
              <w:rPr>
                <w:rFonts w:cs="Arial"/>
                <w:color w:val="000000"/>
                <w:szCs w:val="20"/>
              </w:rPr>
              <w:t>výstup</w:t>
            </w:r>
          </w:p>
        </w:tc>
      </w:tr>
      <w:tr w:rsidR="00FC534A" w:rsidRPr="00305215" w14:paraId="714568D7"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3EBEE7A" w14:textId="77777777" w:rsidR="00FC534A" w:rsidRPr="00305215" w:rsidRDefault="00837AD1" w:rsidP="009134F9">
            <w:pPr>
              <w:jc w:val="left"/>
              <w:rPr>
                <w:rFonts w:cs="Arial"/>
                <w:color w:val="000000"/>
                <w:szCs w:val="20"/>
              </w:rPr>
            </w:pPr>
            <w:r w:rsidRPr="00305215">
              <w:rPr>
                <w:rFonts w:cs="Arial"/>
                <w:color w:val="000000"/>
                <w:szCs w:val="20"/>
              </w:rPr>
              <w:t>7</w:t>
            </w:r>
            <w:r w:rsidR="00754B6F" w:rsidRPr="00305215">
              <w:rPr>
                <w:rFonts w:cs="Arial"/>
                <w:color w:val="000000"/>
                <w:szCs w:val="20"/>
              </w:rPr>
              <w:t xml:space="preserve"> </w:t>
            </w:r>
            <w:r w:rsidRPr="00305215">
              <w:rPr>
                <w:rFonts w:cs="Arial"/>
                <w:color w:val="000000"/>
                <w:szCs w:val="20"/>
              </w:rPr>
              <w:t>40</w:t>
            </w:r>
            <w:r w:rsidR="00754B6F" w:rsidRPr="00305215">
              <w:rPr>
                <w:rFonts w:cs="Arial"/>
                <w:color w:val="000000"/>
                <w:szCs w:val="20"/>
              </w:rPr>
              <w:t xml:space="preserve"> </w:t>
            </w:r>
            <w:r w:rsidRPr="00305215">
              <w:rPr>
                <w:rFonts w:cs="Arial"/>
                <w:color w:val="000000"/>
                <w:szCs w:val="20"/>
              </w:rPr>
              <w:t>20</w:t>
            </w:r>
          </w:p>
        </w:tc>
        <w:tc>
          <w:tcPr>
            <w:tcW w:w="2644" w:type="pct"/>
            <w:tcBorders>
              <w:top w:val="single" w:sz="4" w:space="0" w:color="auto"/>
              <w:left w:val="nil"/>
              <w:bottom w:val="single" w:sz="4" w:space="0" w:color="auto"/>
              <w:right w:val="single" w:sz="4" w:space="0" w:color="auto"/>
            </w:tcBorders>
            <w:shd w:val="clear" w:color="auto" w:fill="auto"/>
            <w:vAlign w:val="center"/>
          </w:tcPr>
          <w:p w14:paraId="2D28735F" w14:textId="77777777" w:rsidR="00FC534A" w:rsidRPr="00305215" w:rsidRDefault="006A7C8E" w:rsidP="009134F9">
            <w:pPr>
              <w:jc w:val="left"/>
              <w:rPr>
                <w:rFonts w:cs="Arial"/>
                <w:color w:val="000000"/>
                <w:szCs w:val="20"/>
              </w:rPr>
            </w:pPr>
            <w:r w:rsidRPr="00305215">
              <w:rPr>
                <w:rFonts w:cs="Arial"/>
                <w:color w:val="000000"/>
                <w:szCs w:val="20"/>
              </w:rPr>
              <w:t>Počet vozidel parkujících na P+R</w:t>
            </w:r>
            <w:r w:rsidR="008457D2" w:rsidRPr="00305215">
              <w:rPr>
                <w:rFonts w:cs="Arial"/>
                <w:color w:val="000000"/>
                <w:szCs w:val="20"/>
              </w:rPr>
              <w:t xml:space="preserve"> v rámci podpořeného projektu</w:t>
            </w:r>
          </w:p>
        </w:tc>
        <w:tc>
          <w:tcPr>
            <w:tcW w:w="881" w:type="pct"/>
            <w:tcBorders>
              <w:top w:val="single" w:sz="4" w:space="0" w:color="auto"/>
              <w:left w:val="nil"/>
              <w:bottom w:val="single" w:sz="4" w:space="0" w:color="auto"/>
              <w:right w:val="single" w:sz="4" w:space="0" w:color="auto"/>
            </w:tcBorders>
            <w:shd w:val="clear" w:color="auto" w:fill="auto"/>
            <w:vAlign w:val="center"/>
          </w:tcPr>
          <w:p w14:paraId="03DECE12" w14:textId="77777777" w:rsidR="00FC534A" w:rsidRPr="00305215" w:rsidRDefault="006A7C8E" w:rsidP="009134F9">
            <w:pPr>
              <w:jc w:val="left"/>
              <w:rPr>
                <w:rFonts w:cs="Arial"/>
                <w:color w:val="000000"/>
                <w:szCs w:val="20"/>
              </w:rPr>
            </w:pPr>
            <w:r w:rsidRPr="00305215">
              <w:rPr>
                <w:rFonts w:cs="Arial"/>
                <w:color w:val="000000"/>
                <w:szCs w:val="20"/>
              </w:rPr>
              <w:t>vozidla/rok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159431C1" w14:textId="77777777" w:rsidR="00FC534A" w:rsidRPr="00305215" w:rsidRDefault="006A7C8E" w:rsidP="009134F9">
            <w:pPr>
              <w:jc w:val="left"/>
              <w:rPr>
                <w:rFonts w:cs="Arial"/>
                <w:color w:val="000000"/>
                <w:szCs w:val="20"/>
              </w:rPr>
            </w:pPr>
            <w:r w:rsidRPr="00305215">
              <w:rPr>
                <w:rFonts w:cs="Arial"/>
                <w:color w:val="000000"/>
                <w:szCs w:val="20"/>
              </w:rPr>
              <w:t>výsledek</w:t>
            </w:r>
          </w:p>
        </w:tc>
      </w:tr>
      <w:tr w:rsidR="00FC534A" w:rsidRPr="00305215" w14:paraId="380F0F38"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ED3F4FF" w14:textId="77777777" w:rsidR="00FC534A" w:rsidRPr="00305215" w:rsidRDefault="006A7C8E" w:rsidP="009134F9">
            <w:pPr>
              <w:jc w:val="left"/>
              <w:rPr>
                <w:rFonts w:cs="Arial"/>
                <w:color w:val="000000"/>
                <w:szCs w:val="20"/>
              </w:rPr>
            </w:pPr>
            <w:r w:rsidRPr="00305215">
              <w:rPr>
                <w:rFonts w:cs="Arial"/>
                <w:color w:val="000000"/>
                <w:szCs w:val="20"/>
              </w:rPr>
              <w:t>7 40 01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746A9BE5" w14:textId="77777777" w:rsidR="00FC534A" w:rsidRPr="00305215" w:rsidRDefault="006A7C8E" w:rsidP="009134F9">
            <w:pPr>
              <w:jc w:val="left"/>
              <w:rPr>
                <w:rFonts w:cs="Arial"/>
                <w:color w:val="000000"/>
                <w:szCs w:val="20"/>
              </w:rPr>
            </w:pPr>
            <w:r w:rsidRPr="00305215">
              <w:rPr>
                <w:rFonts w:cs="Arial"/>
                <w:color w:val="000000"/>
                <w:szCs w:val="20"/>
              </w:rPr>
              <w:t>Počet vytvořených parkovacích míst</w:t>
            </w:r>
          </w:p>
        </w:tc>
        <w:tc>
          <w:tcPr>
            <w:tcW w:w="881" w:type="pct"/>
            <w:tcBorders>
              <w:top w:val="single" w:sz="4" w:space="0" w:color="auto"/>
              <w:left w:val="nil"/>
              <w:bottom w:val="single" w:sz="4" w:space="0" w:color="auto"/>
              <w:right w:val="single" w:sz="4" w:space="0" w:color="auto"/>
            </w:tcBorders>
            <w:shd w:val="clear" w:color="auto" w:fill="auto"/>
            <w:vAlign w:val="center"/>
          </w:tcPr>
          <w:p w14:paraId="38EBA869" w14:textId="77777777" w:rsidR="00FC534A" w:rsidRPr="00305215" w:rsidRDefault="00156410" w:rsidP="009134F9">
            <w:pPr>
              <w:jc w:val="left"/>
              <w:rPr>
                <w:rFonts w:cs="Arial"/>
                <w:color w:val="000000"/>
                <w:szCs w:val="20"/>
              </w:rPr>
            </w:pPr>
            <w:r w:rsidRPr="00305215">
              <w:rPr>
                <w:rFonts w:cs="Arial"/>
                <w:color w:val="000000"/>
                <w:szCs w:val="20"/>
              </w:rPr>
              <w:t>p</w:t>
            </w:r>
            <w:r w:rsidR="006A7C8E" w:rsidRPr="00305215">
              <w:rPr>
                <w:rFonts w:cs="Arial"/>
                <w:color w:val="000000"/>
                <w:szCs w:val="20"/>
              </w:rPr>
              <w:t>arkovací místa</w:t>
            </w:r>
          </w:p>
        </w:tc>
        <w:tc>
          <w:tcPr>
            <w:tcW w:w="705" w:type="pct"/>
            <w:tcBorders>
              <w:top w:val="single" w:sz="4" w:space="0" w:color="auto"/>
              <w:left w:val="nil"/>
              <w:bottom w:val="single" w:sz="4" w:space="0" w:color="auto"/>
              <w:right w:val="single" w:sz="4" w:space="0" w:color="auto"/>
            </w:tcBorders>
            <w:shd w:val="clear" w:color="auto" w:fill="auto"/>
            <w:vAlign w:val="center"/>
          </w:tcPr>
          <w:p w14:paraId="43A8A6AD" w14:textId="77777777" w:rsidR="00FC534A" w:rsidRPr="00305215" w:rsidRDefault="006A7C8E" w:rsidP="009134F9">
            <w:pPr>
              <w:jc w:val="left"/>
              <w:rPr>
                <w:rFonts w:cs="Arial"/>
                <w:color w:val="000000"/>
                <w:szCs w:val="20"/>
              </w:rPr>
            </w:pPr>
            <w:r w:rsidRPr="00305215">
              <w:rPr>
                <w:rFonts w:cs="Arial"/>
                <w:color w:val="000000"/>
                <w:szCs w:val="20"/>
              </w:rPr>
              <w:t>výstup</w:t>
            </w:r>
          </w:p>
        </w:tc>
      </w:tr>
    </w:tbl>
    <w:p w14:paraId="34C79F0D" w14:textId="77777777" w:rsidR="00F8598C" w:rsidRPr="00305215" w:rsidRDefault="00F8598C" w:rsidP="00F06AAD">
      <w:pPr>
        <w:pStyle w:val="txt"/>
        <w:spacing w:after="0"/>
        <w:ind w:firstLine="0"/>
        <w:rPr>
          <w:rFonts w:cs="Arial"/>
          <w:b/>
          <w:bCs/>
          <w:sz w:val="20"/>
          <w:szCs w:val="20"/>
        </w:rPr>
      </w:pPr>
    </w:p>
    <w:p w14:paraId="692D890A" w14:textId="77777777" w:rsidR="000271E6" w:rsidRPr="00305215" w:rsidRDefault="000271E6" w:rsidP="007F324F">
      <w:pPr>
        <w:pStyle w:val="Prav-odr"/>
        <w:numPr>
          <w:ilvl w:val="0"/>
          <w:numId w:val="0"/>
        </w:numPr>
        <w:ind w:left="360"/>
      </w:pPr>
      <w:r w:rsidRPr="00305215">
        <w:t>Kromě povinných indikátorů si mohou žadatelé zvolit indikátor, jehož výběr není povinný, avšak je-li vybrán, musí být žadatelem stanovena cílová hodnota, jejíž naplnění je závazné:</w:t>
      </w:r>
    </w:p>
    <w:p w14:paraId="12EF443D" w14:textId="77777777" w:rsidR="000271E6" w:rsidRPr="00305215" w:rsidRDefault="000271E6" w:rsidP="00F06AAD">
      <w:pPr>
        <w:pStyle w:val="txt"/>
        <w:spacing w:after="0"/>
        <w:ind w:firstLine="0"/>
        <w:rPr>
          <w:rFonts w:cs="Arial"/>
          <w:b/>
          <w:bCs/>
          <w:sz w:val="20"/>
          <w:szCs w:val="20"/>
        </w:rPr>
      </w:pPr>
    </w:p>
    <w:p w14:paraId="00199874" w14:textId="77777777" w:rsidR="00F8598C" w:rsidRPr="00305215" w:rsidRDefault="00AB1D59" w:rsidP="00C76163">
      <w:pPr>
        <w:pStyle w:val="txt"/>
        <w:spacing w:after="0"/>
        <w:ind w:left="360" w:firstLine="0"/>
        <w:rPr>
          <w:rFonts w:cs="Arial"/>
          <w:bCs/>
          <w:sz w:val="20"/>
          <w:szCs w:val="20"/>
        </w:rPr>
      </w:pPr>
      <w:r w:rsidRPr="00305215">
        <w:rPr>
          <w:rFonts w:cs="Arial"/>
          <w:bCs/>
          <w:sz w:val="20"/>
          <w:szCs w:val="20"/>
        </w:rPr>
        <w:t>c</w:t>
      </w:r>
      <w:r w:rsidR="00F8598C" w:rsidRPr="00305215">
        <w:rPr>
          <w:rFonts w:cs="Arial"/>
          <w:bCs/>
          <w:sz w:val="20"/>
          <w:szCs w:val="20"/>
        </w:rPr>
        <w:t xml:space="preserve">) </w:t>
      </w:r>
      <w:r w:rsidR="00313D5C" w:rsidRPr="00305215">
        <w:rPr>
          <w:rFonts w:cs="Arial"/>
          <w:bCs/>
          <w:sz w:val="20"/>
          <w:szCs w:val="20"/>
        </w:rPr>
        <w:t>nepovinn</w:t>
      </w:r>
      <w:r w:rsidR="00CE62EE" w:rsidRPr="00305215">
        <w:rPr>
          <w:rFonts w:cs="Arial"/>
          <w:bCs/>
          <w:sz w:val="20"/>
          <w:szCs w:val="20"/>
        </w:rPr>
        <w:t>é k výběru - povinné</w:t>
      </w:r>
      <w:r w:rsidR="00313D5C" w:rsidRPr="00305215">
        <w:rPr>
          <w:rFonts w:cs="Arial"/>
          <w:bCs/>
          <w:sz w:val="20"/>
          <w:szCs w:val="20"/>
        </w:rPr>
        <w:t xml:space="preserve"> </w:t>
      </w:r>
      <w:r w:rsidR="00F8598C" w:rsidRPr="00305215">
        <w:rPr>
          <w:rFonts w:cs="Arial"/>
          <w:bCs/>
          <w:sz w:val="20"/>
          <w:szCs w:val="20"/>
        </w:rPr>
        <w:t xml:space="preserve">k </w:t>
      </w:r>
      <w:r w:rsidR="00313D5C" w:rsidRPr="00305215">
        <w:rPr>
          <w:rFonts w:cs="Arial"/>
          <w:bCs/>
          <w:sz w:val="20"/>
          <w:szCs w:val="20"/>
        </w:rPr>
        <w:t>naplnění</w:t>
      </w:r>
      <w:r w:rsidR="00F8598C" w:rsidRPr="00305215">
        <w:rPr>
          <w:rFonts w:cs="Arial"/>
          <w:bC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5"/>
        <w:gridCol w:w="4974"/>
        <w:gridCol w:w="1443"/>
        <w:gridCol w:w="1283"/>
      </w:tblGrid>
      <w:tr w:rsidR="00F8598C" w:rsidRPr="00305215" w14:paraId="752B1AF5" w14:textId="77777777" w:rsidTr="001F6DF4">
        <w:trPr>
          <w:trHeight w:val="340"/>
        </w:trPr>
        <w:tc>
          <w:tcPr>
            <w:tcW w:w="817" w:type="pct"/>
            <w:shd w:val="clear" w:color="auto" w:fill="auto"/>
            <w:vAlign w:val="center"/>
          </w:tcPr>
          <w:p w14:paraId="70FA47C5" w14:textId="77777777" w:rsidR="00F8598C" w:rsidRPr="00305215" w:rsidRDefault="00F8598C" w:rsidP="00A518C0">
            <w:pPr>
              <w:jc w:val="center"/>
              <w:rPr>
                <w:rFonts w:cs="Arial"/>
                <w:b/>
                <w:color w:val="000000"/>
                <w:szCs w:val="20"/>
              </w:rPr>
            </w:pPr>
            <w:r w:rsidRPr="00305215">
              <w:rPr>
                <w:rFonts w:cs="Arial"/>
                <w:b/>
                <w:color w:val="000000"/>
                <w:szCs w:val="20"/>
              </w:rPr>
              <w:t>Kód indikátoru</w:t>
            </w:r>
          </w:p>
        </w:tc>
        <w:tc>
          <w:tcPr>
            <w:tcW w:w="2702" w:type="pct"/>
            <w:shd w:val="clear" w:color="auto" w:fill="auto"/>
            <w:vAlign w:val="center"/>
          </w:tcPr>
          <w:p w14:paraId="3B16EE3F" w14:textId="77777777" w:rsidR="00F8598C" w:rsidRPr="00305215" w:rsidRDefault="00F8598C" w:rsidP="00A518C0">
            <w:pPr>
              <w:jc w:val="center"/>
              <w:rPr>
                <w:rFonts w:cs="Arial"/>
                <w:b/>
                <w:color w:val="000000"/>
                <w:szCs w:val="20"/>
              </w:rPr>
            </w:pPr>
            <w:r w:rsidRPr="00305215">
              <w:rPr>
                <w:rFonts w:cs="Arial"/>
                <w:b/>
                <w:color w:val="000000"/>
                <w:szCs w:val="20"/>
              </w:rPr>
              <w:t>Název indikátoru</w:t>
            </w:r>
          </w:p>
        </w:tc>
        <w:tc>
          <w:tcPr>
            <w:tcW w:w="784" w:type="pct"/>
            <w:shd w:val="clear" w:color="auto" w:fill="auto"/>
            <w:vAlign w:val="center"/>
          </w:tcPr>
          <w:p w14:paraId="79BEA812" w14:textId="77777777" w:rsidR="00F8598C" w:rsidRPr="00305215" w:rsidRDefault="00F8598C" w:rsidP="00A518C0">
            <w:pPr>
              <w:jc w:val="center"/>
              <w:rPr>
                <w:rFonts w:cs="Arial"/>
                <w:b/>
                <w:color w:val="000000"/>
                <w:szCs w:val="20"/>
              </w:rPr>
            </w:pPr>
            <w:r w:rsidRPr="00305215">
              <w:rPr>
                <w:rFonts w:cs="Arial"/>
                <w:b/>
                <w:color w:val="000000"/>
                <w:szCs w:val="20"/>
              </w:rPr>
              <w:t>Měrná jednotka</w:t>
            </w:r>
          </w:p>
        </w:tc>
        <w:tc>
          <w:tcPr>
            <w:tcW w:w="697" w:type="pct"/>
            <w:shd w:val="clear" w:color="auto" w:fill="auto"/>
            <w:vAlign w:val="center"/>
          </w:tcPr>
          <w:p w14:paraId="2242BBCB" w14:textId="77777777" w:rsidR="00F8598C" w:rsidRPr="00305215" w:rsidRDefault="00F8598C" w:rsidP="00A518C0">
            <w:pPr>
              <w:jc w:val="center"/>
              <w:rPr>
                <w:rFonts w:cs="Arial"/>
                <w:b/>
                <w:color w:val="000000"/>
                <w:szCs w:val="20"/>
              </w:rPr>
            </w:pPr>
            <w:r w:rsidRPr="00305215">
              <w:rPr>
                <w:rFonts w:cs="Arial"/>
                <w:b/>
                <w:color w:val="000000"/>
                <w:szCs w:val="20"/>
              </w:rPr>
              <w:t>Typ indikátoru</w:t>
            </w:r>
          </w:p>
        </w:tc>
      </w:tr>
      <w:tr w:rsidR="00F8598C" w:rsidRPr="00305215" w14:paraId="2C5069DF" w14:textId="77777777" w:rsidTr="001F6DF4">
        <w:trPr>
          <w:trHeight w:val="340"/>
        </w:trPr>
        <w:tc>
          <w:tcPr>
            <w:tcW w:w="817" w:type="pct"/>
            <w:shd w:val="clear" w:color="auto" w:fill="auto"/>
            <w:vAlign w:val="center"/>
          </w:tcPr>
          <w:p w14:paraId="11B61C66" w14:textId="77777777" w:rsidR="00F8598C" w:rsidRPr="00305215" w:rsidRDefault="006A7C8E" w:rsidP="00A518C0">
            <w:pPr>
              <w:jc w:val="left"/>
              <w:rPr>
                <w:rFonts w:cs="Arial"/>
                <w:color w:val="000000"/>
                <w:szCs w:val="20"/>
              </w:rPr>
            </w:pPr>
            <w:r w:rsidRPr="00305215">
              <w:rPr>
                <w:rFonts w:cs="Arial"/>
                <w:color w:val="000000"/>
                <w:szCs w:val="20"/>
              </w:rPr>
              <w:t>7 40 02</w:t>
            </w:r>
          </w:p>
        </w:tc>
        <w:tc>
          <w:tcPr>
            <w:tcW w:w="2702" w:type="pct"/>
            <w:shd w:val="clear" w:color="auto" w:fill="auto"/>
            <w:vAlign w:val="center"/>
          </w:tcPr>
          <w:p w14:paraId="126C1E0B" w14:textId="77777777" w:rsidR="00F8598C" w:rsidRPr="00305215" w:rsidRDefault="006A7C8E" w:rsidP="00A518C0">
            <w:pPr>
              <w:jc w:val="left"/>
              <w:rPr>
                <w:rFonts w:cs="Arial"/>
                <w:color w:val="000000"/>
                <w:szCs w:val="20"/>
              </w:rPr>
            </w:pPr>
            <w:r w:rsidRPr="00305215">
              <w:rPr>
                <w:rFonts w:cs="Arial"/>
                <w:color w:val="000000"/>
                <w:szCs w:val="20"/>
              </w:rPr>
              <w:t>Počet vytvořených parkovacích míst vybavených pro dobíjení elektromobilů</w:t>
            </w:r>
          </w:p>
        </w:tc>
        <w:tc>
          <w:tcPr>
            <w:tcW w:w="784" w:type="pct"/>
            <w:shd w:val="clear" w:color="auto" w:fill="auto"/>
            <w:vAlign w:val="center"/>
          </w:tcPr>
          <w:p w14:paraId="58C94D2F" w14:textId="77777777" w:rsidR="00F8598C" w:rsidRPr="00305215" w:rsidRDefault="00156410" w:rsidP="00A518C0">
            <w:pPr>
              <w:jc w:val="left"/>
              <w:rPr>
                <w:rFonts w:cs="Arial"/>
                <w:color w:val="000000"/>
                <w:szCs w:val="20"/>
              </w:rPr>
            </w:pPr>
            <w:r w:rsidRPr="00305215">
              <w:rPr>
                <w:rFonts w:cs="Arial"/>
                <w:color w:val="000000"/>
                <w:szCs w:val="20"/>
              </w:rPr>
              <w:t>p</w:t>
            </w:r>
            <w:r w:rsidR="006A7C8E" w:rsidRPr="00305215">
              <w:rPr>
                <w:rFonts w:cs="Arial"/>
                <w:color w:val="000000"/>
                <w:szCs w:val="20"/>
              </w:rPr>
              <w:t>arkovací místa</w:t>
            </w:r>
          </w:p>
        </w:tc>
        <w:tc>
          <w:tcPr>
            <w:tcW w:w="697" w:type="pct"/>
            <w:shd w:val="clear" w:color="auto" w:fill="auto"/>
            <w:vAlign w:val="center"/>
          </w:tcPr>
          <w:p w14:paraId="3DA2DEF6" w14:textId="77777777" w:rsidR="00F8598C" w:rsidRPr="00305215" w:rsidRDefault="006A7C8E" w:rsidP="00A518C0">
            <w:pPr>
              <w:jc w:val="left"/>
              <w:rPr>
                <w:rFonts w:cs="Arial"/>
                <w:color w:val="000000"/>
                <w:szCs w:val="20"/>
              </w:rPr>
            </w:pPr>
            <w:r w:rsidRPr="00305215">
              <w:rPr>
                <w:rFonts w:cs="Arial"/>
                <w:color w:val="000000"/>
                <w:szCs w:val="20"/>
              </w:rPr>
              <w:t>výstup</w:t>
            </w:r>
          </w:p>
        </w:tc>
      </w:tr>
      <w:tr w:rsidR="00F8598C" w:rsidRPr="00305215" w14:paraId="02BD5643" w14:textId="77777777" w:rsidTr="001F6DF4">
        <w:trPr>
          <w:trHeight w:val="340"/>
        </w:trPr>
        <w:tc>
          <w:tcPr>
            <w:tcW w:w="817" w:type="pct"/>
            <w:shd w:val="clear" w:color="auto" w:fill="auto"/>
            <w:vAlign w:val="center"/>
          </w:tcPr>
          <w:p w14:paraId="23FA5612" w14:textId="77777777" w:rsidR="00F8598C" w:rsidRPr="00305215" w:rsidRDefault="006A7C8E" w:rsidP="00A518C0">
            <w:pPr>
              <w:jc w:val="left"/>
              <w:rPr>
                <w:rFonts w:cs="Arial"/>
                <w:color w:val="000000"/>
                <w:szCs w:val="20"/>
              </w:rPr>
            </w:pPr>
            <w:r w:rsidRPr="00305215">
              <w:rPr>
                <w:rFonts w:cs="Arial"/>
                <w:color w:val="000000"/>
                <w:szCs w:val="20"/>
              </w:rPr>
              <w:t>7 64 01</w:t>
            </w:r>
          </w:p>
        </w:tc>
        <w:tc>
          <w:tcPr>
            <w:tcW w:w="2702" w:type="pct"/>
            <w:shd w:val="clear" w:color="auto" w:fill="auto"/>
            <w:vAlign w:val="center"/>
          </w:tcPr>
          <w:p w14:paraId="55C4C402" w14:textId="77777777" w:rsidR="00F8598C" w:rsidRPr="00305215" w:rsidRDefault="006A7C8E" w:rsidP="00A518C0">
            <w:pPr>
              <w:jc w:val="left"/>
              <w:rPr>
                <w:rFonts w:cs="Arial"/>
                <w:szCs w:val="20"/>
              </w:rPr>
            </w:pPr>
            <w:r w:rsidRPr="00305215">
              <w:rPr>
                <w:rFonts w:cs="Arial"/>
                <w:color w:val="000000"/>
                <w:szCs w:val="20"/>
              </w:rPr>
              <w:t>Počet parkovacích míst pro jízdní kola</w:t>
            </w:r>
          </w:p>
        </w:tc>
        <w:tc>
          <w:tcPr>
            <w:tcW w:w="784" w:type="pct"/>
            <w:shd w:val="clear" w:color="auto" w:fill="auto"/>
            <w:vAlign w:val="center"/>
          </w:tcPr>
          <w:p w14:paraId="78A067E6" w14:textId="77777777" w:rsidR="00F8598C" w:rsidRPr="00305215" w:rsidRDefault="00156410" w:rsidP="00A518C0">
            <w:pPr>
              <w:jc w:val="left"/>
              <w:rPr>
                <w:rFonts w:cs="Arial"/>
                <w:color w:val="000000"/>
                <w:szCs w:val="20"/>
              </w:rPr>
            </w:pPr>
            <w:r w:rsidRPr="00305215">
              <w:rPr>
                <w:rFonts w:cs="Arial"/>
                <w:color w:val="000000"/>
                <w:szCs w:val="20"/>
              </w:rPr>
              <w:t>p</w:t>
            </w:r>
            <w:r w:rsidR="006A7C8E" w:rsidRPr="00305215">
              <w:rPr>
                <w:rFonts w:cs="Arial"/>
                <w:color w:val="000000"/>
                <w:szCs w:val="20"/>
              </w:rPr>
              <w:t>arkovací místa</w:t>
            </w:r>
          </w:p>
        </w:tc>
        <w:tc>
          <w:tcPr>
            <w:tcW w:w="697" w:type="pct"/>
            <w:shd w:val="clear" w:color="auto" w:fill="auto"/>
            <w:vAlign w:val="center"/>
          </w:tcPr>
          <w:p w14:paraId="3CBEE754" w14:textId="77777777" w:rsidR="00F8598C" w:rsidRPr="00305215" w:rsidRDefault="006A7C8E" w:rsidP="00A518C0">
            <w:pPr>
              <w:jc w:val="left"/>
              <w:rPr>
                <w:rFonts w:cs="Arial"/>
                <w:color w:val="000000"/>
                <w:szCs w:val="20"/>
              </w:rPr>
            </w:pPr>
            <w:r w:rsidRPr="00305215">
              <w:rPr>
                <w:rFonts w:cs="Arial"/>
                <w:color w:val="000000"/>
                <w:szCs w:val="20"/>
              </w:rPr>
              <w:t>výstup</w:t>
            </w:r>
          </w:p>
        </w:tc>
      </w:tr>
    </w:tbl>
    <w:p w14:paraId="34A30C87" w14:textId="77777777" w:rsidR="00D45C20" w:rsidRPr="00305215" w:rsidRDefault="00FC534A" w:rsidP="00816124">
      <w:pPr>
        <w:pStyle w:val="txt"/>
        <w:spacing w:after="0"/>
        <w:ind w:firstLine="0"/>
        <w:rPr>
          <w:sz w:val="20"/>
          <w:szCs w:val="20"/>
        </w:rPr>
      </w:pPr>
      <w:r w:rsidRPr="00305215">
        <w:rPr>
          <w:sz w:val="20"/>
          <w:szCs w:val="20"/>
        </w:rPr>
        <w:t>Definice jednotlivých indikátorů a pravidla jejich vykazování obsahují Pravidla pro žadatele a příjemce OP PPR (viz bod 1</w:t>
      </w:r>
      <w:r w:rsidR="00635B2C" w:rsidRPr="00305215">
        <w:rPr>
          <w:sz w:val="20"/>
          <w:szCs w:val="20"/>
        </w:rPr>
        <w:t>1</w:t>
      </w:r>
      <w:r w:rsidRPr="00305215">
        <w:rPr>
          <w:sz w:val="20"/>
          <w:szCs w:val="20"/>
        </w:rPr>
        <w:t>.1. výzvy).</w:t>
      </w:r>
    </w:p>
    <w:p w14:paraId="6E2455C2" w14:textId="77777777" w:rsidR="004A42AD" w:rsidRPr="00305215" w:rsidRDefault="004A42AD" w:rsidP="00816124">
      <w:pPr>
        <w:pStyle w:val="txt"/>
        <w:spacing w:after="0"/>
        <w:ind w:firstLine="0"/>
        <w:rPr>
          <w:sz w:val="20"/>
          <w:szCs w:val="20"/>
        </w:rPr>
      </w:pPr>
    </w:p>
    <w:p w14:paraId="5212D2BA" w14:textId="77777777" w:rsidR="00F5424C" w:rsidRDefault="00F5424C">
      <w:pPr>
        <w:spacing w:after="200" w:line="276" w:lineRule="auto"/>
        <w:jc w:val="left"/>
        <w:rPr>
          <w:rFonts w:cs="Arial"/>
          <w:b/>
          <w:i/>
          <w:color w:val="00000A"/>
          <w:szCs w:val="20"/>
        </w:rPr>
      </w:pPr>
      <w:r>
        <w:rPr>
          <w:b/>
          <w:i/>
          <w:color w:val="00000A"/>
        </w:rPr>
        <w:br w:type="page"/>
      </w:r>
    </w:p>
    <w:p w14:paraId="02FAE599" w14:textId="2A8882E8" w:rsidR="00920F46" w:rsidRPr="00305215" w:rsidRDefault="004A42AD" w:rsidP="00920F46">
      <w:pPr>
        <w:pStyle w:val="Prav-odr"/>
        <w:numPr>
          <w:ilvl w:val="0"/>
          <w:numId w:val="0"/>
        </w:numPr>
        <w:ind w:left="360"/>
        <w:rPr>
          <w:b/>
          <w:i/>
          <w:color w:val="00000A"/>
        </w:rPr>
      </w:pPr>
      <w:r w:rsidRPr="00305215">
        <w:rPr>
          <w:b/>
          <w:i/>
          <w:color w:val="00000A"/>
        </w:rPr>
        <w:lastRenderedPageBreak/>
        <w:t>Skupina aktivit B Opatření pro preferenci povrchové městské veřejné dopravy v uličním provozu</w:t>
      </w:r>
    </w:p>
    <w:p w14:paraId="6E46C445" w14:textId="77777777" w:rsidR="004A42AD" w:rsidRPr="00305215" w:rsidRDefault="004A42AD" w:rsidP="004A42AD">
      <w:pPr>
        <w:pStyle w:val="txt"/>
        <w:numPr>
          <w:ilvl w:val="0"/>
          <w:numId w:val="41"/>
        </w:numPr>
        <w:spacing w:after="0"/>
        <w:rPr>
          <w:rFonts w:cs="Arial"/>
          <w:bCs/>
          <w:sz w:val="20"/>
          <w:szCs w:val="20"/>
        </w:rPr>
      </w:pPr>
      <w:r w:rsidRPr="00305215">
        <w:rPr>
          <w:rFonts w:cs="Arial"/>
          <w:bCs/>
          <w:sz w:val="20"/>
          <w:szCs w:val="20"/>
        </w:rPr>
        <w:t>povinné k výběru</w:t>
      </w:r>
      <w:r w:rsidRPr="00305215">
        <w:rPr>
          <w:rStyle w:val="Znakapoznpodarou"/>
          <w:szCs w:val="20"/>
        </w:rPr>
        <w:footnoteReference w:id="4"/>
      </w:r>
      <w:r w:rsidRPr="00305215">
        <w:rPr>
          <w:rFonts w:cs="Arial"/>
          <w:bCs/>
          <w:sz w:val="20"/>
          <w:szCs w:val="20"/>
        </w:rPr>
        <w:t>:</w:t>
      </w:r>
    </w:p>
    <w:tbl>
      <w:tblPr>
        <w:tblW w:w="5000" w:type="pct"/>
        <w:tblCellMar>
          <w:left w:w="70" w:type="dxa"/>
          <w:right w:w="70" w:type="dxa"/>
        </w:tblCellMar>
        <w:tblLook w:val="04A0" w:firstRow="1" w:lastRow="0" w:firstColumn="1" w:lastColumn="0" w:noHBand="0" w:noVBand="1"/>
      </w:tblPr>
      <w:tblGrid>
        <w:gridCol w:w="1417"/>
        <w:gridCol w:w="4868"/>
        <w:gridCol w:w="1622"/>
        <w:gridCol w:w="1298"/>
      </w:tblGrid>
      <w:tr w:rsidR="0027298E" w:rsidRPr="00305215" w14:paraId="13CDBCF2"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BE472EC" w14:textId="77777777" w:rsidR="0027298E" w:rsidRPr="00305215" w:rsidRDefault="0027298E" w:rsidP="00A518C0">
            <w:pPr>
              <w:jc w:val="center"/>
              <w:rPr>
                <w:rFonts w:cs="Arial"/>
                <w:b/>
                <w:color w:val="000000"/>
                <w:szCs w:val="20"/>
              </w:rPr>
            </w:pPr>
            <w:r w:rsidRPr="00305215">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auto"/>
            <w:vAlign w:val="center"/>
          </w:tcPr>
          <w:p w14:paraId="4CA3C0C0" w14:textId="77777777" w:rsidR="0027298E" w:rsidRPr="00305215" w:rsidRDefault="0027298E" w:rsidP="00A518C0">
            <w:pPr>
              <w:jc w:val="center"/>
              <w:rPr>
                <w:rFonts w:cs="Arial"/>
                <w:b/>
                <w:color w:val="000000"/>
                <w:szCs w:val="20"/>
              </w:rPr>
            </w:pPr>
            <w:r w:rsidRPr="00305215">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auto"/>
            <w:vAlign w:val="center"/>
          </w:tcPr>
          <w:p w14:paraId="41267060" w14:textId="77777777" w:rsidR="0027298E" w:rsidRPr="00305215" w:rsidRDefault="0027298E" w:rsidP="00A518C0">
            <w:pPr>
              <w:jc w:val="center"/>
              <w:rPr>
                <w:rFonts w:cs="Arial"/>
                <w:b/>
                <w:color w:val="000000"/>
                <w:szCs w:val="20"/>
              </w:rPr>
            </w:pPr>
            <w:r w:rsidRPr="00305215">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auto"/>
            <w:vAlign w:val="center"/>
          </w:tcPr>
          <w:p w14:paraId="7AB1D88E" w14:textId="77777777" w:rsidR="0027298E" w:rsidRPr="00305215" w:rsidRDefault="0027298E" w:rsidP="00A518C0">
            <w:pPr>
              <w:jc w:val="center"/>
              <w:rPr>
                <w:rFonts w:cs="Arial"/>
                <w:b/>
                <w:color w:val="000000"/>
                <w:szCs w:val="20"/>
              </w:rPr>
            </w:pPr>
            <w:r w:rsidRPr="00305215">
              <w:rPr>
                <w:rFonts w:cs="Arial"/>
                <w:b/>
                <w:color w:val="000000"/>
                <w:szCs w:val="20"/>
              </w:rPr>
              <w:t>Typ indikátoru</w:t>
            </w:r>
          </w:p>
        </w:tc>
      </w:tr>
      <w:tr w:rsidR="001618C1" w:rsidRPr="00305215" w14:paraId="3870A3E2"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6D63F0B" w14:textId="77777777" w:rsidR="001618C1" w:rsidRPr="00305215" w:rsidRDefault="001618C1" w:rsidP="001618C1">
            <w:pPr>
              <w:jc w:val="left"/>
              <w:rPr>
                <w:rFonts w:cs="Arial"/>
                <w:color w:val="000000"/>
                <w:szCs w:val="20"/>
              </w:rPr>
            </w:pPr>
            <w:r w:rsidRPr="00305215">
              <w:rPr>
                <w:rFonts w:cs="Arial"/>
                <w:color w:val="000000"/>
                <w:szCs w:val="20"/>
              </w:rPr>
              <w:t>3 60 10</w:t>
            </w:r>
          </w:p>
        </w:tc>
        <w:tc>
          <w:tcPr>
            <w:tcW w:w="2644" w:type="pct"/>
            <w:tcBorders>
              <w:top w:val="single" w:sz="4" w:space="0" w:color="auto"/>
              <w:left w:val="nil"/>
              <w:bottom w:val="single" w:sz="4" w:space="0" w:color="auto"/>
              <w:right w:val="single" w:sz="4" w:space="0" w:color="auto"/>
            </w:tcBorders>
            <w:shd w:val="clear" w:color="auto" w:fill="auto"/>
            <w:vAlign w:val="center"/>
          </w:tcPr>
          <w:p w14:paraId="743D6C7F" w14:textId="77777777" w:rsidR="001618C1" w:rsidRPr="00305215" w:rsidRDefault="001618C1" w:rsidP="001618C1">
            <w:pPr>
              <w:jc w:val="left"/>
              <w:rPr>
                <w:rFonts w:cs="Arial"/>
                <w:color w:val="000000"/>
                <w:szCs w:val="20"/>
              </w:rPr>
            </w:pPr>
            <w:r w:rsidRPr="00305215">
              <w:rPr>
                <w:rFonts w:cs="Arial"/>
                <w:color w:val="000000"/>
                <w:szCs w:val="20"/>
              </w:rPr>
              <w:t>Odhadované roční snížení emisí skleníkových plynů</w:t>
            </w:r>
          </w:p>
        </w:tc>
        <w:tc>
          <w:tcPr>
            <w:tcW w:w="881" w:type="pct"/>
            <w:tcBorders>
              <w:top w:val="single" w:sz="4" w:space="0" w:color="auto"/>
              <w:left w:val="nil"/>
              <w:bottom w:val="single" w:sz="4" w:space="0" w:color="auto"/>
              <w:right w:val="single" w:sz="4" w:space="0" w:color="auto"/>
            </w:tcBorders>
            <w:shd w:val="clear" w:color="auto" w:fill="auto"/>
            <w:vAlign w:val="center"/>
          </w:tcPr>
          <w:p w14:paraId="73784CBA" w14:textId="77777777" w:rsidR="001618C1" w:rsidRPr="00305215" w:rsidRDefault="001618C1" w:rsidP="001618C1">
            <w:pPr>
              <w:jc w:val="left"/>
              <w:rPr>
                <w:rFonts w:cs="Arial"/>
                <w:color w:val="000000"/>
                <w:szCs w:val="20"/>
              </w:rPr>
            </w:pPr>
            <w:r w:rsidRPr="00305215">
              <w:rPr>
                <w:rFonts w:cs="Arial"/>
                <w:color w:val="000000"/>
                <w:szCs w:val="20"/>
              </w:rPr>
              <w:t>t ekv. CO</w:t>
            </w:r>
            <w:r w:rsidRPr="00305215">
              <w:rPr>
                <w:rFonts w:cs="Arial"/>
                <w:color w:val="000000"/>
                <w:szCs w:val="20"/>
                <w:vertAlign w:val="subscript"/>
              </w:rPr>
              <w:t>2</w:t>
            </w:r>
            <w:r w:rsidRPr="00305215">
              <w:rPr>
                <w:rFonts w:cs="Arial"/>
                <w:color w:val="000000"/>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692480DE" w14:textId="77777777" w:rsidR="001618C1" w:rsidRPr="00305215" w:rsidRDefault="001618C1" w:rsidP="001618C1">
            <w:pPr>
              <w:jc w:val="left"/>
              <w:rPr>
                <w:rFonts w:cs="Arial"/>
                <w:color w:val="000000"/>
                <w:szCs w:val="20"/>
              </w:rPr>
            </w:pPr>
            <w:r w:rsidRPr="00305215">
              <w:rPr>
                <w:rFonts w:cs="Arial"/>
                <w:color w:val="000000"/>
                <w:szCs w:val="20"/>
              </w:rPr>
              <w:t>výstup</w:t>
            </w:r>
          </w:p>
        </w:tc>
      </w:tr>
    </w:tbl>
    <w:p w14:paraId="544BE9C5" w14:textId="77777777" w:rsidR="004A42AD" w:rsidRPr="00305215" w:rsidRDefault="004A42AD" w:rsidP="004A42AD">
      <w:pPr>
        <w:pStyle w:val="txt"/>
        <w:spacing w:after="0"/>
        <w:ind w:left="720" w:firstLine="0"/>
        <w:rPr>
          <w:rFonts w:cs="Arial"/>
          <w:bCs/>
          <w:sz w:val="20"/>
          <w:szCs w:val="20"/>
        </w:rPr>
      </w:pPr>
    </w:p>
    <w:p w14:paraId="7F540E24" w14:textId="77777777" w:rsidR="004A42AD" w:rsidRPr="00305215" w:rsidRDefault="004A42AD" w:rsidP="004A42AD">
      <w:pPr>
        <w:pStyle w:val="txt"/>
        <w:numPr>
          <w:ilvl w:val="0"/>
          <w:numId w:val="41"/>
        </w:numPr>
        <w:spacing w:after="0"/>
        <w:rPr>
          <w:rFonts w:cs="Arial"/>
          <w:bCs/>
          <w:sz w:val="20"/>
          <w:szCs w:val="20"/>
        </w:rPr>
      </w:pPr>
      <w:r w:rsidRPr="00305215">
        <w:rPr>
          <w:rFonts w:cs="Arial"/>
          <w:bCs/>
          <w:sz w:val="20"/>
          <w:szCs w:val="20"/>
        </w:rPr>
        <w:t>povinné k naplnění</w:t>
      </w:r>
      <w:r w:rsidRPr="00305215">
        <w:rPr>
          <w:rStyle w:val="Znakapoznpodarou"/>
          <w:rFonts w:cs="Arial"/>
          <w:bCs/>
          <w:sz w:val="20"/>
          <w:szCs w:val="20"/>
        </w:rPr>
        <w:footnoteReference w:id="5"/>
      </w:r>
    </w:p>
    <w:tbl>
      <w:tblPr>
        <w:tblW w:w="5000" w:type="pct"/>
        <w:tblCellMar>
          <w:left w:w="70" w:type="dxa"/>
          <w:right w:w="70" w:type="dxa"/>
        </w:tblCellMar>
        <w:tblLook w:val="04A0" w:firstRow="1" w:lastRow="0" w:firstColumn="1" w:lastColumn="0" w:noHBand="0" w:noVBand="1"/>
      </w:tblPr>
      <w:tblGrid>
        <w:gridCol w:w="1417"/>
        <w:gridCol w:w="4868"/>
        <w:gridCol w:w="1622"/>
        <w:gridCol w:w="1298"/>
      </w:tblGrid>
      <w:tr w:rsidR="0027298E" w:rsidRPr="00305215" w14:paraId="092D8A7C"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6AF8AA4" w14:textId="77777777" w:rsidR="0027298E" w:rsidRPr="00305215" w:rsidRDefault="0027298E" w:rsidP="00A518C0">
            <w:pPr>
              <w:jc w:val="center"/>
              <w:rPr>
                <w:rFonts w:cs="Arial"/>
                <w:b/>
                <w:color w:val="000000"/>
                <w:szCs w:val="20"/>
              </w:rPr>
            </w:pPr>
            <w:r w:rsidRPr="00305215">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auto"/>
            <w:vAlign w:val="center"/>
          </w:tcPr>
          <w:p w14:paraId="24BB4BFE" w14:textId="77777777" w:rsidR="0027298E" w:rsidRPr="00305215" w:rsidRDefault="0027298E" w:rsidP="00A518C0">
            <w:pPr>
              <w:jc w:val="center"/>
              <w:rPr>
                <w:rFonts w:cs="Arial"/>
                <w:b/>
                <w:color w:val="000000"/>
                <w:szCs w:val="20"/>
              </w:rPr>
            </w:pPr>
            <w:r w:rsidRPr="00305215">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auto"/>
            <w:vAlign w:val="center"/>
          </w:tcPr>
          <w:p w14:paraId="405F1D93" w14:textId="77777777" w:rsidR="0027298E" w:rsidRPr="00305215" w:rsidRDefault="0027298E" w:rsidP="00A518C0">
            <w:pPr>
              <w:jc w:val="center"/>
              <w:rPr>
                <w:rFonts w:cs="Arial"/>
                <w:b/>
                <w:color w:val="000000"/>
                <w:szCs w:val="20"/>
              </w:rPr>
            </w:pPr>
            <w:r w:rsidRPr="00305215">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auto"/>
            <w:vAlign w:val="center"/>
          </w:tcPr>
          <w:p w14:paraId="1BFE6320" w14:textId="77777777" w:rsidR="0027298E" w:rsidRPr="00305215" w:rsidRDefault="0027298E" w:rsidP="00A518C0">
            <w:pPr>
              <w:jc w:val="center"/>
              <w:rPr>
                <w:rFonts w:cs="Arial"/>
                <w:b/>
                <w:color w:val="000000"/>
                <w:szCs w:val="20"/>
              </w:rPr>
            </w:pPr>
            <w:r w:rsidRPr="00305215">
              <w:rPr>
                <w:rFonts w:cs="Arial"/>
                <w:b/>
                <w:color w:val="000000"/>
                <w:szCs w:val="20"/>
              </w:rPr>
              <w:t>Typ indikátoru</w:t>
            </w:r>
          </w:p>
        </w:tc>
      </w:tr>
      <w:tr w:rsidR="0027298E" w:rsidRPr="00305215" w14:paraId="0B8079A1"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332671F1" w14:textId="77777777" w:rsidR="0027298E" w:rsidRPr="00305215" w:rsidRDefault="00754B6F" w:rsidP="00754B6F">
            <w:pPr>
              <w:jc w:val="left"/>
              <w:rPr>
                <w:rFonts w:cs="Arial"/>
                <w:color w:val="000000"/>
                <w:szCs w:val="20"/>
              </w:rPr>
            </w:pPr>
            <w:r w:rsidRPr="00305215">
              <w:rPr>
                <w:rFonts w:cs="Arial"/>
                <w:color w:val="000000"/>
                <w:szCs w:val="20"/>
              </w:rPr>
              <w:t>7 49 01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64EDFB8C" w14:textId="77777777" w:rsidR="0027298E" w:rsidRPr="00305215" w:rsidRDefault="00754B6F" w:rsidP="00A518C0">
            <w:pPr>
              <w:jc w:val="left"/>
              <w:rPr>
                <w:rFonts w:cs="Arial"/>
                <w:color w:val="000000"/>
                <w:szCs w:val="20"/>
              </w:rPr>
            </w:pPr>
            <w:r w:rsidRPr="00305215">
              <w:rPr>
                <w:rFonts w:cs="Arial"/>
                <w:color w:val="000000"/>
                <w:szCs w:val="20"/>
              </w:rPr>
              <w:t>Délka nových podélných dělících preferenčních opatření</w:t>
            </w:r>
          </w:p>
        </w:tc>
        <w:tc>
          <w:tcPr>
            <w:tcW w:w="881" w:type="pct"/>
            <w:tcBorders>
              <w:top w:val="single" w:sz="4" w:space="0" w:color="auto"/>
              <w:left w:val="nil"/>
              <w:bottom w:val="single" w:sz="4" w:space="0" w:color="auto"/>
              <w:right w:val="single" w:sz="4" w:space="0" w:color="auto"/>
            </w:tcBorders>
            <w:shd w:val="clear" w:color="auto" w:fill="auto"/>
            <w:vAlign w:val="center"/>
          </w:tcPr>
          <w:p w14:paraId="18D81143" w14:textId="77777777" w:rsidR="0027298E" w:rsidRPr="00305215" w:rsidRDefault="00754B6F" w:rsidP="00A518C0">
            <w:pPr>
              <w:jc w:val="left"/>
              <w:rPr>
                <w:rFonts w:cs="Arial"/>
                <w:color w:val="000000"/>
                <w:szCs w:val="20"/>
              </w:rPr>
            </w:pPr>
            <w:r w:rsidRPr="00305215">
              <w:rPr>
                <w:rFonts w:cs="Arial"/>
                <w:color w:val="000000"/>
                <w:szCs w:val="20"/>
              </w:rPr>
              <w:t>km</w:t>
            </w:r>
          </w:p>
        </w:tc>
        <w:tc>
          <w:tcPr>
            <w:tcW w:w="705" w:type="pct"/>
            <w:tcBorders>
              <w:top w:val="single" w:sz="4" w:space="0" w:color="auto"/>
              <w:left w:val="nil"/>
              <w:bottom w:val="single" w:sz="4" w:space="0" w:color="auto"/>
              <w:right w:val="single" w:sz="4" w:space="0" w:color="auto"/>
            </w:tcBorders>
            <w:shd w:val="clear" w:color="auto" w:fill="auto"/>
            <w:vAlign w:val="center"/>
          </w:tcPr>
          <w:p w14:paraId="341B044B" w14:textId="77777777" w:rsidR="0027298E" w:rsidRPr="00305215" w:rsidRDefault="00754B6F" w:rsidP="00A518C0">
            <w:pPr>
              <w:jc w:val="left"/>
              <w:rPr>
                <w:rFonts w:cs="Arial"/>
                <w:color w:val="000000"/>
                <w:szCs w:val="20"/>
              </w:rPr>
            </w:pPr>
            <w:r w:rsidRPr="00305215">
              <w:rPr>
                <w:rFonts w:cs="Arial"/>
                <w:color w:val="000000"/>
                <w:szCs w:val="20"/>
              </w:rPr>
              <w:t>výstup</w:t>
            </w:r>
          </w:p>
        </w:tc>
      </w:tr>
      <w:tr w:rsidR="00754B6F" w:rsidRPr="00305215" w14:paraId="2361FB2C"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AC6DACC" w14:textId="77777777" w:rsidR="00754B6F" w:rsidRPr="00305215" w:rsidRDefault="00754B6F" w:rsidP="00754B6F">
            <w:pPr>
              <w:jc w:val="left"/>
              <w:rPr>
                <w:rFonts w:cs="Arial"/>
                <w:color w:val="000000"/>
                <w:szCs w:val="20"/>
              </w:rPr>
            </w:pPr>
            <w:r w:rsidRPr="00305215">
              <w:rPr>
                <w:rFonts w:cs="Arial"/>
                <w:color w:val="000000"/>
                <w:szCs w:val="20"/>
              </w:rPr>
              <w:t>7 04 01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19C49EA0" w14:textId="77777777" w:rsidR="00754B6F" w:rsidRPr="00305215" w:rsidRDefault="00754B6F" w:rsidP="00A518C0">
            <w:pPr>
              <w:jc w:val="left"/>
              <w:rPr>
                <w:rFonts w:cs="Arial"/>
                <w:color w:val="000000"/>
                <w:szCs w:val="20"/>
              </w:rPr>
            </w:pPr>
            <w:r w:rsidRPr="00305215">
              <w:rPr>
                <w:rFonts w:cs="Arial"/>
                <w:color w:val="000000"/>
                <w:szCs w:val="20"/>
              </w:rPr>
              <w:t>Počet zařízení a služeb pro řízení dopravy</w:t>
            </w:r>
          </w:p>
        </w:tc>
        <w:tc>
          <w:tcPr>
            <w:tcW w:w="881" w:type="pct"/>
            <w:tcBorders>
              <w:top w:val="single" w:sz="4" w:space="0" w:color="auto"/>
              <w:left w:val="nil"/>
              <w:bottom w:val="single" w:sz="4" w:space="0" w:color="auto"/>
              <w:right w:val="single" w:sz="4" w:space="0" w:color="auto"/>
            </w:tcBorders>
            <w:shd w:val="clear" w:color="auto" w:fill="auto"/>
            <w:vAlign w:val="center"/>
          </w:tcPr>
          <w:p w14:paraId="270623C9" w14:textId="77777777" w:rsidR="00754B6F" w:rsidRPr="00305215" w:rsidRDefault="00754B6F" w:rsidP="00A518C0">
            <w:pPr>
              <w:jc w:val="left"/>
              <w:rPr>
                <w:rFonts w:cs="Arial"/>
                <w:color w:val="000000"/>
                <w:szCs w:val="20"/>
              </w:rPr>
            </w:pPr>
            <w:r w:rsidRPr="00305215">
              <w:rPr>
                <w:rFonts w:cs="Arial"/>
                <w:color w:val="000000"/>
                <w:szCs w:val="20"/>
              </w:rPr>
              <w:t>ks</w:t>
            </w:r>
          </w:p>
        </w:tc>
        <w:tc>
          <w:tcPr>
            <w:tcW w:w="705" w:type="pct"/>
            <w:tcBorders>
              <w:top w:val="single" w:sz="4" w:space="0" w:color="auto"/>
              <w:left w:val="nil"/>
              <w:bottom w:val="single" w:sz="4" w:space="0" w:color="auto"/>
              <w:right w:val="single" w:sz="4" w:space="0" w:color="auto"/>
            </w:tcBorders>
            <w:shd w:val="clear" w:color="auto" w:fill="auto"/>
            <w:vAlign w:val="center"/>
          </w:tcPr>
          <w:p w14:paraId="3197B0AF" w14:textId="77777777" w:rsidR="00754B6F" w:rsidRPr="00305215" w:rsidRDefault="00754B6F" w:rsidP="00A518C0">
            <w:pPr>
              <w:jc w:val="left"/>
              <w:rPr>
                <w:rFonts w:cs="Arial"/>
                <w:color w:val="000000"/>
                <w:szCs w:val="20"/>
              </w:rPr>
            </w:pPr>
            <w:r w:rsidRPr="00305215">
              <w:rPr>
                <w:rFonts w:cs="Arial"/>
                <w:color w:val="000000"/>
                <w:szCs w:val="20"/>
              </w:rPr>
              <w:t>výstup</w:t>
            </w:r>
          </w:p>
        </w:tc>
      </w:tr>
      <w:tr w:rsidR="00754B6F" w:rsidRPr="00305215" w14:paraId="3B6E02CB"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0ED9969" w14:textId="77777777" w:rsidR="00754B6F" w:rsidRPr="00305215" w:rsidRDefault="00754B6F" w:rsidP="00754B6F">
            <w:pPr>
              <w:jc w:val="left"/>
              <w:rPr>
                <w:rFonts w:cs="Arial"/>
                <w:color w:val="000000"/>
                <w:szCs w:val="20"/>
              </w:rPr>
            </w:pPr>
            <w:r w:rsidRPr="00305215">
              <w:rPr>
                <w:rFonts w:cs="Arial"/>
                <w:color w:val="000000"/>
                <w:szCs w:val="20"/>
              </w:rPr>
              <w:t>7 54 20</w:t>
            </w:r>
          </w:p>
        </w:tc>
        <w:tc>
          <w:tcPr>
            <w:tcW w:w="2644" w:type="pct"/>
            <w:tcBorders>
              <w:top w:val="single" w:sz="4" w:space="0" w:color="auto"/>
              <w:left w:val="nil"/>
              <w:bottom w:val="single" w:sz="4" w:space="0" w:color="auto"/>
              <w:right w:val="single" w:sz="4" w:space="0" w:color="auto"/>
            </w:tcBorders>
            <w:shd w:val="clear" w:color="auto" w:fill="auto"/>
            <w:vAlign w:val="center"/>
          </w:tcPr>
          <w:p w14:paraId="3622FD21" w14:textId="77777777" w:rsidR="00754B6F" w:rsidRPr="00305215" w:rsidRDefault="00754B6F" w:rsidP="00A518C0">
            <w:pPr>
              <w:jc w:val="left"/>
              <w:rPr>
                <w:rFonts w:cs="Arial"/>
                <w:color w:val="000000"/>
                <w:szCs w:val="20"/>
              </w:rPr>
            </w:pPr>
            <w:r w:rsidRPr="00305215">
              <w:rPr>
                <w:rFonts w:cs="Arial"/>
                <w:color w:val="000000"/>
                <w:szCs w:val="20"/>
              </w:rPr>
              <w:t>Úspora nafty v provozu městské autobusové dopravy</w:t>
            </w:r>
          </w:p>
        </w:tc>
        <w:tc>
          <w:tcPr>
            <w:tcW w:w="881" w:type="pct"/>
            <w:tcBorders>
              <w:top w:val="single" w:sz="4" w:space="0" w:color="auto"/>
              <w:left w:val="nil"/>
              <w:bottom w:val="single" w:sz="4" w:space="0" w:color="auto"/>
              <w:right w:val="single" w:sz="4" w:space="0" w:color="auto"/>
            </w:tcBorders>
            <w:shd w:val="clear" w:color="auto" w:fill="auto"/>
            <w:vAlign w:val="center"/>
          </w:tcPr>
          <w:p w14:paraId="7755A65D" w14:textId="77777777" w:rsidR="00754B6F" w:rsidRPr="00305215" w:rsidRDefault="00754B6F" w:rsidP="00A518C0">
            <w:pPr>
              <w:jc w:val="left"/>
              <w:rPr>
                <w:rFonts w:cs="Arial"/>
                <w:color w:val="000000"/>
                <w:szCs w:val="20"/>
              </w:rPr>
            </w:pPr>
            <w:r w:rsidRPr="00305215">
              <w:rPr>
                <w:rFonts w:cs="Arial"/>
                <w:color w:val="000000"/>
                <w:szCs w:val="20"/>
              </w:rPr>
              <w:t>litr/rok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2BDC3F1D" w14:textId="77777777" w:rsidR="00754B6F" w:rsidRPr="00305215" w:rsidRDefault="00754B6F" w:rsidP="00A518C0">
            <w:pPr>
              <w:jc w:val="left"/>
              <w:rPr>
                <w:rFonts w:cs="Arial"/>
                <w:color w:val="000000"/>
                <w:szCs w:val="20"/>
              </w:rPr>
            </w:pPr>
            <w:r w:rsidRPr="00305215">
              <w:rPr>
                <w:rFonts w:cs="Arial"/>
                <w:color w:val="000000"/>
                <w:szCs w:val="20"/>
              </w:rPr>
              <w:t>výsledek</w:t>
            </w:r>
          </w:p>
        </w:tc>
      </w:tr>
      <w:tr w:rsidR="00754B6F" w:rsidRPr="00305215" w14:paraId="7E276E27"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66DF5A0" w14:textId="77777777" w:rsidR="00754B6F" w:rsidRPr="00305215" w:rsidRDefault="00754B6F" w:rsidP="00754B6F">
            <w:pPr>
              <w:jc w:val="left"/>
              <w:rPr>
                <w:rFonts w:cs="Arial"/>
                <w:color w:val="000000"/>
                <w:szCs w:val="20"/>
              </w:rPr>
            </w:pPr>
            <w:r w:rsidRPr="00305215">
              <w:rPr>
                <w:rFonts w:cs="Arial"/>
                <w:color w:val="000000"/>
                <w:szCs w:val="20"/>
              </w:rPr>
              <w:t xml:space="preserve">7 54 10 </w:t>
            </w:r>
          </w:p>
        </w:tc>
        <w:tc>
          <w:tcPr>
            <w:tcW w:w="2644" w:type="pct"/>
            <w:tcBorders>
              <w:top w:val="single" w:sz="4" w:space="0" w:color="auto"/>
              <w:left w:val="nil"/>
              <w:bottom w:val="single" w:sz="4" w:space="0" w:color="auto"/>
              <w:right w:val="single" w:sz="4" w:space="0" w:color="auto"/>
            </w:tcBorders>
            <w:shd w:val="clear" w:color="auto" w:fill="auto"/>
            <w:vAlign w:val="center"/>
          </w:tcPr>
          <w:p w14:paraId="4374A05D" w14:textId="77777777" w:rsidR="00754B6F" w:rsidRPr="00305215" w:rsidRDefault="00754B6F" w:rsidP="00754B6F">
            <w:pPr>
              <w:jc w:val="left"/>
              <w:rPr>
                <w:rFonts w:cs="Arial"/>
                <w:color w:val="000000"/>
                <w:szCs w:val="20"/>
              </w:rPr>
            </w:pPr>
            <w:r w:rsidRPr="00305215">
              <w:rPr>
                <w:rFonts w:cs="Arial"/>
                <w:color w:val="000000"/>
                <w:szCs w:val="20"/>
              </w:rPr>
              <w:t>Hodnota úspory času ve veřejné dopravě</w:t>
            </w:r>
          </w:p>
        </w:tc>
        <w:tc>
          <w:tcPr>
            <w:tcW w:w="881" w:type="pct"/>
            <w:tcBorders>
              <w:top w:val="single" w:sz="4" w:space="0" w:color="auto"/>
              <w:left w:val="nil"/>
              <w:bottom w:val="single" w:sz="4" w:space="0" w:color="auto"/>
              <w:right w:val="single" w:sz="4" w:space="0" w:color="auto"/>
            </w:tcBorders>
            <w:shd w:val="clear" w:color="auto" w:fill="auto"/>
            <w:vAlign w:val="center"/>
          </w:tcPr>
          <w:p w14:paraId="6C38F430" w14:textId="77777777" w:rsidR="00754B6F" w:rsidRPr="00305215" w:rsidRDefault="00754B6F" w:rsidP="00A518C0">
            <w:pPr>
              <w:jc w:val="left"/>
              <w:rPr>
                <w:rFonts w:cs="Arial"/>
                <w:color w:val="000000"/>
                <w:szCs w:val="20"/>
              </w:rPr>
            </w:pPr>
            <w:r w:rsidRPr="00305215">
              <w:rPr>
                <w:rFonts w:cs="Arial"/>
                <w:color w:val="000000"/>
                <w:szCs w:val="20"/>
              </w:rPr>
              <w:t>min.</w:t>
            </w:r>
          </w:p>
        </w:tc>
        <w:tc>
          <w:tcPr>
            <w:tcW w:w="705" w:type="pct"/>
            <w:tcBorders>
              <w:top w:val="single" w:sz="4" w:space="0" w:color="auto"/>
              <w:left w:val="nil"/>
              <w:bottom w:val="single" w:sz="4" w:space="0" w:color="auto"/>
              <w:right w:val="single" w:sz="4" w:space="0" w:color="auto"/>
            </w:tcBorders>
            <w:shd w:val="clear" w:color="auto" w:fill="auto"/>
            <w:vAlign w:val="center"/>
          </w:tcPr>
          <w:p w14:paraId="5FFCBE8F" w14:textId="77777777" w:rsidR="00754B6F" w:rsidRPr="00305215" w:rsidRDefault="00754B6F" w:rsidP="00A518C0">
            <w:pPr>
              <w:jc w:val="left"/>
              <w:rPr>
                <w:rFonts w:cs="Arial"/>
                <w:color w:val="000000"/>
                <w:szCs w:val="20"/>
              </w:rPr>
            </w:pPr>
            <w:r w:rsidRPr="00305215">
              <w:rPr>
                <w:rFonts w:cs="Arial"/>
                <w:color w:val="000000"/>
                <w:szCs w:val="20"/>
              </w:rPr>
              <w:t>výsledek</w:t>
            </w:r>
          </w:p>
        </w:tc>
      </w:tr>
    </w:tbl>
    <w:p w14:paraId="49B9D830" w14:textId="77777777" w:rsidR="004A42AD" w:rsidRPr="00305215" w:rsidRDefault="004A42AD" w:rsidP="00816124">
      <w:pPr>
        <w:pStyle w:val="txt"/>
        <w:spacing w:after="0"/>
        <w:ind w:firstLine="0"/>
        <w:rPr>
          <w:sz w:val="20"/>
          <w:szCs w:val="20"/>
        </w:rPr>
      </w:pPr>
    </w:p>
    <w:p w14:paraId="79A77363" w14:textId="77777777" w:rsidR="004A42AD" w:rsidRPr="00305215" w:rsidRDefault="004A42AD" w:rsidP="00816124">
      <w:pPr>
        <w:pStyle w:val="txt"/>
        <w:spacing w:after="0"/>
        <w:ind w:firstLine="0"/>
        <w:rPr>
          <w:sz w:val="20"/>
          <w:szCs w:val="20"/>
        </w:rPr>
      </w:pPr>
    </w:p>
    <w:p w14:paraId="2802A7E2"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Územní zaměření</w:t>
      </w:r>
    </w:p>
    <w:p w14:paraId="08EF59F4" w14:textId="77777777" w:rsidR="00D45C20" w:rsidRPr="00305215" w:rsidRDefault="00D45C20" w:rsidP="00EF4C60">
      <w:pPr>
        <w:pStyle w:val="txt"/>
        <w:numPr>
          <w:ilvl w:val="1"/>
          <w:numId w:val="2"/>
        </w:numPr>
        <w:spacing w:after="0" w:line="360" w:lineRule="auto"/>
        <w:ind w:left="993" w:hanging="631"/>
        <w:rPr>
          <w:rFonts w:cs="Arial"/>
          <w:b/>
          <w:bCs/>
          <w:sz w:val="20"/>
        </w:rPr>
      </w:pPr>
      <w:r w:rsidRPr="00305215">
        <w:rPr>
          <w:rFonts w:cs="Arial"/>
          <w:b/>
          <w:bCs/>
          <w:sz w:val="20"/>
        </w:rPr>
        <w:t xml:space="preserve">Přípustné místo realizace: </w:t>
      </w:r>
      <w:r w:rsidR="00F96C5A" w:rsidRPr="00305215">
        <w:rPr>
          <w:rFonts w:cs="Arial"/>
          <w:bCs/>
          <w:sz w:val="20"/>
        </w:rPr>
        <w:t>Hl. m. Praha</w:t>
      </w:r>
    </w:p>
    <w:p w14:paraId="615A98BD"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Informace o způsobilosti výdajů:</w:t>
      </w:r>
    </w:p>
    <w:p w14:paraId="6BA28637"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Věcná způsobilost: </w:t>
      </w:r>
    </w:p>
    <w:p w14:paraId="5503D9F9" w14:textId="77777777" w:rsidR="00E573AF" w:rsidRPr="00305215" w:rsidRDefault="00E573AF" w:rsidP="00E573AF">
      <w:pPr>
        <w:pStyle w:val="txt"/>
        <w:spacing w:after="0"/>
        <w:ind w:left="357" w:firstLine="0"/>
        <w:rPr>
          <w:sz w:val="20"/>
          <w:szCs w:val="20"/>
        </w:rPr>
      </w:pPr>
      <w:r w:rsidRPr="00305215">
        <w:rPr>
          <w:sz w:val="20"/>
          <w:szCs w:val="20"/>
        </w:rPr>
        <w:t>V rámci této výzvy je možné financovat způsobilé výdaje relevantní pro EFRR projekty podrobně specifikované v Pravidlech pro žadatele a příjemce OP PPR, kap. 17 (viz bod 1</w:t>
      </w:r>
      <w:r w:rsidR="00635B2C" w:rsidRPr="00305215">
        <w:rPr>
          <w:sz w:val="20"/>
          <w:szCs w:val="20"/>
        </w:rPr>
        <w:t>1</w:t>
      </w:r>
      <w:r w:rsidRPr="00305215">
        <w:rPr>
          <w:sz w:val="20"/>
          <w:szCs w:val="20"/>
        </w:rPr>
        <w:t>.1. výzvy), s tím, že pro některé z nich jsou v této výzvě stanoveny závazné limity a dále jsou uvedeny výdaje, které jsou pro tuto výzvu nezpůsobilé. Dále jsou uvedeny příklady způsobilých výdajů relevantních pro tuto výzvu.</w:t>
      </w:r>
    </w:p>
    <w:p w14:paraId="0FCE182D" w14:textId="77777777" w:rsidR="004A42AD" w:rsidRPr="00305215" w:rsidRDefault="004A42AD" w:rsidP="007470A9">
      <w:pPr>
        <w:pStyle w:val="Prav-odr"/>
        <w:numPr>
          <w:ilvl w:val="0"/>
          <w:numId w:val="0"/>
        </w:numPr>
        <w:ind w:left="720" w:hanging="360"/>
        <w:rPr>
          <w:b/>
          <w:color w:val="00000A"/>
        </w:rPr>
      </w:pPr>
    </w:p>
    <w:p w14:paraId="70822D58" w14:textId="77777777" w:rsidR="00E573AF" w:rsidRPr="00305215" w:rsidRDefault="004A42AD" w:rsidP="00920F46">
      <w:pPr>
        <w:pStyle w:val="Prav-odr"/>
        <w:numPr>
          <w:ilvl w:val="0"/>
          <w:numId w:val="0"/>
        </w:numPr>
        <w:ind w:left="720" w:hanging="360"/>
        <w:rPr>
          <w:i/>
        </w:rPr>
      </w:pPr>
      <w:r w:rsidRPr="00305215">
        <w:rPr>
          <w:b/>
          <w:i/>
          <w:color w:val="00000A"/>
        </w:rPr>
        <w:t>Skupina aktivit A Realizace záchytných parkovišť systému P+R</w:t>
      </w:r>
    </w:p>
    <w:p w14:paraId="4D126F3F" w14:textId="77777777" w:rsidR="00E573AF" w:rsidRPr="00305215" w:rsidRDefault="00E573AF" w:rsidP="00F06AAD">
      <w:pPr>
        <w:pStyle w:val="txt"/>
        <w:spacing w:after="0"/>
        <w:ind w:left="357" w:firstLine="0"/>
        <w:rPr>
          <w:rFonts w:eastAsia="Calibri" w:cs="Arial"/>
          <w:sz w:val="20"/>
          <w:szCs w:val="20"/>
        </w:rPr>
      </w:pPr>
      <w:r w:rsidRPr="00305215">
        <w:rPr>
          <w:sz w:val="20"/>
          <w:szCs w:val="20"/>
        </w:rPr>
        <w:t>Obecně platí, že budou financovány náklady přímo související s realizací vymezených aktivit (viz bod 4.1 výzvy),</w:t>
      </w:r>
      <w:r w:rsidRPr="00305215">
        <w:rPr>
          <w:rFonts w:eastAsia="Calibri" w:cs="Arial"/>
          <w:sz w:val="20"/>
          <w:szCs w:val="20"/>
        </w:rPr>
        <w:t xml:space="preserve"> tzn. výdaje přímo související s</w:t>
      </w:r>
      <w:r w:rsidR="00620893" w:rsidRPr="00305215">
        <w:rPr>
          <w:rFonts w:eastAsia="Calibri" w:cs="Arial"/>
          <w:sz w:val="20"/>
          <w:szCs w:val="20"/>
        </w:rPr>
        <w:t> vytvořením nových parkovacích míst v rámci realizace záchytného parkoviště P+R.</w:t>
      </w:r>
    </w:p>
    <w:p w14:paraId="57429B7A" w14:textId="77777777" w:rsidR="00ED33F4" w:rsidRPr="00305215" w:rsidRDefault="00ED33F4" w:rsidP="00156410">
      <w:pPr>
        <w:pStyle w:val="txt"/>
        <w:spacing w:after="0"/>
        <w:ind w:firstLine="0"/>
        <w:rPr>
          <w:rFonts w:eastAsia="Calibri" w:cs="Arial"/>
          <w:b/>
          <w:sz w:val="20"/>
          <w:szCs w:val="20"/>
        </w:rPr>
      </w:pPr>
    </w:p>
    <w:p w14:paraId="31537E20" w14:textId="77777777" w:rsidR="005A3FDD" w:rsidRPr="00305215" w:rsidRDefault="00ED33F4" w:rsidP="00EC171E">
      <w:pPr>
        <w:pStyle w:val="txt"/>
        <w:ind w:left="357" w:firstLine="0"/>
        <w:rPr>
          <w:sz w:val="20"/>
          <w:szCs w:val="20"/>
        </w:rPr>
      </w:pPr>
      <w:r w:rsidRPr="00305215">
        <w:rPr>
          <w:sz w:val="20"/>
          <w:szCs w:val="20"/>
        </w:rPr>
        <w:t>Mezi specifické způsobilé výdaje v této výzvě patří:</w:t>
      </w:r>
    </w:p>
    <w:p w14:paraId="6B1A4D31" w14:textId="77777777" w:rsidR="005735E4" w:rsidRPr="00305215" w:rsidRDefault="005735E4"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výkup pozemků</w:t>
      </w:r>
      <w:r w:rsidR="0033691F" w:rsidRPr="00305215">
        <w:rPr>
          <w:rFonts w:ascii="Arial" w:hAnsi="Arial" w:cs="Arial"/>
          <w:sz w:val="20"/>
          <w:szCs w:val="20"/>
        </w:rPr>
        <w:t>;</w:t>
      </w:r>
    </w:p>
    <w:p w14:paraId="6B103A26" w14:textId="77777777" w:rsidR="005A3FDD" w:rsidRPr="00305215" w:rsidRDefault="00EC171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w:t>
      </w:r>
      <w:r w:rsidR="00DB0171" w:rsidRPr="00305215">
        <w:rPr>
          <w:rFonts w:ascii="Arial" w:hAnsi="Arial" w:cs="Arial"/>
          <w:sz w:val="20"/>
          <w:szCs w:val="20"/>
        </w:rPr>
        <w:t xml:space="preserve">áklady na úpravu </w:t>
      </w:r>
      <w:r w:rsidR="004E7C18" w:rsidRPr="00305215">
        <w:rPr>
          <w:rFonts w:ascii="Arial" w:hAnsi="Arial" w:cs="Arial"/>
          <w:sz w:val="20"/>
          <w:szCs w:val="20"/>
        </w:rPr>
        <w:t>staveniště</w:t>
      </w:r>
      <w:r w:rsidR="00275C01" w:rsidRPr="00305215">
        <w:rPr>
          <w:rFonts w:ascii="Arial" w:hAnsi="Arial" w:cs="Arial"/>
          <w:sz w:val="20"/>
          <w:szCs w:val="20"/>
        </w:rPr>
        <w:t xml:space="preserve"> </w:t>
      </w:r>
      <w:r w:rsidR="00101A9E" w:rsidRPr="00305215">
        <w:rPr>
          <w:rFonts w:ascii="Arial" w:hAnsi="Arial" w:cs="Arial"/>
          <w:sz w:val="20"/>
          <w:szCs w:val="20"/>
        </w:rPr>
        <w:t>na místě budoucího parkoviště</w:t>
      </w:r>
      <w:r w:rsidR="00156410" w:rsidRPr="00305215">
        <w:rPr>
          <w:rFonts w:ascii="Arial" w:hAnsi="Arial" w:cs="Arial"/>
          <w:sz w:val="20"/>
          <w:szCs w:val="20"/>
        </w:rPr>
        <w:t xml:space="preserve"> (</w:t>
      </w:r>
      <w:r w:rsidR="00101A9E" w:rsidRPr="00305215">
        <w:rPr>
          <w:rFonts w:ascii="Arial" w:hAnsi="Arial" w:cs="Arial"/>
          <w:sz w:val="20"/>
          <w:szCs w:val="20"/>
        </w:rPr>
        <w:t xml:space="preserve">např. </w:t>
      </w:r>
      <w:r w:rsidR="00DB0171" w:rsidRPr="00305215">
        <w:rPr>
          <w:rFonts w:ascii="Arial" w:hAnsi="Arial" w:cs="Arial"/>
          <w:sz w:val="20"/>
          <w:szCs w:val="20"/>
        </w:rPr>
        <w:t>skrývka zeminy a její odtěžení</w:t>
      </w:r>
      <w:r w:rsidR="00D217AC" w:rsidRPr="00305215">
        <w:rPr>
          <w:rFonts w:ascii="Arial" w:hAnsi="Arial" w:cs="Arial"/>
          <w:sz w:val="20"/>
          <w:szCs w:val="20"/>
        </w:rPr>
        <w:t>, výkopové práce</w:t>
      </w:r>
      <w:r w:rsidR="00DB0171" w:rsidRPr="00305215">
        <w:rPr>
          <w:rFonts w:ascii="Arial" w:hAnsi="Arial" w:cs="Arial"/>
          <w:sz w:val="20"/>
          <w:szCs w:val="20"/>
        </w:rPr>
        <w:t>)</w:t>
      </w:r>
      <w:r w:rsidR="00B43AAA" w:rsidRPr="00305215">
        <w:rPr>
          <w:rFonts w:ascii="Arial" w:hAnsi="Arial" w:cs="Arial"/>
          <w:sz w:val="20"/>
          <w:szCs w:val="20"/>
        </w:rPr>
        <w:t>;</w:t>
      </w:r>
    </w:p>
    <w:p w14:paraId="6893ACA1" w14:textId="77777777" w:rsidR="00DB0171" w:rsidRPr="00305215" w:rsidRDefault="00EC171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w:t>
      </w:r>
      <w:r w:rsidR="00DB0171" w:rsidRPr="00305215">
        <w:rPr>
          <w:rFonts w:ascii="Arial" w:hAnsi="Arial" w:cs="Arial"/>
          <w:sz w:val="20"/>
          <w:szCs w:val="20"/>
        </w:rPr>
        <w:t>áklady na samotnou stavbu</w:t>
      </w:r>
      <w:r w:rsidR="005A3FDD" w:rsidRPr="00305215">
        <w:rPr>
          <w:rFonts w:ascii="Arial" w:hAnsi="Arial" w:cs="Arial"/>
          <w:sz w:val="20"/>
          <w:szCs w:val="20"/>
        </w:rPr>
        <w:t xml:space="preserve"> parkoviště </w:t>
      </w:r>
      <w:r w:rsidR="004E7C18" w:rsidRPr="00305215">
        <w:rPr>
          <w:rFonts w:ascii="Arial" w:hAnsi="Arial" w:cs="Arial"/>
          <w:sz w:val="20"/>
          <w:szCs w:val="20"/>
        </w:rPr>
        <w:t xml:space="preserve">(úrovňového, víceúrovňového) </w:t>
      </w:r>
      <w:r w:rsidR="005A3FDD" w:rsidRPr="00305215">
        <w:rPr>
          <w:rFonts w:ascii="Arial" w:hAnsi="Arial" w:cs="Arial"/>
          <w:sz w:val="20"/>
          <w:szCs w:val="20"/>
        </w:rPr>
        <w:t>odpovídající normám</w:t>
      </w:r>
      <w:r w:rsidR="00B43AAA" w:rsidRPr="00305215">
        <w:rPr>
          <w:rFonts w:ascii="Arial" w:hAnsi="Arial" w:cs="Arial"/>
          <w:sz w:val="20"/>
          <w:szCs w:val="20"/>
        </w:rPr>
        <w:t>;</w:t>
      </w:r>
    </w:p>
    <w:p w14:paraId="04527AD4" w14:textId="77777777" w:rsidR="004E7C18" w:rsidRPr="00305215" w:rsidRDefault="004E7C18" w:rsidP="004E7C18">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náklady na výstavbu, rekonstrukci či opravu příjezdových komunikací z místní uliční sítě k realizovanému parkovišti;</w:t>
      </w:r>
    </w:p>
    <w:p w14:paraId="6B3EBE6D" w14:textId="77777777" w:rsidR="004E7C18" w:rsidRPr="00305215" w:rsidRDefault="004E7C18" w:rsidP="004E7C18">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technický dozor stavebníka</w:t>
      </w:r>
      <w:r w:rsidR="00EF3114" w:rsidRPr="00305215">
        <w:rPr>
          <w:rFonts w:ascii="Arial" w:hAnsi="Arial" w:cs="Arial"/>
          <w:sz w:val="20"/>
          <w:szCs w:val="20"/>
        </w:rPr>
        <w:t>;</w:t>
      </w:r>
    </w:p>
    <w:p w14:paraId="611C4A44" w14:textId="77777777" w:rsidR="00EC171E" w:rsidRPr="00305215" w:rsidRDefault="00EC171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v</w:t>
      </w:r>
      <w:r w:rsidR="00DB0171" w:rsidRPr="00305215">
        <w:rPr>
          <w:rFonts w:ascii="Arial" w:hAnsi="Arial" w:cs="Arial"/>
          <w:sz w:val="20"/>
          <w:szCs w:val="20"/>
        </w:rPr>
        <w:t>ýstavba chodníku v prostorách parkoviště</w:t>
      </w:r>
      <w:r w:rsidR="00B43AAA" w:rsidRPr="00305215">
        <w:rPr>
          <w:rFonts w:ascii="Arial" w:hAnsi="Arial" w:cs="Arial"/>
          <w:sz w:val="20"/>
          <w:szCs w:val="20"/>
        </w:rPr>
        <w:t>;</w:t>
      </w:r>
    </w:p>
    <w:p w14:paraId="1559F77C" w14:textId="77777777" w:rsidR="00EC171E" w:rsidRPr="00305215" w:rsidRDefault="00552471"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w:t>
      </w:r>
      <w:r w:rsidR="00DB0171" w:rsidRPr="00305215">
        <w:rPr>
          <w:rFonts w:ascii="Arial" w:hAnsi="Arial" w:cs="Arial"/>
          <w:sz w:val="20"/>
          <w:szCs w:val="20"/>
        </w:rPr>
        <w:t>áklady na z</w:t>
      </w:r>
      <w:r w:rsidR="005A3FDD" w:rsidRPr="00305215">
        <w:rPr>
          <w:rFonts w:ascii="Arial" w:hAnsi="Arial" w:cs="Arial"/>
          <w:sz w:val="20"/>
          <w:szCs w:val="20"/>
        </w:rPr>
        <w:t xml:space="preserve">ajištění </w:t>
      </w:r>
      <w:r w:rsidRPr="00305215">
        <w:rPr>
          <w:rFonts w:ascii="Arial" w:hAnsi="Arial" w:cs="Arial"/>
          <w:sz w:val="20"/>
          <w:szCs w:val="20"/>
        </w:rPr>
        <w:t>osvětlení</w:t>
      </w:r>
      <w:r w:rsidR="00101A9E" w:rsidRPr="00305215">
        <w:rPr>
          <w:rFonts w:ascii="Arial" w:hAnsi="Arial" w:cs="Arial"/>
          <w:sz w:val="20"/>
          <w:szCs w:val="20"/>
        </w:rPr>
        <w:t xml:space="preserve"> a značení v rámci P+R</w:t>
      </w:r>
      <w:r w:rsidR="00B43AAA" w:rsidRPr="00305215">
        <w:rPr>
          <w:rFonts w:ascii="Arial" w:hAnsi="Arial" w:cs="Arial"/>
          <w:sz w:val="20"/>
          <w:szCs w:val="20"/>
        </w:rPr>
        <w:t>;</w:t>
      </w:r>
    </w:p>
    <w:p w14:paraId="37780F4A" w14:textId="77777777" w:rsidR="00101A9E" w:rsidRPr="00305215" w:rsidRDefault="00101A9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 xml:space="preserve">náklady </w:t>
      </w:r>
      <w:r w:rsidR="001F654A" w:rsidRPr="00305215">
        <w:rPr>
          <w:rFonts w:ascii="Arial" w:hAnsi="Arial" w:cs="Arial"/>
          <w:sz w:val="20"/>
          <w:szCs w:val="20"/>
        </w:rPr>
        <w:t>na doprav</w:t>
      </w:r>
      <w:r w:rsidRPr="00305215">
        <w:rPr>
          <w:rFonts w:ascii="Arial" w:hAnsi="Arial" w:cs="Arial"/>
          <w:sz w:val="20"/>
          <w:szCs w:val="20"/>
        </w:rPr>
        <w:t xml:space="preserve">ní značení a naváděcí </w:t>
      </w:r>
      <w:r w:rsidR="00A73A12" w:rsidRPr="00305215">
        <w:rPr>
          <w:rFonts w:ascii="Arial" w:hAnsi="Arial" w:cs="Arial"/>
          <w:sz w:val="20"/>
          <w:szCs w:val="20"/>
        </w:rPr>
        <w:t xml:space="preserve">a informační </w:t>
      </w:r>
      <w:r w:rsidRPr="00305215">
        <w:rPr>
          <w:rFonts w:ascii="Arial" w:hAnsi="Arial" w:cs="Arial"/>
          <w:sz w:val="20"/>
          <w:szCs w:val="20"/>
        </w:rPr>
        <w:t>značení k realizovanému P+R</w:t>
      </w:r>
      <w:r w:rsidR="00B43AAA" w:rsidRPr="00305215">
        <w:rPr>
          <w:rFonts w:ascii="Arial" w:hAnsi="Arial" w:cs="Arial"/>
          <w:sz w:val="20"/>
          <w:szCs w:val="20"/>
        </w:rPr>
        <w:t>;</w:t>
      </w:r>
    </w:p>
    <w:p w14:paraId="13EF490D" w14:textId="77777777" w:rsidR="005A3FDD" w:rsidRPr="00305215" w:rsidRDefault="00552471"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lastRenderedPageBreak/>
        <w:t>náklady na zajištění k</w:t>
      </w:r>
      <w:r w:rsidR="00DB0171" w:rsidRPr="00305215">
        <w:rPr>
          <w:rFonts w:ascii="Arial" w:hAnsi="Arial" w:cs="Arial"/>
          <w:sz w:val="20"/>
          <w:szCs w:val="20"/>
        </w:rPr>
        <w:t>amerového sytému</w:t>
      </w:r>
      <w:r w:rsidR="00B43AAA" w:rsidRPr="00305215">
        <w:rPr>
          <w:rFonts w:ascii="Arial" w:hAnsi="Arial" w:cs="Arial"/>
          <w:sz w:val="20"/>
          <w:szCs w:val="20"/>
        </w:rPr>
        <w:t>;</w:t>
      </w:r>
    </w:p>
    <w:p w14:paraId="5DD22FEB" w14:textId="77777777" w:rsidR="00EC171E" w:rsidRPr="00305215" w:rsidRDefault="00EC171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 xml:space="preserve">náklady na zajištění přívodu elektrické energie, vody a připojení kanalizační </w:t>
      </w:r>
      <w:r w:rsidR="00101A9E" w:rsidRPr="00305215">
        <w:rPr>
          <w:rFonts w:ascii="Arial" w:hAnsi="Arial" w:cs="Arial"/>
          <w:sz w:val="20"/>
          <w:szCs w:val="20"/>
        </w:rPr>
        <w:t>přípojky</w:t>
      </w:r>
      <w:r w:rsidR="00B43AAA" w:rsidRPr="00305215">
        <w:rPr>
          <w:rFonts w:ascii="Arial" w:hAnsi="Arial" w:cs="Arial"/>
          <w:sz w:val="20"/>
          <w:szCs w:val="20"/>
        </w:rPr>
        <w:t>;</w:t>
      </w:r>
    </w:p>
    <w:p w14:paraId="63852D0D" w14:textId="77777777" w:rsidR="00101A9E" w:rsidRPr="00305215" w:rsidRDefault="00101A9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náklady na zajištění přeložek v případě vedení inženýr</w:t>
      </w:r>
      <w:r w:rsidR="001F654A" w:rsidRPr="00305215">
        <w:rPr>
          <w:rFonts w:ascii="Arial" w:hAnsi="Arial" w:cs="Arial"/>
          <w:sz w:val="20"/>
          <w:szCs w:val="20"/>
        </w:rPr>
        <w:t>s</w:t>
      </w:r>
      <w:r w:rsidRPr="00305215">
        <w:rPr>
          <w:rFonts w:ascii="Arial" w:hAnsi="Arial" w:cs="Arial"/>
          <w:sz w:val="20"/>
          <w:szCs w:val="20"/>
        </w:rPr>
        <w:t>kých sítí</w:t>
      </w:r>
      <w:r w:rsidR="00B43AAA" w:rsidRPr="00305215">
        <w:rPr>
          <w:rFonts w:ascii="Arial" w:hAnsi="Arial" w:cs="Arial"/>
          <w:sz w:val="20"/>
          <w:szCs w:val="20"/>
        </w:rPr>
        <w:t>;</w:t>
      </w:r>
    </w:p>
    <w:p w14:paraId="071E2E08" w14:textId="77777777" w:rsidR="004E7C18" w:rsidRPr="00305215" w:rsidRDefault="004E7C18" w:rsidP="004E7C18">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náklady na stavbu prostor pro správce parkoviště (např. buňky, vrátnice)</w:t>
      </w:r>
      <w:r w:rsidR="00EF3114" w:rsidRPr="00305215">
        <w:rPr>
          <w:rFonts w:ascii="Arial" w:hAnsi="Arial" w:cs="Arial"/>
          <w:sz w:val="20"/>
          <w:szCs w:val="20"/>
        </w:rPr>
        <w:t>;</w:t>
      </w:r>
    </w:p>
    <w:p w14:paraId="2BD8A85F" w14:textId="77777777" w:rsidR="00EC171E" w:rsidRPr="00305215" w:rsidRDefault="00EC171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technologie parkoviště</w:t>
      </w:r>
      <w:r w:rsidR="00BF5724" w:rsidRPr="00305215">
        <w:rPr>
          <w:rFonts w:ascii="Arial" w:hAnsi="Arial" w:cs="Arial"/>
          <w:sz w:val="20"/>
          <w:szCs w:val="20"/>
        </w:rPr>
        <w:t xml:space="preserve"> (</w:t>
      </w:r>
      <w:r w:rsidR="00101A9E" w:rsidRPr="00305215">
        <w:rPr>
          <w:rFonts w:ascii="Arial" w:hAnsi="Arial" w:cs="Arial"/>
          <w:sz w:val="20"/>
          <w:szCs w:val="20"/>
        </w:rPr>
        <w:t>závorové, detekční</w:t>
      </w:r>
      <w:r w:rsidR="00BF5724" w:rsidRPr="00305215">
        <w:rPr>
          <w:rFonts w:ascii="Arial" w:hAnsi="Arial" w:cs="Arial"/>
          <w:sz w:val="20"/>
          <w:szCs w:val="20"/>
        </w:rPr>
        <w:t>, informační, odbavovací apod.</w:t>
      </w:r>
      <w:r w:rsidR="00101A9E" w:rsidRPr="00305215">
        <w:rPr>
          <w:rFonts w:ascii="Arial" w:hAnsi="Arial" w:cs="Arial"/>
          <w:sz w:val="20"/>
          <w:szCs w:val="20"/>
        </w:rPr>
        <w:t>)</w:t>
      </w:r>
      <w:r w:rsidR="00B43AAA" w:rsidRPr="00305215">
        <w:rPr>
          <w:rFonts w:ascii="Arial" w:hAnsi="Arial" w:cs="Arial"/>
          <w:sz w:val="20"/>
          <w:szCs w:val="20"/>
        </w:rPr>
        <w:t>;</w:t>
      </w:r>
    </w:p>
    <w:p w14:paraId="31C01895" w14:textId="77777777" w:rsidR="00101A9E" w:rsidRPr="00305215" w:rsidRDefault="00101A9E"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zajištění nového (případně up</w:t>
      </w:r>
      <w:r w:rsidR="00156410" w:rsidRPr="00305215">
        <w:rPr>
          <w:rFonts w:ascii="Arial" w:hAnsi="Arial" w:cs="Arial"/>
          <w:sz w:val="20"/>
          <w:szCs w:val="20"/>
        </w:rPr>
        <w:t>r</w:t>
      </w:r>
      <w:r w:rsidRPr="00305215">
        <w:rPr>
          <w:rFonts w:ascii="Arial" w:hAnsi="Arial" w:cs="Arial"/>
          <w:sz w:val="20"/>
          <w:szCs w:val="20"/>
        </w:rPr>
        <w:t>aveného) bezbariérového přístupu od realizovaného P+R k návazné drážní dopravě (tj. vstup do stanice metra, ke vstupu do železniční stanice, k železniční nebo tramvajové zastávce)</w:t>
      </w:r>
      <w:r w:rsidR="00B43AAA" w:rsidRPr="00305215">
        <w:rPr>
          <w:rFonts w:ascii="Arial" w:hAnsi="Arial" w:cs="Arial"/>
          <w:sz w:val="20"/>
          <w:szCs w:val="20"/>
        </w:rPr>
        <w:t>;</w:t>
      </w:r>
    </w:p>
    <w:p w14:paraId="317BDE54" w14:textId="77777777" w:rsidR="00CB75F7" w:rsidRPr="00305215" w:rsidRDefault="00156410" w:rsidP="00EB298A">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zajištění</w:t>
      </w:r>
      <w:r w:rsidR="00FF6EDC" w:rsidRPr="00305215">
        <w:rPr>
          <w:rFonts w:ascii="Arial" w:hAnsi="Arial" w:cs="Arial"/>
          <w:sz w:val="20"/>
          <w:szCs w:val="20"/>
        </w:rPr>
        <w:t xml:space="preserve"> </w:t>
      </w:r>
      <w:r w:rsidR="00CB75F7" w:rsidRPr="00305215">
        <w:rPr>
          <w:rFonts w:ascii="Arial" w:hAnsi="Arial" w:cs="Arial"/>
          <w:sz w:val="20"/>
          <w:szCs w:val="20"/>
        </w:rPr>
        <w:t>technologie dobíjení elektromobilů</w:t>
      </w:r>
      <w:r w:rsidR="00CF0149" w:rsidRPr="00305215">
        <w:rPr>
          <w:rFonts w:ascii="Arial" w:hAnsi="Arial" w:cs="Arial"/>
          <w:sz w:val="20"/>
          <w:szCs w:val="20"/>
        </w:rPr>
        <w:t xml:space="preserve"> (elektrické připojení musí být použitelné pro běžný unifikovaný typ elektrických zástrček)</w:t>
      </w:r>
      <w:r w:rsidR="00EB298A" w:rsidRPr="00305215">
        <w:rPr>
          <w:rFonts w:ascii="Arial" w:hAnsi="Arial" w:cs="Arial"/>
          <w:sz w:val="20"/>
          <w:szCs w:val="20"/>
        </w:rPr>
        <w:t>;</w:t>
      </w:r>
    </w:p>
    <w:p w14:paraId="780CF9F4" w14:textId="77777777" w:rsidR="00EC171E" w:rsidRPr="00305215" w:rsidRDefault="00CF0149" w:rsidP="00156410">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náklady na zřízení úschovny kol (B+R)</w:t>
      </w:r>
      <w:r w:rsidR="004E7C18" w:rsidRPr="00305215">
        <w:rPr>
          <w:rFonts w:ascii="Arial" w:hAnsi="Arial" w:cs="Arial"/>
          <w:sz w:val="20"/>
          <w:szCs w:val="20"/>
        </w:rPr>
        <w:t xml:space="preserve">; </w:t>
      </w:r>
    </w:p>
    <w:p w14:paraId="24DE03BF" w14:textId="77777777" w:rsidR="004E7C18" w:rsidRPr="00305215" w:rsidRDefault="004E7C18" w:rsidP="004E7C18">
      <w:pPr>
        <w:pStyle w:val="Prosttext"/>
        <w:numPr>
          <w:ilvl w:val="0"/>
          <w:numId w:val="26"/>
        </w:numPr>
        <w:spacing w:after="120"/>
        <w:ind w:left="714" w:hanging="357"/>
        <w:jc w:val="both"/>
        <w:rPr>
          <w:rFonts w:ascii="Arial" w:hAnsi="Arial" w:cs="Arial"/>
          <w:sz w:val="20"/>
          <w:szCs w:val="20"/>
        </w:rPr>
      </w:pPr>
      <w:r w:rsidRPr="00305215">
        <w:rPr>
          <w:rFonts w:ascii="Arial" w:hAnsi="Arial" w:cs="Arial"/>
          <w:sz w:val="20"/>
          <w:szCs w:val="20"/>
        </w:rPr>
        <w:t>náklady na opatření zmírňující dopady na životní prostředí (např. protihluková opatření, výsadba zeleně v areálu parkoviště).</w:t>
      </w:r>
    </w:p>
    <w:p w14:paraId="744284D5" w14:textId="77777777" w:rsidR="00E573AF" w:rsidRPr="00305215" w:rsidRDefault="00E573AF" w:rsidP="00E573AF">
      <w:pPr>
        <w:pStyle w:val="txt"/>
        <w:spacing w:after="0"/>
        <w:ind w:left="357" w:firstLine="0"/>
        <w:rPr>
          <w:sz w:val="20"/>
          <w:szCs w:val="20"/>
        </w:rPr>
      </w:pPr>
    </w:p>
    <w:p w14:paraId="36EEE667" w14:textId="77777777" w:rsidR="004A42AD" w:rsidRPr="00305215" w:rsidRDefault="004A42AD" w:rsidP="004A42AD">
      <w:pPr>
        <w:pStyle w:val="Prav-odr"/>
        <w:numPr>
          <w:ilvl w:val="0"/>
          <w:numId w:val="0"/>
        </w:numPr>
        <w:ind w:left="360"/>
        <w:rPr>
          <w:i/>
        </w:rPr>
      </w:pPr>
      <w:r w:rsidRPr="00305215">
        <w:rPr>
          <w:b/>
          <w:i/>
          <w:color w:val="00000A"/>
        </w:rPr>
        <w:t>Skupina aktivit B Opatření pro preferenci povrchové městské veřejné dopravy v uličním provozu</w:t>
      </w:r>
    </w:p>
    <w:p w14:paraId="0609BD30" w14:textId="0ED326A3" w:rsidR="004A42AD" w:rsidRPr="00305215" w:rsidRDefault="004A42AD" w:rsidP="004A42AD">
      <w:pPr>
        <w:pStyle w:val="txt"/>
        <w:spacing w:after="0"/>
        <w:ind w:left="357" w:firstLine="0"/>
        <w:rPr>
          <w:rFonts w:eastAsia="Calibri" w:cs="Arial"/>
          <w:sz w:val="20"/>
          <w:szCs w:val="20"/>
        </w:rPr>
      </w:pPr>
      <w:r w:rsidRPr="00305215">
        <w:rPr>
          <w:sz w:val="20"/>
          <w:szCs w:val="20"/>
        </w:rPr>
        <w:t>Obecně platí, že budou financovány náklady přímo související s realizací vymezených aktivit (viz bod 4.1 výzvy),</w:t>
      </w:r>
      <w:r w:rsidRPr="00305215">
        <w:rPr>
          <w:rFonts w:eastAsia="Calibri" w:cs="Arial"/>
          <w:sz w:val="20"/>
          <w:szCs w:val="20"/>
        </w:rPr>
        <w:t xml:space="preserve"> tzn. výdaje přímo související s</w:t>
      </w:r>
      <w:r w:rsidR="00BF2ECD" w:rsidRPr="00305215">
        <w:rPr>
          <w:rFonts w:eastAsia="Calibri" w:cs="Arial"/>
          <w:sz w:val="20"/>
          <w:szCs w:val="20"/>
        </w:rPr>
        <w:t> realizací preferenčních op</w:t>
      </w:r>
      <w:r w:rsidRPr="00305215">
        <w:rPr>
          <w:rFonts w:eastAsia="Calibri" w:cs="Arial"/>
          <w:sz w:val="20"/>
          <w:szCs w:val="20"/>
        </w:rPr>
        <w:t>atření</w:t>
      </w:r>
      <w:r w:rsidR="00BF2ECD" w:rsidRPr="00305215">
        <w:rPr>
          <w:rFonts w:eastAsia="Calibri" w:cs="Arial"/>
          <w:sz w:val="20"/>
          <w:szCs w:val="20"/>
        </w:rPr>
        <w:t xml:space="preserve"> na zlepšených úsecích</w:t>
      </w:r>
      <w:r w:rsidRPr="00305215">
        <w:rPr>
          <w:rFonts w:eastAsia="Calibri" w:cs="Arial"/>
          <w:sz w:val="20"/>
          <w:szCs w:val="20"/>
        </w:rPr>
        <w:t xml:space="preserve"> v rámci </w:t>
      </w:r>
      <w:r w:rsidRPr="00305215">
        <w:rPr>
          <w:color w:val="00000A"/>
          <w:sz w:val="20"/>
          <w:szCs w:val="20"/>
        </w:rPr>
        <w:t>povrchové městské veřejné dopravy v uličním provozu</w:t>
      </w:r>
      <w:r w:rsidRPr="00305215">
        <w:rPr>
          <w:rFonts w:eastAsia="Calibri" w:cs="Arial"/>
          <w:sz w:val="20"/>
          <w:szCs w:val="20"/>
        </w:rPr>
        <w:t>.</w:t>
      </w:r>
    </w:p>
    <w:p w14:paraId="3EAB7DA7" w14:textId="77777777" w:rsidR="004A42AD" w:rsidRPr="00305215" w:rsidRDefault="004A42AD" w:rsidP="004A42AD">
      <w:pPr>
        <w:pStyle w:val="txt"/>
        <w:spacing w:after="0"/>
        <w:ind w:firstLine="0"/>
        <w:rPr>
          <w:rFonts w:eastAsia="Calibri" w:cs="Arial"/>
          <w:b/>
          <w:sz w:val="20"/>
          <w:szCs w:val="20"/>
        </w:rPr>
      </w:pPr>
    </w:p>
    <w:p w14:paraId="540057BE" w14:textId="77777777" w:rsidR="004A42AD" w:rsidRPr="00305215" w:rsidRDefault="004A42AD" w:rsidP="004A42AD">
      <w:pPr>
        <w:pStyle w:val="txt"/>
        <w:ind w:left="357" w:firstLine="0"/>
        <w:rPr>
          <w:sz w:val="20"/>
          <w:szCs w:val="20"/>
        </w:rPr>
      </w:pPr>
      <w:r w:rsidRPr="00305215">
        <w:rPr>
          <w:sz w:val="20"/>
          <w:szCs w:val="20"/>
        </w:rPr>
        <w:t>Mezi specifické způsobilé výdaje v této výzvě patří:</w:t>
      </w:r>
    </w:p>
    <w:p w14:paraId="2C32F954" w14:textId="77777777" w:rsidR="00920F46" w:rsidRPr="00305215" w:rsidRDefault="00920F46" w:rsidP="00920F46">
      <w:pPr>
        <w:pStyle w:val="txt"/>
        <w:numPr>
          <w:ilvl w:val="0"/>
          <w:numId w:val="42"/>
        </w:numPr>
        <w:rPr>
          <w:sz w:val="20"/>
          <w:szCs w:val="20"/>
        </w:rPr>
      </w:pPr>
      <w:r w:rsidRPr="00305215">
        <w:rPr>
          <w:sz w:val="20"/>
          <w:szCs w:val="20"/>
        </w:rPr>
        <w:t>realizace dopravního značení (svislé/vodorovné)</w:t>
      </w:r>
      <w:r w:rsidR="002642B1" w:rsidRPr="00305215">
        <w:rPr>
          <w:sz w:val="20"/>
          <w:szCs w:val="20"/>
        </w:rPr>
        <w:t>;</w:t>
      </w:r>
    </w:p>
    <w:p w14:paraId="3A93D52C" w14:textId="77777777" w:rsidR="00920F46" w:rsidRPr="00305215" w:rsidRDefault="00920F46" w:rsidP="00920F46">
      <w:pPr>
        <w:pStyle w:val="txt"/>
        <w:numPr>
          <w:ilvl w:val="0"/>
          <w:numId w:val="42"/>
        </w:numPr>
        <w:rPr>
          <w:sz w:val="20"/>
          <w:szCs w:val="20"/>
        </w:rPr>
      </w:pPr>
      <w:r w:rsidRPr="00305215">
        <w:rPr>
          <w:sz w:val="20"/>
          <w:szCs w:val="20"/>
        </w:rPr>
        <w:t xml:space="preserve">stavební úpravy či rozšíření komunikace v souvislosti se zajištěním vyhrazené jízdní dráhy (oddělení tramvajového pásu, vyhrazený jízdní pruh pro autobusy) pro </w:t>
      </w:r>
      <w:r w:rsidR="002642B1" w:rsidRPr="00305215">
        <w:rPr>
          <w:sz w:val="20"/>
          <w:szCs w:val="20"/>
        </w:rPr>
        <w:t>městskou hromadnou dopravu;</w:t>
      </w:r>
    </w:p>
    <w:p w14:paraId="5465C1AA" w14:textId="77777777" w:rsidR="00920F46" w:rsidRPr="00305215" w:rsidRDefault="00920F46" w:rsidP="00920F46">
      <w:pPr>
        <w:pStyle w:val="txt"/>
        <w:numPr>
          <w:ilvl w:val="0"/>
          <w:numId w:val="42"/>
        </w:numPr>
        <w:rPr>
          <w:sz w:val="20"/>
          <w:szCs w:val="20"/>
        </w:rPr>
      </w:pPr>
      <w:r w:rsidRPr="00305215">
        <w:rPr>
          <w:sz w:val="20"/>
          <w:szCs w:val="20"/>
        </w:rPr>
        <w:t>příslušné stavební úpravy v souvislosti s realizací dopravních řešení na křižovatce</w:t>
      </w:r>
      <w:r w:rsidR="002642B1" w:rsidRPr="00305215">
        <w:rPr>
          <w:sz w:val="20"/>
          <w:szCs w:val="20"/>
        </w:rPr>
        <w:t>;</w:t>
      </w:r>
    </w:p>
    <w:p w14:paraId="5EC377F0" w14:textId="77777777" w:rsidR="00920F46" w:rsidRPr="00305215" w:rsidRDefault="00920F46" w:rsidP="00920F46">
      <w:pPr>
        <w:pStyle w:val="txt"/>
        <w:numPr>
          <w:ilvl w:val="0"/>
          <w:numId w:val="42"/>
        </w:numPr>
        <w:rPr>
          <w:sz w:val="20"/>
          <w:szCs w:val="20"/>
        </w:rPr>
      </w:pPr>
      <w:r w:rsidRPr="00305215">
        <w:rPr>
          <w:sz w:val="20"/>
          <w:szCs w:val="20"/>
        </w:rPr>
        <w:t xml:space="preserve">příslušné stavební úpravy v souvislosti s realizací zastávek </w:t>
      </w:r>
      <w:r w:rsidR="002642B1" w:rsidRPr="00305215">
        <w:rPr>
          <w:sz w:val="20"/>
          <w:szCs w:val="20"/>
        </w:rPr>
        <w:t>městské hromadné dopravy</w:t>
      </w:r>
      <w:r w:rsidRPr="00305215">
        <w:rPr>
          <w:sz w:val="20"/>
          <w:szCs w:val="20"/>
        </w:rPr>
        <w:t xml:space="preserve"> včetně bezbariérového přístupu a realizace prvků pro nevidomé</w:t>
      </w:r>
      <w:r w:rsidR="002642B1" w:rsidRPr="00305215">
        <w:rPr>
          <w:sz w:val="20"/>
          <w:szCs w:val="20"/>
        </w:rPr>
        <w:t>;</w:t>
      </w:r>
    </w:p>
    <w:p w14:paraId="0BDD2295" w14:textId="77777777" w:rsidR="00920F46" w:rsidRPr="00305215" w:rsidRDefault="00920F46" w:rsidP="00920F46">
      <w:pPr>
        <w:pStyle w:val="txt"/>
        <w:numPr>
          <w:ilvl w:val="0"/>
          <w:numId w:val="42"/>
        </w:numPr>
        <w:rPr>
          <w:sz w:val="20"/>
          <w:szCs w:val="20"/>
        </w:rPr>
      </w:pPr>
      <w:r w:rsidRPr="00305215">
        <w:rPr>
          <w:sz w:val="20"/>
          <w:szCs w:val="20"/>
        </w:rPr>
        <w:t>zajištění přeložek vedení inženýrských sítí</w:t>
      </w:r>
      <w:r w:rsidR="002642B1" w:rsidRPr="00305215">
        <w:rPr>
          <w:sz w:val="20"/>
          <w:szCs w:val="20"/>
        </w:rPr>
        <w:t>;</w:t>
      </w:r>
    </w:p>
    <w:p w14:paraId="3D84734A" w14:textId="77777777" w:rsidR="00920F46" w:rsidRPr="00305215" w:rsidRDefault="00920F46" w:rsidP="002642B1">
      <w:pPr>
        <w:pStyle w:val="txt"/>
        <w:numPr>
          <w:ilvl w:val="0"/>
          <w:numId w:val="42"/>
        </w:numPr>
        <w:rPr>
          <w:sz w:val="20"/>
          <w:szCs w:val="20"/>
        </w:rPr>
      </w:pPr>
      <w:r w:rsidRPr="00305215">
        <w:rPr>
          <w:sz w:val="20"/>
          <w:szCs w:val="20"/>
        </w:rPr>
        <w:t xml:space="preserve">realizace/modernizace </w:t>
      </w:r>
      <w:r w:rsidR="002642B1" w:rsidRPr="00305215">
        <w:rPr>
          <w:sz w:val="20"/>
          <w:szCs w:val="20"/>
        </w:rPr>
        <w:t>světelných signalizačních zařízení</w:t>
      </w:r>
      <w:r w:rsidRPr="00305215">
        <w:rPr>
          <w:sz w:val="20"/>
          <w:szCs w:val="20"/>
        </w:rPr>
        <w:t xml:space="preserve">, případně úpravy (dosazení detekce vozidel </w:t>
      </w:r>
      <w:r w:rsidR="002642B1" w:rsidRPr="00305215">
        <w:rPr>
          <w:sz w:val="20"/>
          <w:szCs w:val="20"/>
        </w:rPr>
        <w:t>městské hromadné dopravy</w:t>
      </w:r>
      <w:r w:rsidRPr="00305215">
        <w:rPr>
          <w:sz w:val="20"/>
          <w:szCs w:val="20"/>
        </w:rPr>
        <w:t xml:space="preserve"> před </w:t>
      </w:r>
      <w:r w:rsidR="002642B1" w:rsidRPr="00305215">
        <w:rPr>
          <w:sz w:val="20"/>
          <w:szCs w:val="20"/>
        </w:rPr>
        <w:t>světelnými signalizačními zařízeními</w:t>
      </w:r>
      <w:r w:rsidRPr="00305215">
        <w:rPr>
          <w:sz w:val="20"/>
          <w:szCs w:val="20"/>
        </w:rPr>
        <w:t>, apod.)</w:t>
      </w:r>
      <w:r w:rsidR="002642B1" w:rsidRPr="00305215">
        <w:rPr>
          <w:sz w:val="20"/>
          <w:szCs w:val="20"/>
        </w:rPr>
        <w:t>;</w:t>
      </w:r>
    </w:p>
    <w:p w14:paraId="1D47AA76" w14:textId="77777777" w:rsidR="00920F46" w:rsidRPr="00305215" w:rsidRDefault="00920F46" w:rsidP="00920F46">
      <w:pPr>
        <w:pStyle w:val="txt"/>
        <w:numPr>
          <w:ilvl w:val="0"/>
          <w:numId w:val="42"/>
        </w:numPr>
        <w:rPr>
          <w:sz w:val="20"/>
          <w:szCs w:val="20"/>
        </w:rPr>
      </w:pPr>
      <w:r w:rsidRPr="00305215">
        <w:rPr>
          <w:sz w:val="20"/>
          <w:szCs w:val="20"/>
        </w:rPr>
        <w:t>realizace/úprava signálního programu křižovatky</w:t>
      </w:r>
      <w:r w:rsidR="002642B1" w:rsidRPr="00305215">
        <w:rPr>
          <w:sz w:val="20"/>
          <w:szCs w:val="20"/>
        </w:rPr>
        <w:t>;</w:t>
      </w:r>
    </w:p>
    <w:p w14:paraId="61633CC5" w14:textId="77777777" w:rsidR="00920F46" w:rsidRPr="00305215" w:rsidRDefault="00920F46" w:rsidP="00920F46">
      <w:pPr>
        <w:pStyle w:val="txt"/>
        <w:numPr>
          <w:ilvl w:val="0"/>
          <w:numId w:val="42"/>
        </w:numPr>
        <w:rPr>
          <w:sz w:val="20"/>
          <w:szCs w:val="20"/>
        </w:rPr>
      </w:pPr>
      <w:r w:rsidRPr="00305215">
        <w:rPr>
          <w:sz w:val="20"/>
          <w:szCs w:val="20"/>
        </w:rPr>
        <w:t xml:space="preserve">realizace dalších systémů řízení dopravy (signály v jízdních pruzích, světelné závory, inteligentní řízení dopravy za účelem preference </w:t>
      </w:r>
      <w:r w:rsidR="002642B1" w:rsidRPr="00305215">
        <w:rPr>
          <w:sz w:val="20"/>
          <w:szCs w:val="20"/>
        </w:rPr>
        <w:t>městské veřejné dopravy</w:t>
      </w:r>
      <w:r w:rsidRPr="00305215">
        <w:rPr>
          <w:sz w:val="20"/>
          <w:szCs w:val="20"/>
        </w:rPr>
        <w:t>)</w:t>
      </w:r>
      <w:r w:rsidR="002642B1" w:rsidRPr="00305215">
        <w:rPr>
          <w:sz w:val="20"/>
          <w:szCs w:val="20"/>
        </w:rPr>
        <w:t>;</w:t>
      </w:r>
    </w:p>
    <w:p w14:paraId="16C75F13" w14:textId="40A6A34B" w:rsidR="00B935B0" w:rsidRPr="00305215" w:rsidRDefault="00166703" w:rsidP="00920F46">
      <w:pPr>
        <w:pStyle w:val="txt"/>
        <w:numPr>
          <w:ilvl w:val="0"/>
          <w:numId w:val="42"/>
        </w:numPr>
        <w:rPr>
          <w:sz w:val="20"/>
          <w:szCs w:val="20"/>
        </w:rPr>
      </w:pPr>
      <w:r>
        <w:rPr>
          <w:sz w:val="20"/>
          <w:szCs w:val="20"/>
        </w:rPr>
        <w:t>pořízení a instalace</w:t>
      </w:r>
      <w:r w:rsidR="00920F46" w:rsidRPr="00305215">
        <w:rPr>
          <w:sz w:val="20"/>
          <w:szCs w:val="20"/>
        </w:rPr>
        <w:t xml:space="preserve"> vybavení zastávek </w:t>
      </w:r>
      <w:r w:rsidR="002642B1" w:rsidRPr="00305215">
        <w:rPr>
          <w:sz w:val="20"/>
          <w:szCs w:val="20"/>
        </w:rPr>
        <w:t>městské hromadné dopravy;</w:t>
      </w:r>
      <w:r w:rsidR="00B935B0" w:rsidRPr="00305215">
        <w:rPr>
          <w:sz w:val="20"/>
          <w:szCs w:val="20"/>
        </w:rPr>
        <w:t xml:space="preserve"> </w:t>
      </w:r>
    </w:p>
    <w:p w14:paraId="371F2B7B" w14:textId="0B811458" w:rsidR="00920F46" w:rsidRPr="00305215" w:rsidRDefault="00B935B0" w:rsidP="00920F46">
      <w:pPr>
        <w:pStyle w:val="txt"/>
        <w:numPr>
          <w:ilvl w:val="0"/>
          <w:numId w:val="42"/>
        </w:numPr>
        <w:rPr>
          <w:sz w:val="20"/>
          <w:szCs w:val="20"/>
        </w:rPr>
      </w:pPr>
      <w:r w:rsidRPr="00305215">
        <w:rPr>
          <w:rFonts w:cs="Arial"/>
          <w:sz w:val="20"/>
          <w:szCs w:val="20"/>
        </w:rPr>
        <w:t>pořízení a instalace vybavení zastávek městské hromadné dopravy informačním systémem usnadňujícím orientaci v dopravě osobám se specifickým tělesným postižen</w:t>
      </w:r>
      <w:r w:rsidR="00BF2ECD" w:rsidRPr="00305215">
        <w:rPr>
          <w:rFonts w:cs="Arial"/>
          <w:sz w:val="20"/>
          <w:szCs w:val="20"/>
        </w:rPr>
        <w:t>ím, zejména zrakovým postižením</w:t>
      </w:r>
      <w:r w:rsidR="00520CEF" w:rsidRPr="00305215">
        <w:rPr>
          <w:sz w:val="20"/>
          <w:szCs w:val="20"/>
        </w:rPr>
        <w:t>;</w:t>
      </w:r>
    </w:p>
    <w:p w14:paraId="41D3E653" w14:textId="77777777" w:rsidR="00920F46" w:rsidRPr="00305215" w:rsidRDefault="00920F46" w:rsidP="00920F46">
      <w:pPr>
        <w:pStyle w:val="txt"/>
        <w:numPr>
          <w:ilvl w:val="0"/>
          <w:numId w:val="42"/>
        </w:numPr>
        <w:rPr>
          <w:sz w:val="20"/>
          <w:szCs w:val="20"/>
        </w:rPr>
      </w:pPr>
      <w:r w:rsidRPr="00305215">
        <w:rPr>
          <w:sz w:val="20"/>
          <w:szCs w:val="20"/>
        </w:rPr>
        <w:t>opatření zmírňující dopady na životní prostředí</w:t>
      </w:r>
      <w:r w:rsidR="002642B1" w:rsidRPr="00305215">
        <w:rPr>
          <w:sz w:val="20"/>
          <w:szCs w:val="20"/>
        </w:rPr>
        <w:t>;</w:t>
      </w:r>
    </w:p>
    <w:p w14:paraId="7937D36B" w14:textId="77777777" w:rsidR="004A42AD" w:rsidRPr="00305215" w:rsidRDefault="00920F46" w:rsidP="00920F46">
      <w:pPr>
        <w:pStyle w:val="txt"/>
        <w:numPr>
          <w:ilvl w:val="0"/>
          <w:numId w:val="42"/>
        </w:numPr>
        <w:spacing w:after="0"/>
        <w:rPr>
          <w:sz w:val="20"/>
          <w:szCs w:val="20"/>
        </w:rPr>
      </w:pPr>
      <w:r w:rsidRPr="00305215">
        <w:rPr>
          <w:sz w:val="20"/>
          <w:szCs w:val="20"/>
        </w:rPr>
        <w:t>náklady související se stavební činností (náklady na přípravu stavební činnosti, technický/stavební dozor, apod.)</w:t>
      </w:r>
      <w:r w:rsidR="002642B1" w:rsidRPr="00305215">
        <w:rPr>
          <w:sz w:val="20"/>
          <w:szCs w:val="20"/>
        </w:rPr>
        <w:t>.</w:t>
      </w:r>
    </w:p>
    <w:p w14:paraId="6DB6A4D5" w14:textId="77777777" w:rsidR="004A42AD" w:rsidRPr="00305215" w:rsidRDefault="004A42AD" w:rsidP="00585B80">
      <w:pPr>
        <w:pStyle w:val="txt"/>
        <w:spacing w:after="0"/>
        <w:ind w:left="357" w:firstLine="0"/>
        <w:rPr>
          <w:sz w:val="20"/>
          <w:szCs w:val="20"/>
        </w:rPr>
      </w:pPr>
    </w:p>
    <w:p w14:paraId="12DE6E0D" w14:textId="77777777" w:rsidR="00816124" w:rsidRPr="00305215" w:rsidRDefault="00E573AF" w:rsidP="00585B80">
      <w:pPr>
        <w:pStyle w:val="txt"/>
        <w:spacing w:after="0"/>
        <w:ind w:left="357" w:firstLine="0"/>
        <w:rPr>
          <w:sz w:val="20"/>
          <w:szCs w:val="20"/>
        </w:rPr>
      </w:pPr>
      <w:r w:rsidRPr="00305215">
        <w:rPr>
          <w:sz w:val="20"/>
          <w:szCs w:val="20"/>
        </w:rPr>
        <w:t>Za způsobilé lze</w:t>
      </w:r>
      <w:r w:rsidR="004A42AD" w:rsidRPr="00305215">
        <w:rPr>
          <w:sz w:val="20"/>
          <w:szCs w:val="20"/>
        </w:rPr>
        <w:t xml:space="preserve"> v obou skupinách aktivit</w:t>
      </w:r>
      <w:r w:rsidRPr="00305215">
        <w:rPr>
          <w:sz w:val="20"/>
          <w:szCs w:val="20"/>
        </w:rPr>
        <w:t xml:space="preserve"> považovat také výdaje, které realizaci projektu předcházejí a jsou pro realizaci projektu nezbytné (např. výdaje spojené s přípravou projektové dokumentace).</w:t>
      </w:r>
    </w:p>
    <w:p w14:paraId="3788CF52" w14:textId="54479889" w:rsidR="00E573AF" w:rsidRPr="00305215" w:rsidRDefault="00E573AF" w:rsidP="00E573AF">
      <w:pPr>
        <w:pStyle w:val="txt"/>
        <w:rPr>
          <w:sz w:val="20"/>
          <w:szCs w:val="20"/>
          <w:u w:val="single"/>
        </w:rPr>
      </w:pPr>
      <w:r w:rsidRPr="00305215">
        <w:rPr>
          <w:sz w:val="20"/>
          <w:szCs w:val="20"/>
          <w:u w:val="single"/>
        </w:rPr>
        <w:t>Specifické limity způsobilých výdajů pro EFRR projekty stanovené pro tuto výzvu:</w:t>
      </w:r>
    </w:p>
    <w:p w14:paraId="16863BF5" w14:textId="77777777" w:rsidR="00E573AF" w:rsidRPr="00305215" w:rsidRDefault="00E573AF" w:rsidP="00E573AF">
      <w:pPr>
        <w:pStyle w:val="txt"/>
        <w:spacing w:after="0" w:line="276" w:lineRule="auto"/>
        <w:ind w:left="357" w:firstLine="0"/>
        <w:rPr>
          <w:sz w:val="20"/>
          <w:szCs w:val="20"/>
        </w:rPr>
      </w:pPr>
    </w:p>
    <w:p w14:paraId="36B6DE33" w14:textId="77777777" w:rsidR="00E573AF" w:rsidRPr="00305215" w:rsidRDefault="00E573AF" w:rsidP="001219A9">
      <w:pPr>
        <w:pStyle w:val="txt"/>
        <w:spacing w:after="0" w:line="276" w:lineRule="auto"/>
        <w:ind w:left="357" w:firstLine="0"/>
        <w:rPr>
          <w:sz w:val="20"/>
          <w:szCs w:val="20"/>
        </w:rPr>
      </w:pPr>
      <w:r w:rsidRPr="00305215">
        <w:rPr>
          <w:sz w:val="20"/>
          <w:szCs w:val="20"/>
        </w:rPr>
        <w:t xml:space="preserve">Je stanoven finanční limit max. </w:t>
      </w:r>
      <w:r w:rsidRPr="00305215">
        <w:rPr>
          <w:b/>
          <w:sz w:val="20"/>
          <w:szCs w:val="20"/>
        </w:rPr>
        <w:t>5 %</w:t>
      </w:r>
      <w:r w:rsidRPr="00305215">
        <w:rPr>
          <w:sz w:val="20"/>
          <w:szCs w:val="20"/>
        </w:rPr>
        <w:t xml:space="preserve"> celkových způsobilých výdajů projektu pro osobní náklady, služby a správní a jiné poplatky přímo související s přípravou a řízením projektu, který se týká výdajů</w:t>
      </w:r>
      <w:r w:rsidRPr="00305215">
        <w:rPr>
          <w:rStyle w:val="Znakapoznpodarou"/>
          <w:sz w:val="20"/>
          <w:szCs w:val="20"/>
        </w:rPr>
        <w:footnoteReference w:id="6"/>
      </w:r>
      <w:r w:rsidRPr="00305215">
        <w:rPr>
          <w:sz w:val="20"/>
          <w:szCs w:val="20"/>
        </w:rPr>
        <w:t xml:space="preserve">: </w:t>
      </w:r>
    </w:p>
    <w:p w14:paraId="20772D36" w14:textId="77777777" w:rsidR="00E573AF" w:rsidRPr="00305215" w:rsidRDefault="00E573AF" w:rsidP="00E573AF">
      <w:pPr>
        <w:pStyle w:val="txt"/>
        <w:spacing w:after="0" w:line="276" w:lineRule="auto"/>
        <w:ind w:left="357" w:firstLine="0"/>
        <w:rPr>
          <w:sz w:val="6"/>
          <w:szCs w:val="20"/>
        </w:rPr>
      </w:pPr>
    </w:p>
    <w:p w14:paraId="170E2C90" w14:textId="77777777" w:rsidR="00E573AF" w:rsidRPr="00305215" w:rsidRDefault="00E573AF" w:rsidP="00E573AF">
      <w:pPr>
        <w:pStyle w:val="txt"/>
        <w:numPr>
          <w:ilvl w:val="0"/>
          <w:numId w:val="18"/>
        </w:numPr>
        <w:spacing w:after="0"/>
        <w:rPr>
          <w:sz w:val="20"/>
          <w:szCs w:val="20"/>
        </w:rPr>
      </w:pPr>
      <w:r w:rsidRPr="00305215">
        <w:rPr>
          <w:sz w:val="20"/>
          <w:szCs w:val="20"/>
        </w:rPr>
        <w:t xml:space="preserve">osobní náklady členů realizačního týmu, kteří se podílejí na managementu projektu v investiční fázi projektu (např. manažer projektu, finanční manažer, účetní projektu), </w:t>
      </w:r>
    </w:p>
    <w:p w14:paraId="15D04FC8" w14:textId="77777777" w:rsidR="00E573AF" w:rsidRPr="00305215" w:rsidRDefault="00E573AF" w:rsidP="00E573AF">
      <w:pPr>
        <w:pStyle w:val="txt"/>
        <w:spacing w:after="0"/>
        <w:ind w:left="1077" w:firstLine="0"/>
        <w:rPr>
          <w:sz w:val="10"/>
          <w:szCs w:val="20"/>
        </w:rPr>
      </w:pPr>
    </w:p>
    <w:p w14:paraId="7391595C" w14:textId="77777777" w:rsidR="00E573AF" w:rsidRPr="00305215" w:rsidRDefault="00E573AF" w:rsidP="00E573AF">
      <w:pPr>
        <w:pStyle w:val="txt"/>
        <w:numPr>
          <w:ilvl w:val="0"/>
          <w:numId w:val="18"/>
        </w:numPr>
        <w:spacing w:after="0"/>
        <w:rPr>
          <w:sz w:val="20"/>
          <w:szCs w:val="20"/>
        </w:rPr>
      </w:pPr>
      <w:r w:rsidRPr="00305215">
        <w:rPr>
          <w:sz w:val="20"/>
          <w:szCs w:val="20"/>
        </w:rPr>
        <w:t>finanční výdaje, správní a jiné poplatky, které jsou nevyhnutelné a mají přímou vazbu na projekt, příp. požadavek poskytovatele podpory na jejich vynaložení v souvis</w:t>
      </w:r>
      <w:r w:rsidR="00803DE3" w:rsidRPr="00305215">
        <w:rPr>
          <w:sz w:val="20"/>
          <w:szCs w:val="20"/>
        </w:rPr>
        <w:t>losti s </w:t>
      </w:r>
      <w:r w:rsidRPr="00305215">
        <w:rPr>
          <w:sz w:val="20"/>
          <w:szCs w:val="20"/>
        </w:rPr>
        <w:t>projektem (např. poplatky za výpis z obchodního rejstříku, vydání stavebního povolení, výpis z rejstříku trestů, odvody za vynětí půdy ze zemědělského půdního fondu, notářské poplatky, pojištění majetku</w:t>
      </w:r>
      <w:r w:rsidR="00B43AAA" w:rsidRPr="00305215">
        <w:rPr>
          <w:sz w:val="20"/>
          <w:szCs w:val="20"/>
        </w:rPr>
        <w:t xml:space="preserve"> v době realizace projektu</w:t>
      </w:r>
      <w:r w:rsidR="00C53154" w:rsidRPr="00305215">
        <w:rPr>
          <w:sz w:val="20"/>
          <w:szCs w:val="20"/>
        </w:rPr>
        <w:t>)</w:t>
      </w:r>
      <w:r w:rsidRPr="00305215">
        <w:rPr>
          <w:sz w:val="20"/>
          <w:szCs w:val="20"/>
        </w:rPr>
        <w:t xml:space="preserve">, </w:t>
      </w:r>
    </w:p>
    <w:p w14:paraId="2A1E16FC" w14:textId="77777777" w:rsidR="00E573AF" w:rsidRPr="00305215" w:rsidRDefault="00E573AF" w:rsidP="00E573AF">
      <w:pPr>
        <w:pStyle w:val="txt"/>
        <w:spacing w:after="0"/>
        <w:ind w:left="1077" w:firstLine="0"/>
        <w:rPr>
          <w:sz w:val="10"/>
          <w:szCs w:val="20"/>
        </w:rPr>
      </w:pPr>
    </w:p>
    <w:p w14:paraId="5F647F10" w14:textId="77777777" w:rsidR="00E573AF" w:rsidRPr="00305215" w:rsidRDefault="00E573AF" w:rsidP="00E573AF">
      <w:pPr>
        <w:pStyle w:val="txt"/>
        <w:numPr>
          <w:ilvl w:val="0"/>
          <w:numId w:val="18"/>
        </w:numPr>
        <w:spacing w:after="0"/>
        <w:rPr>
          <w:sz w:val="20"/>
          <w:szCs w:val="20"/>
        </w:rPr>
      </w:pPr>
      <w:r w:rsidRPr="00305215">
        <w:rPr>
          <w:sz w:val="20"/>
          <w:szCs w:val="20"/>
        </w:rPr>
        <w:t>externí řízení projektu – služby související s řízením a administrací projektu zajišťované externími firmami (v souladu s pravidly pro zadávání veřejných zakázek) najatými příjemcem</w:t>
      </w:r>
      <w:r w:rsidR="00B43AAA" w:rsidRPr="00305215">
        <w:rPr>
          <w:sz w:val="20"/>
          <w:szCs w:val="20"/>
        </w:rPr>
        <w:t xml:space="preserve"> (zpracování studie proveditelnosti, žádosti o podporu, zpráv o realizaci projektu apod.)</w:t>
      </w:r>
      <w:r w:rsidR="00156410" w:rsidRPr="00305215">
        <w:rPr>
          <w:sz w:val="20"/>
          <w:szCs w:val="20"/>
        </w:rPr>
        <w:t>,</w:t>
      </w:r>
    </w:p>
    <w:p w14:paraId="2D6B6786" w14:textId="77777777" w:rsidR="00E573AF" w:rsidRPr="00305215" w:rsidRDefault="00E573AF" w:rsidP="00E573AF">
      <w:pPr>
        <w:pStyle w:val="txt"/>
        <w:spacing w:after="0"/>
        <w:ind w:left="1077" w:firstLine="0"/>
        <w:rPr>
          <w:sz w:val="10"/>
          <w:szCs w:val="20"/>
        </w:rPr>
      </w:pPr>
    </w:p>
    <w:p w14:paraId="0C6F49F0" w14:textId="77777777" w:rsidR="00E573AF" w:rsidRPr="00305215" w:rsidRDefault="00B43AAA" w:rsidP="00E573AF">
      <w:pPr>
        <w:pStyle w:val="txt"/>
        <w:numPr>
          <w:ilvl w:val="0"/>
          <w:numId w:val="18"/>
        </w:numPr>
        <w:spacing w:after="0"/>
        <w:rPr>
          <w:sz w:val="20"/>
          <w:szCs w:val="20"/>
        </w:rPr>
      </w:pPr>
      <w:r w:rsidRPr="00305215">
        <w:rPr>
          <w:sz w:val="20"/>
          <w:szCs w:val="20"/>
        </w:rPr>
        <w:t>publicita</w:t>
      </w:r>
      <w:r w:rsidR="00FC3E8B" w:rsidRPr="00305215">
        <w:rPr>
          <w:sz w:val="20"/>
          <w:szCs w:val="20"/>
        </w:rPr>
        <w:t xml:space="preserve"> projektu</w:t>
      </w:r>
      <w:r w:rsidR="00E573AF" w:rsidRPr="00305215">
        <w:rPr>
          <w:sz w:val="20"/>
          <w:szCs w:val="20"/>
        </w:rPr>
        <w:t xml:space="preserve">, </w:t>
      </w:r>
    </w:p>
    <w:p w14:paraId="24742FE4" w14:textId="77777777" w:rsidR="00E573AF" w:rsidRPr="00305215" w:rsidRDefault="00E573AF" w:rsidP="00E573AF">
      <w:pPr>
        <w:pStyle w:val="txt"/>
        <w:spacing w:after="0"/>
        <w:ind w:left="1077" w:firstLine="0"/>
        <w:rPr>
          <w:sz w:val="10"/>
          <w:szCs w:val="20"/>
        </w:rPr>
      </w:pPr>
    </w:p>
    <w:p w14:paraId="185DFE0B" w14:textId="77777777" w:rsidR="00E573AF" w:rsidRPr="00305215" w:rsidRDefault="00B43AAA" w:rsidP="00E573AF">
      <w:pPr>
        <w:pStyle w:val="txt"/>
        <w:numPr>
          <w:ilvl w:val="0"/>
          <w:numId w:val="18"/>
        </w:numPr>
        <w:spacing w:after="0"/>
        <w:rPr>
          <w:sz w:val="20"/>
          <w:szCs w:val="20"/>
        </w:rPr>
      </w:pPr>
      <w:r w:rsidRPr="00305215">
        <w:rPr>
          <w:sz w:val="20"/>
          <w:szCs w:val="20"/>
        </w:rPr>
        <w:t xml:space="preserve">externí </w:t>
      </w:r>
      <w:r w:rsidR="00E573AF" w:rsidRPr="00305215">
        <w:rPr>
          <w:sz w:val="20"/>
          <w:szCs w:val="20"/>
        </w:rPr>
        <w:t>vedení účetnictví vztahující se k projektu,</w:t>
      </w:r>
    </w:p>
    <w:p w14:paraId="68E7B905" w14:textId="77777777" w:rsidR="00B43AAA" w:rsidRPr="00305215" w:rsidRDefault="00B43AAA" w:rsidP="00156410">
      <w:pPr>
        <w:pStyle w:val="txt"/>
        <w:spacing w:after="0"/>
        <w:ind w:left="1077" w:firstLine="0"/>
        <w:rPr>
          <w:sz w:val="10"/>
          <w:szCs w:val="10"/>
        </w:rPr>
      </w:pPr>
    </w:p>
    <w:p w14:paraId="1CB1EA88" w14:textId="77777777" w:rsidR="002433CD" w:rsidRPr="00305215" w:rsidRDefault="00FC3E8B" w:rsidP="002433CD">
      <w:pPr>
        <w:pStyle w:val="txt"/>
        <w:numPr>
          <w:ilvl w:val="0"/>
          <w:numId w:val="18"/>
        </w:numPr>
        <w:spacing w:after="0"/>
        <w:rPr>
          <w:sz w:val="20"/>
          <w:szCs w:val="20"/>
        </w:rPr>
      </w:pPr>
      <w:r w:rsidRPr="00305215">
        <w:rPr>
          <w:sz w:val="20"/>
          <w:szCs w:val="20"/>
        </w:rPr>
        <w:t>externí účetní audit</w:t>
      </w:r>
      <w:r w:rsidR="00156410" w:rsidRPr="00305215">
        <w:rPr>
          <w:sz w:val="20"/>
          <w:szCs w:val="20"/>
        </w:rPr>
        <w:t>,</w:t>
      </w:r>
    </w:p>
    <w:p w14:paraId="707F2497" w14:textId="77777777" w:rsidR="002433CD" w:rsidRPr="00305215" w:rsidRDefault="002433CD" w:rsidP="002433CD">
      <w:pPr>
        <w:pStyle w:val="Odstavecseseznamem"/>
        <w:rPr>
          <w:sz w:val="10"/>
          <w:szCs w:val="10"/>
        </w:rPr>
      </w:pPr>
    </w:p>
    <w:p w14:paraId="58ABB61B" w14:textId="77777777" w:rsidR="00FC3E8B" w:rsidRPr="00305215" w:rsidRDefault="00FC3E8B" w:rsidP="002433CD">
      <w:pPr>
        <w:pStyle w:val="txt"/>
        <w:numPr>
          <w:ilvl w:val="0"/>
          <w:numId w:val="18"/>
        </w:numPr>
        <w:spacing w:after="0"/>
        <w:rPr>
          <w:sz w:val="20"/>
          <w:szCs w:val="20"/>
        </w:rPr>
      </w:pPr>
      <w:r w:rsidRPr="00305215">
        <w:rPr>
          <w:sz w:val="20"/>
          <w:szCs w:val="20"/>
        </w:rPr>
        <w:t>zpracování znaleckých posudků</w:t>
      </w:r>
      <w:r w:rsidR="00156410" w:rsidRPr="00305215">
        <w:rPr>
          <w:sz w:val="20"/>
          <w:szCs w:val="20"/>
        </w:rPr>
        <w:t>,</w:t>
      </w:r>
    </w:p>
    <w:p w14:paraId="4E761063" w14:textId="77777777" w:rsidR="00E573AF" w:rsidRPr="00305215" w:rsidRDefault="00E573AF" w:rsidP="00E573AF">
      <w:pPr>
        <w:pStyle w:val="txt"/>
        <w:spacing w:after="0"/>
        <w:ind w:left="1077" w:firstLine="0"/>
        <w:rPr>
          <w:sz w:val="10"/>
          <w:szCs w:val="20"/>
        </w:rPr>
      </w:pPr>
      <w:r w:rsidRPr="00305215">
        <w:rPr>
          <w:sz w:val="20"/>
          <w:szCs w:val="20"/>
        </w:rPr>
        <w:t xml:space="preserve"> </w:t>
      </w:r>
    </w:p>
    <w:p w14:paraId="225F72FE" w14:textId="77777777" w:rsidR="00732F8B" w:rsidRPr="00305215" w:rsidRDefault="00E573AF" w:rsidP="00C7582D">
      <w:pPr>
        <w:pStyle w:val="txt"/>
        <w:numPr>
          <w:ilvl w:val="0"/>
          <w:numId w:val="18"/>
        </w:numPr>
        <w:spacing w:after="0"/>
        <w:rPr>
          <w:sz w:val="20"/>
          <w:szCs w:val="20"/>
        </w:rPr>
      </w:pPr>
      <w:r w:rsidRPr="00305215">
        <w:rPr>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42CB499F" w14:textId="77777777" w:rsidR="00E573AF" w:rsidRPr="00305215" w:rsidRDefault="00E573AF" w:rsidP="00E573AF">
      <w:pPr>
        <w:pStyle w:val="txt"/>
        <w:spacing w:after="0"/>
        <w:ind w:firstLine="0"/>
        <w:rPr>
          <w:sz w:val="20"/>
          <w:szCs w:val="20"/>
        </w:rPr>
      </w:pPr>
    </w:p>
    <w:p w14:paraId="0BD44051" w14:textId="77777777" w:rsidR="00E573AF" w:rsidRPr="00305215" w:rsidRDefault="00E573AF" w:rsidP="00E573AF">
      <w:pPr>
        <w:pStyle w:val="txt"/>
        <w:spacing w:after="0"/>
        <w:rPr>
          <w:sz w:val="20"/>
          <w:szCs w:val="20"/>
        </w:rPr>
      </w:pPr>
      <w:r w:rsidRPr="00305215">
        <w:rPr>
          <w:sz w:val="20"/>
          <w:szCs w:val="20"/>
        </w:rPr>
        <w:t>Příklady způsobilých výdajů v této výzvě:</w:t>
      </w:r>
    </w:p>
    <w:p w14:paraId="68B417F3" w14:textId="77777777" w:rsidR="00E573AF" w:rsidRPr="00305215" w:rsidRDefault="00E573AF" w:rsidP="00E573AF">
      <w:pPr>
        <w:pStyle w:val="Odstavecseseznamem"/>
        <w:numPr>
          <w:ilvl w:val="0"/>
          <w:numId w:val="17"/>
        </w:numPr>
        <w:autoSpaceDE w:val="0"/>
        <w:autoSpaceDN w:val="0"/>
        <w:adjustRightInd w:val="0"/>
        <w:rPr>
          <w:rFonts w:eastAsiaTheme="minorHAnsi" w:cs="Arial"/>
          <w:szCs w:val="20"/>
          <w:lang w:eastAsia="en-US"/>
        </w:rPr>
      </w:pPr>
      <w:r w:rsidRPr="00305215">
        <w:rPr>
          <w:rFonts w:eastAsiaTheme="minorHAnsi" w:cs="Arial"/>
          <w:bCs/>
          <w:szCs w:val="20"/>
          <w:lang w:eastAsia="en-US"/>
        </w:rPr>
        <w:t xml:space="preserve">Odpisovaný hmotný majetek - </w:t>
      </w:r>
      <w:r w:rsidRPr="00305215">
        <w:rPr>
          <w:rFonts w:eastAsiaTheme="minorHAnsi" w:cs="Arial"/>
          <w:szCs w:val="20"/>
          <w:lang w:eastAsia="en-US"/>
        </w:rPr>
        <w:t>movité věci, popřípadě soubory movitých věcí se samostatným technickoekonomickým určením, jejichž vstupní cena je vyšší než 40 000 Kč a mají provozně technické funkce delší než 1 rok (např. pořízení vybavení, strojů, technologií, technické zhodnocení apod.) a přímo souvisejí s realizací projektu</w:t>
      </w:r>
    </w:p>
    <w:p w14:paraId="6007ABC7" w14:textId="77777777" w:rsidR="00E573AF" w:rsidRPr="00305215" w:rsidRDefault="00E573AF" w:rsidP="00E573AF">
      <w:pPr>
        <w:pStyle w:val="Odstavecseseznamem"/>
        <w:autoSpaceDE w:val="0"/>
        <w:autoSpaceDN w:val="0"/>
        <w:adjustRightInd w:val="0"/>
        <w:ind w:left="1077"/>
        <w:rPr>
          <w:rFonts w:eastAsiaTheme="minorHAnsi" w:cs="Arial"/>
          <w:sz w:val="8"/>
          <w:szCs w:val="20"/>
          <w:lang w:eastAsia="en-US"/>
        </w:rPr>
      </w:pPr>
    </w:p>
    <w:p w14:paraId="2155DDB7" w14:textId="77777777" w:rsidR="00E573AF" w:rsidRPr="00305215" w:rsidRDefault="00E573AF" w:rsidP="00E573AF">
      <w:pPr>
        <w:pStyle w:val="Odstavecseseznamem"/>
        <w:numPr>
          <w:ilvl w:val="0"/>
          <w:numId w:val="17"/>
        </w:numPr>
        <w:autoSpaceDE w:val="0"/>
        <w:autoSpaceDN w:val="0"/>
        <w:adjustRightInd w:val="0"/>
        <w:rPr>
          <w:rFonts w:eastAsiaTheme="minorHAnsi" w:cs="Arial"/>
          <w:szCs w:val="20"/>
          <w:lang w:eastAsia="en-US"/>
        </w:rPr>
      </w:pPr>
      <w:r w:rsidRPr="00305215">
        <w:rPr>
          <w:rFonts w:eastAsiaTheme="minorHAnsi" w:cs="Arial"/>
          <w:bCs/>
          <w:szCs w:val="20"/>
          <w:lang w:eastAsia="en-US"/>
        </w:rPr>
        <w:t xml:space="preserve">Odpisovaný nehmotný majetek - </w:t>
      </w:r>
      <w:r w:rsidRPr="00305215">
        <w:rPr>
          <w:rFonts w:eastAsiaTheme="minorHAnsi" w:cs="Arial"/>
          <w:szCs w:val="20"/>
          <w:lang w:eastAsia="en-US"/>
        </w:rPr>
        <w:t xml:space="preserve">nehmotný majetek s dobou použitelnosti delší než jeden rok, u kterých ocenění převyšuje částku 60 000 Kč (např. pořízení SW, know-how, patenty, licence) </w:t>
      </w:r>
      <w:r w:rsidRPr="00305215">
        <w:rPr>
          <w:rFonts w:eastAsia="Calibri" w:cs="Arial"/>
          <w:szCs w:val="20"/>
        </w:rPr>
        <w:t>a přímo souvisí s realizací projektu</w:t>
      </w:r>
    </w:p>
    <w:p w14:paraId="762788F3" w14:textId="77777777" w:rsidR="00E573AF" w:rsidRPr="00305215" w:rsidRDefault="00E573AF" w:rsidP="00910713">
      <w:pPr>
        <w:pStyle w:val="txt"/>
        <w:spacing w:after="0"/>
        <w:ind w:firstLine="0"/>
        <w:rPr>
          <w:rFonts w:cs="Arial"/>
          <w:sz w:val="8"/>
          <w:szCs w:val="20"/>
        </w:rPr>
      </w:pPr>
    </w:p>
    <w:p w14:paraId="65BDB974" w14:textId="77777777" w:rsidR="00732F8B" w:rsidRPr="00305215" w:rsidRDefault="00E573AF" w:rsidP="00275EFA">
      <w:pPr>
        <w:pStyle w:val="txt"/>
        <w:numPr>
          <w:ilvl w:val="0"/>
          <w:numId w:val="17"/>
        </w:numPr>
        <w:spacing w:after="0"/>
        <w:rPr>
          <w:rFonts w:cs="Arial"/>
          <w:sz w:val="20"/>
          <w:szCs w:val="20"/>
        </w:rPr>
      </w:pPr>
      <w:r w:rsidRPr="00305215">
        <w:rPr>
          <w:sz w:val="20"/>
          <w:szCs w:val="20"/>
        </w:rPr>
        <w:t>Drobný neodpisovatelný hmotný a nehmotný majetek (např. PC sestava, software s pořizovací cenou pod 60 000 Kč) přímo související s realizací projektu</w:t>
      </w:r>
    </w:p>
    <w:p w14:paraId="0A946618" w14:textId="50532FFE" w:rsidR="009C008D" w:rsidRPr="00305215" w:rsidRDefault="00732F8B" w:rsidP="00CB5B93">
      <w:pPr>
        <w:pStyle w:val="Prav-psm"/>
        <w:numPr>
          <w:ilvl w:val="0"/>
          <w:numId w:val="17"/>
        </w:numPr>
      </w:pPr>
      <w:r w:rsidRPr="00305215">
        <w:t>Nákup pozemku - způsobilým výdajem na nákup pozemku je pořizovací cena maximálně však do výše ceny zjištěné znaleckým posudkem (nesmí být starší než 6 měsíců před pořízením pozemku) vyhotoveným znalcem dle zákona č. 151/1997 Sb., o oceňování majetku, ve znění pozdějších předpisů, který musí odpovídat tržní ceně v dané lokalitě a v daný čas a zároveň pořizovací cena pozemku může být započtena maximálně do výše 10 % celkových způsobilých výdajů na projekt.</w:t>
      </w:r>
    </w:p>
    <w:p w14:paraId="7A1D6761" w14:textId="77777777" w:rsidR="009C008D" w:rsidRPr="00305215" w:rsidRDefault="009C008D" w:rsidP="00E573AF">
      <w:pPr>
        <w:pStyle w:val="txt"/>
        <w:spacing w:after="0"/>
        <w:rPr>
          <w:sz w:val="20"/>
          <w:szCs w:val="20"/>
        </w:rPr>
      </w:pPr>
    </w:p>
    <w:p w14:paraId="7F69362A" w14:textId="77777777" w:rsidR="00E573AF" w:rsidRPr="00305215" w:rsidRDefault="00E573AF" w:rsidP="00E573AF">
      <w:pPr>
        <w:pStyle w:val="txt"/>
        <w:spacing w:after="0"/>
        <w:rPr>
          <w:sz w:val="20"/>
          <w:szCs w:val="20"/>
        </w:rPr>
      </w:pPr>
      <w:r w:rsidRPr="00305215">
        <w:rPr>
          <w:sz w:val="20"/>
          <w:szCs w:val="20"/>
        </w:rPr>
        <w:t>V rámci této výzvy nejsou způsobilé níže uvedené výdaje:</w:t>
      </w:r>
    </w:p>
    <w:p w14:paraId="024FF527" w14:textId="77777777" w:rsidR="00E573AF" w:rsidRPr="00305215" w:rsidRDefault="00E573AF" w:rsidP="00E573AF">
      <w:pPr>
        <w:pStyle w:val="txt"/>
        <w:numPr>
          <w:ilvl w:val="0"/>
          <w:numId w:val="16"/>
        </w:numPr>
        <w:spacing w:after="0"/>
        <w:rPr>
          <w:sz w:val="20"/>
          <w:szCs w:val="20"/>
        </w:rPr>
      </w:pPr>
      <w:r w:rsidRPr="00305215">
        <w:rPr>
          <w:sz w:val="20"/>
          <w:szCs w:val="20"/>
        </w:rPr>
        <w:t>Osobní náklady (vyjma osobních nákladů na členy realizačního týmu – management projektu viz výše)</w:t>
      </w:r>
    </w:p>
    <w:p w14:paraId="507C9170" w14:textId="77777777" w:rsidR="00E573AF" w:rsidRPr="00305215" w:rsidRDefault="00E573AF" w:rsidP="00E573AF">
      <w:pPr>
        <w:pStyle w:val="txt"/>
        <w:numPr>
          <w:ilvl w:val="0"/>
          <w:numId w:val="16"/>
        </w:numPr>
        <w:spacing w:after="0"/>
        <w:rPr>
          <w:sz w:val="20"/>
          <w:szCs w:val="20"/>
        </w:rPr>
      </w:pPr>
      <w:r w:rsidRPr="00305215">
        <w:rPr>
          <w:rFonts w:eastAsia="Calibri"/>
          <w:sz w:val="20"/>
          <w:szCs w:val="20"/>
        </w:rPr>
        <w:t>Cestovné</w:t>
      </w:r>
    </w:p>
    <w:p w14:paraId="55E45F56" w14:textId="77777777" w:rsidR="00E573AF" w:rsidRPr="00305215" w:rsidRDefault="00E573AF" w:rsidP="00E573AF">
      <w:pPr>
        <w:pStyle w:val="txt"/>
        <w:numPr>
          <w:ilvl w:val="0"/>
          <w:numId w:val="16"/>
        </w:numPr>
        <w:spacing w:after="0"/>
        <w:rPr>
          <w:sz w:val="20"/>
          <w:szCs w:val="20"/>
        </w:rPr>
      </w:pPr>
      <w:r w:rsidRPr="00305215">
        <w:rPr>
          <w:sz w:val="20"/>
          <w:szCs w:val="20"/>
        </w:rPr>
        <w:t>Věcné příspěvky (např. poskytnutí stavebních prací, zboží, služeb, neplacené dobrovolné práce apod.)</w:t>
      </w:r>
    </w:p>
    <w:p w14:paraId="352A5B6E" w14:textId="77777777" w:rsidR="00C76163" w:rsidRPr="00305215" w:rsidRDefault="00E573AF" w:rsidP="004A42AD">
      <w:pPr>
        <w:pStyle w:val="txt"/>
        <w:numPr>
          <w:ilvl w:val="0"/>
          <w:numId w:val="16"/>
        </w:numPr>
        <w:spacing w:after="0"/>
        <w:rPr>
          <w:sz w:val="20"/>
          <w:szCs w:val="20"/>
        </w:rPr>
      </w:pPr>
      <w:r w:rsidRPr="00305215">
        <w:rPr>
          <w:sz w:val="20"/>
          <w:szCs w:val="20"/>
        </w:rPr>
        <w:t>Nákup stavby (budovy)</w:t>
      </w:r>
    </w:p>
    <w:p w14:paraId="35026819" w14:textId="59D98A30" w:rsidR="00B935B0" w:rsidRPr="00305215" w:rsidRDefault="00B935B0">
      <w:pPr>
        <w:spacing w:after="200" w:line="276" w:lineRule="auto"/>
        <w:jc w:val="left"/>
        <w:rPr>
          <w:szCs w:val="20"/>
        </w:rPr>
      </w:pPr>
      <w:r w:rsidRPr="00305215">
        <w:rPr>
          <w:szCs w:val="20"/>
        </w:rPr>
        <w:br w:type="page"/>
      </w:r>
    </w:p>
    <w:p w14:paraId="09973AC4" w14:textId="77777777" w:rsidR="00C76163" w:rsidRPr="00305215" w:rsidRDefault="00C76163" w:rsidP="00C76163">
      <w:pPr>
        <w:pStyle w:val="txt"/>
        <w:spacing w:after="0"/>
        <w:ind w:left="1140" w:firstLine="0"/>
        <w:rPr>
          <w:sz w:val="20"/>
          <w:szCs w:val="20"/>
        </w:rPr>
      </w:pPr>
    </w:p>
    <w:p w14:paraId="38605874"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Časová způsobilost:</w:t>
      </w:r>
    </w:p>
    <w:p w14:paraId="632E3E05" w14:textId="1C6CE994" w:rsidR="00E573AF" w:rsidRPr="00305215" w:rsidRDefault="00E573AF" w:rsidP="00E573AF">
      <w:pPr>
        <w:pStyle w:val="txt"/>
        <w:spacing w:after="0"/>
        <w:ind w:left="362" w:firstLine="0"/>
        <w:rPr>
          <w:rFonts w:cs="Arial"/>
          <w:b/>
          <w:bCs/>
          <w:sz w:val="20"/>
          <w:szCs w:val="20"/>
        </w:rPr>
      </w:pPr>
      <w:r w:rsidRPr="00305215">
        <w:rPr>
          <w:rFonts w:cs="Arial"/>
          <w:b/>
          <w:bCs/>
          <w:sz w:val="20"/>
          <w:szCs w:val="20"/>
        </w:rPr>
        <w:t>Výdaje jsou způsobilé, jestliže vznikly od 1. ledna 2014 do 3</w:t>
      </w:r>
      <w:r w:rsidR="00206EC3" w:rsidRPr="00305215">
        <w:rPr>
          <w:rFonts w:cs="Arial"/>
          <w:b/>
          <w:bCs/>
          <w:sz w:val="20"/>
          <w:szCs w:val="20"/>
        </w:rPr>
        <w:t xml:space="preserve">1. </w:t>
      </w:r>
      <w:r w:rsidR="006F43F9">
        <w:rPr>
          <w:rFonts w:cs="Arial"/>
          <w:b/>
          <w:bCs/>
          <w:sz w:val="20"/>
          <w:szCs w:val="20"/>
        </w:rPr>
        <w:t>května 2021</w:t>
      </w:r>
      <w:r w:rsidRPr="00305215">
        <w:rPr>
          <w:rFonts w:cs="Arial"/>
          <w:b/>
          <w:bCs/>
          <w:sz w:val="20"/>
          <w:szCs w:val="20"/>
        </w:rPr>
        <w:t xml:space="preserve">. </w:t>
      </w:r>
    </w:p>
    <w:p w14:paraId="000E2488" w14:textId="77777777" w:rsidR="00E573AF" w:rsidRPr="00305215" w:rsidRDefault="00E573AF" w:rsidP="00E573AF">
      <w:pPr>
        <w:pStyle w:val="txt"/>
        <w:spacing w:after="0"/>
        <w:ind w:firstLine="0"/>
        <w:rPr>
          <w:rFonts w:cs="Arial"/>
          <w:b/>
          <w:bCs/>
          <w:sz w:val="20"/>
          <w:szCs w:val="20"/>
        </w:rPr>
      </w:pPr>
    </w:p>
    <w:p w14:paraId="399C194C" w14:textId="77777777" w:rsidR="00E573AF" w:rsidRPr="00305215" w:rsidRDefault="00E573AF" w:rsidP="00E573AF">
      <w:pPr>
        <w:pStyle w:val="txt"/>
        <w:rPr>
          <w:rFonts w:cs="Arial"/>
          <w:bCs/>
          <w:sz w:val="20"/>
          <w:szCs w:val="20"/>
        </w:rPr>
      </w:pPr>
      <w:r w:rsidRPr="00305215">
        <w:rPr>
          <w:rFonts w:cs="Arial"/>
          <w:bCs/>
          <w:sz w:val="20"/>
          <w:szCs w:val="20"/>
        </w:rPr>
        <w:t>Za způsobilé výdaje lze považovat výdaje, které:</w:t>
      </w:r>
    </w:p>
    <w:p w14:paraId="348352AD" w14:textId="77777777" w:rsidR="006338FA" w:rsidRPr="00305215" w:rsidRDefault="006338FA" w:rsidP="006338FA">
      <w:pPr>
        <w:pStyle w:val="txt"/>
        <w:numPr>
          <w:ilvl w:val="0"/>
          <w:numId w:val="20"/>
        </w:numPr>
        <w:rPr>
          <w:rFonts w:cs="Arial"/>
          <w:bCs/>
          <w:sz w:val="20"/>
          <w:szCs w:val="20"/>
        </w:rPr>
      </w:pPr>
      <w:r w:rsidRPr="00305215">
        <w:rPr>
          <w:rFonts w:cs="Arial"/>
          <w:bCs/>
          <w:sz w:val="20"/>
          <w:szCs w:val="20"/>
        </w:rPr>
        <w:t>vznikly v průběhu realizace projektu, přičemž období realizace projektu (datum zahájení i datum ukončení realizace projektu) je přesně definováno ve Smlouvě o financování/Podmínkách realizace</w:t>
      </w:r>
      <w:r w:rsidR="00E573AF" w:rsidRPr="00305215">
        <w:rPr>
          <w:rFonts w:cs="Arial"/>
          <w:bCs/>
          <w:sz w:val="20"/>
          <w:szCs w:val="20"/>
        </w:rPr>
        <w:t>,</w:t>
      </w:r>
    </w:p>
    <w:p w14:paraId="2D0784B3" w14:textId="77777777" w:rsidR="00E573AF" w:rsidRPr="00305215" w:rsidRDefault="006338FA" w:rsidP="006338FA">
      <w:pPr>
        <w:pStyle w:val="txt"/>
        <w:numPr>
          <w:ilvl w:val="0"/>
          <w:numId w:val="20"/>
        </w:numPr>
        <w:rPr>
          <w:rFonts w:cs="Arial"/>
          <w:bCs/>
          <w:sz w:val="20"/>
          <w:szCs w:val="20"/>
        </w:rPr>
      </w:pPr>
      <w:r w:rsidRPr="00305215">
        <w:rPr>
          <w:rFonts w:cs="Arial"/>
          <w:bCs/>
          <w:sz w:val="20"/>
          <w:szCs w:val="20"/>
        </w:rPr>
        <w:t>realizaci projektu předcházejí a jsou pro realizaci projektu nezbytné (např. výdaje spojené s přípravou projektové dokumentace apod.).</w:t>
      </w:r>
    </w:p>
    <w:p w14:paraId="147A964E" w14:textId="61A811C0" w:rsidR="00E573AF" w:rsidRPr="00305215" w:rsidRDefault="00E573AF" w:rsidP="00E573AF">
      <w:pPr>
        <w:pStyle w:val="txt"/>
        <w:spacing w:after="0"/>
        <w:ind w:left="362" w:firstLine="0"/>
        <w:rPr>
          <w:rFonts w:cs="Arial"/>
          <w:bCs/>
          <w:sz w:val="20"/>
          <w:szCs w:val="20"/>
        </w:rPr>
      </w:pPr>
      <w:r w:rsidRPr="00305215">
        <w:rPr>
          <w:rFonts w:cs="Arial"/>
          <w:bCs/>
          <w:sz w:val="20"/>
          <w:szCs w:val="20"/>
        </w:rPr>
        <w:t xml:space="preserve">Realizace projektu nesmí být ukončena před </w:t>
      </w:r>
      <w:r w:rsidR="00D8165E" w:rsidRPr="00305215">
        <w:rPr>
          <w:rFonts w:cs="Arial"/>
          <w:bCs/>
          <w:sz w:val="20"/>
          <w:szCs w:val="20"/>
        </w:rPr>
        <w:t>předložením žádosti o podporu</w:t>
      </w:r>
      <w:r w:rsidRPr="00305215">
        <w:rPr>
          <w:rFonts w:cs="Arial"/>
          <w:bCs/>
          <w:sz w:val="20"/>
          <w:szCs w:val="20"/>
        </w:rPr>
        <w:t>. Realizací projektu je myšleno období investiční fáze.</w:t>
      </w:r>
    </w:p>
    <w:p w14:paraId="11BA6E99"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Informace o křížovém financování:</w:t>
      </w:r>
      <w:r w:rsidR="00E573AF" w:rsidRPr="00305215">
        <w:rPr>
          <w:rFonts w:cs="Arial"/>
          <w:bCs/>
          <w:sz w:val="20"/>
          <w:szCs w:val="20"/>
        </w:rPr>
        <w:t xml:space="preserve"> Křížové financování není v této výzvě povoleno.</w:t>
      </w:r>
    </w:p>
    <w:p w14:paraId="3831A359" w14:textId="77777777" w:rsidR="00E573AF"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Informace o nepřímých nákladech: </w:t>
      </w:r>
      <w:r w:rsidR="00E573AF" w:rsidRPr="00305215">
        <w:rPr>
          <w:sz w:val="20"/>
        </w:rPr>
        <w:t>Nepřímé náklady nejsou v této výzvě aplikovány.</w:t>
      </w:r>
    </w:p>
    <w:p w14:paraId="635456E9" w14:textId="77777777" w:rsidR="00D45C20" w:rsidRPr="00305215" w:rsidRDefault="00D45C20" w:rsidP="001F365E">
      <w:pPr>
        <w:pStyle w:val="Textpoznpodarou"/>
        <w:spacing w:line="360" w:lineRule="auto"/>
        <w:ind w:left="792"/>
        <w:rPr>
          <w:rFonts w:cs="Arial"/>
          <w:b/>
          <w:bCs/>
          <w:sz w:val="20"/>
        </w:rPr>
      </w:pPr>
    </w:p>
    <w:p w14:paraId="359710B9"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Náležitosti žádosti o podporu, způsob podání, možnost konzultací</w:t>
      </w:r>
    </w:p>
    <w:p w14:paraId="7F694825"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Povinné přílohy:</w:t>
      </w:r>
    </w:p>
    <w:p w14:paraId="0501A377" w14:textId="77777777" w:rsidR="00E573AF" w:rsidRPr="00305215" w:rsidRDefault="00E573AF" w:rsidP="00E573AF">
      <w:pPr>
        <w:pStyle w:val="txt"/>
        <w:spacing w:after="0"/>
        <w:ind w:left="362" w:firstLine="0"/>
        <w:rPr>
          <w:rFonts w:cs="Arial"/>
          <w:bCs/>
          <w:sz w:val="20"/>
          <w:szCs w:val="20"/>
        </w:rPr>
      </w:pPr>
      <w:r w:rsidRPr="00305215">
        <w:rPr>
          <w:rFonts w:cs="Arial"/>
          <w:bCs/>
          <w:sz w:val="20"/>
          <w:szCs w:val="20"/>
        </w:rPr>
        <w:t>V rámci výzvy je nutné doložit k žádosti relevantní povinné přílohy, přičemž níže je uveden jejich výčet platný pro tuto výzvu. Podrobné specifikace jednotlivých povinných příloh a povinná forma jejich předložení jsou dostupné v Pravidlech pro žadatele a příjemce OP PPR, kap. 9.3 (viz bod 1</w:t>
      </w:r>
      <w:r w:rsidR="00635B2C" w:rsidRPr="00305215">
        <w:rPr>
          <w:rFonts w:cs="Arial"/>
          <w:bCs/>
          <w:sz w:val="20"/>
          <w:szCs w:val="20"/>
        </w:rPr>
        <w:t>1</w:t>
      </w:r>
      <w:r w:rsidRPr="00305215">
        <w:rPr>
          <w:rFonts w:cs="Arial"/>
          <w:bCs/>
          <w:sz w:val="20"/>
          <w:szCs w:val="20"/>
        </w:rPr>
        <w:t>.1. výzvy).</w:t>
      </w:r>
    </w:p>
    <w:p w14:paraId="2AE8AEA0" w14:textId="77777777" w:rsidR="00E573AF" w:rsidRPr="00305215" w:rsidRDefault="00E573AF" w:rsidP="00E573AF">
      <w:pPr>
        <w:pStyle w:val="txt"/>
        <w:spacing w:after="0"/>
        <w:ind w:left="362" w:firstLine="0"/>
        <w:rPr>
          <w:rFonts w:cs="Arial"/>
          <w:bCs/>
          <w:sz w:val="20"/>
          <w:szCs w:val="20"/>
        </w:rPr>
      </w:pPr>
    </w:p>
    <w:p w14:paraId="3B7FF1EA" w14:textId="77777777" w:rsidR="00E573AF" w:rsidRPr="00305215" w:rsidRDefault="00E573AF" w:rsidP="00E573AF">
      <w:pPr>
        <w:pStyle w:val="Default"/>
        <w:spacing w:line="276" w:lineRule="auto"/>
        <w:ind w:left="360"/>
        <w:rPr>
          <w:sz w:val="20"/>
          <w:szCs w:val="20"/>
        </w:rPr>
      </w:pPr>
      <w:r w:rsidRPr="00305215">
        <w:rPr>
          <w:b/>
          <w:bCs/>
          <w:sz w:val="20"/>
          <w:szCs w:val="20"/>
        </w:rPr>
        <w:t xml:space="preserve">Povinné přílohy společné pro všechny předkládané žádosti o podporu v této výzvě: </w:t>
      </w:r>
    </w:p>
    <w:p w14:paraId="367063EB" w14:textId="77777777" w:rsidR="00E573AF" w:rsidRPr="00305215" w:rsidRDefault="00E573AF" w:rsidP="00E573AF">
      <w:pPr>
        <w:pStyle w:val="Default"/>
        <w:numPr>
          <w:ilvl w:val="0"/>
          <w:numId w:val="21"/>
        </w:numPr>
        <w:spacing w:after="26" w:line="276" w:lineRule="auto"/>
        <w:rPr>
          <w:sz w:val="20"/>
          <w:szCs w:val="20"/>
        </w:rPr>
      </w:pPr>
      <w:r w:rsidRPr="00305215">
        <w:rPr>
          <w:sz w:val="20"/>
          <w:szCs w:val="20"/>
        </w:rPr>
        <w:t>Studie proveditelnosti – pokyny ke zp</w:t>
      </w:r>
      <w:r w:rsidR="00635B2C" w:rsidRPr="00305215">
        <w:rPr>
          <w:sz w:val="20"/>
          <w:szCs w:val="20"/>
        </w:rPr>
        <w:t>racování této přílohy viz bod 11</w:t>
      </w:r>
      <w:r w:rsidRPr="00305215">
        <w:rPr>
          <w:sz w:val="20"/>
          <w:szCs w:val="20"/>
        </w:rPr>
        <w:t>.1. výzvy</w:t>
      </w:r>
    </w:p>
    <w:p w14:paraId="10B5F3E8" w14:textId="1C00790A" w:rsidR="00E573AF" w:rsidRPr="00305215" w:rsidRDefault="00E573AF" w:rsidP="00E573AF">
      <w:pPr>
        <w:pStyle w:val="Default"/>
        <w:numPr>
          <w:ilvl w:val="0"/>
          <w:numId w:val="21"/>
        </w:numPr>
        <w:spacing w:after="26" w:line="276" w:lineRule="auto"/>
        <w:rPr>
          <w:sz w:val="20"/>
          <w:szCs w:val="20"/>
        </w:rPr>
      </w:pPr>
      <w:r w:rsidRPr="00305215">
        <w:rPr>
          <w:sz w:val="20"/>
          <w:szCs w:val="20"/>
        </w:rPr>
        <w:t xml:space="preserve">Doklady o právní subjektivitě žadatele </w:t>
      </w:r>
      <w:r w:rsidR="00BE067B" w:rsidRPr="00305215">
        <w:rPr>
          <w:sz w:val="20"/>
          <w:szCs w:val="20"/>
        </w:rPr>
        <w:t>(pokud je relevantní)</w:t>
      </w:r>
    </w:p>
    <w:p w14:paraId="2F5AD456" w14:textId="77777777" w:rsidR="00E573AF" w:rsidRPr="00305215" w:rsidRDefault="00E573AF" w:rsidP="00E573AF">
      <w:pPr>
        <w:pStyle w:val="Default"/>
        <w:numPr>
          <w:ilvl w:val="0"/>
          <w:numId w:val="21"/>
        </w:numPr>
        <w:spacing w:after="26" w:line="276" w:lineRule="auto"/>
        <w:rPr>
          <w:sz w:val="20"/>
          <w:szCs w:val="20"/>
        </w:rPr>
      </w:pPr>
      <w:r w:rsidRPr="00305215">
        <w:rPr>
          <w:sz w:val="20"/>
          <w:szCs w:val="20"/>
        </w:rPr>
        <w:t>Informace o vlastnické a ovládací struktuře žadatele</w:t>
      </w:r>
    </w:p>
    <w:p w14:paraId="4A90C4E7" w14:textId="77777777" w:rsidR="00E573AF" w:rsidRPr="00305215" w:rsidRDefault="00E573AF" w:rsidP="00E573AF">
      <w:pPr>
        <w:pStyle w:val="Default"/>
        <w:numPr>
          <w:ilvl w:val="0"/>
          <w:numId w:val="21"/>
        </w:numPr>
        <w:spacing w:after="26" w:line="276" w:lineRule="auto"/>
        <w:rPr>
          <w:sz w:val="20"/>
          <w:szCs w:val="20"/>
        </w:rPr>
      </w:pPr>
      <w:r w:rsidRPr="00305215">
        <w:rPr>
          <w:sz w:val="20"/>
          <w:szCs w:val="20"/>
        </w:rPr>
        <w:t xml:space="preserve">Doklad na prokázání vlastnického, nebo jiného (vymezeného) práva k majetku </w:t>
      </w:r>
      <w:r w:rsidR="000479B1" w:rsidRPr="00305215">
        <w:rPr>
          <w:sz w:val="20"/>
          <w:szCs w:val="20"/>
        </w:rPr>
        <w:t>(vč. dokladu k nákupu pozemků, pokud je to relevantní)</w:t>
      </w:r>
    </w:p>
    <w:p w14:paraId="2EDEADB5" w14:textId="77777777" w:rsidR="0050565F" w:rsidRPr="00305215" w:rsidRDefault="0050565F" w:rsidP="00E573AF">
      <w:pPr>
        <w:pStyle w:val="Default"/>
        <w:numPr>
          <w:ilvl w:val="0"/>
          <w:numId w:val="21"/>
        </w:numPr>
        <w:spacing w:after="26" w:line="276" w:lineRule="auto"/>
        <w:rPr>
          <w:sz w:val="20"/>
          <w:szCs w:val="20"/>
        </w:rPr>
      </w:pPr>
      <w:r w:rsidRPr="00305215">
        <w:rPr>
          <w:sz w:val="20"/>
          <w:szCs w:val="20"/>
        </w:rPr>
        <w:t>Příslib spolufinancování z rozpočtu městské části/státních fondů</w:t>
      </w:r>
      <w:r w:rsidR="0097134B" w:rsidRPr="00305215">
        <w:rPr>
          <w:sz w:val="20"/>
          <w:szCs w:val="20"/>
        </w:rPr>
        <w:t xml:space="preserve"> (pokud je to relevantní)</w:t>
      </w:r>
    </w:p>
    <w:p w14:paraId="2FBABFCA" w14:textId="77777777" w:rsidR="006338FA" w:rsidRPr="00305215" w:rsidRDefault="006338FA" w:rsidP="006338FA">
      <w:pPr>
        <w:pStyle w:val="Default"/>
        <w:numPr>
          <w:ilvl w:val="0"/>
          <w:numId w:val="21"/>
        </w:numPr>
        <w:spacing w:after="26" w:line="276" w:lineRule="auto"/>
        <w:rPr>
          <w:sz w:val="20"/>
          <w:szCs w:val="20"/>
        </w:rPr>
      </w:pPr>
      <w:r w:rsidRPr="00305215">
        <w:rPr>
          <w:sz w:val="20"/>
          <w:szCs w:val="20"/>
        </w:rPr>
        <w:t>Podklady pro posouzení finančního zdraví (pokud je to relevantní)</w:t>
      </w:r>
    </w:p>
    <w:p w14:paraId="2A5C635A" w14:textId="77777777" w:rsidR="00E573AF" w:rsidRPr="00305215" w:rsidRDefault="00E573AF" w:rsidP="00E573AF">
      <w:pPr>
        <w:pStyle w:val="Default"/>
        <w:numPr>
          <w:ilvl w:val="0"/>
          <w:numId w:val="21"/>
        </w:numPr>
        <w:spacing w:line="276" w:lineRule="auto"/>
        <w:rPr>
          <w:sz w:val="20"/>
          <w:szCs w:val="20"/>
        </w:rPr>
      </w:pPr>
      <w:r w:rsidRPr="00305215">
        <w:rPr>
          <w:sz w:val="20"/>
          <w:szCs w:val="20"/>
        </w:rPr>
        <w:t>Projektová dokumentace</w:t>
      </w:r>
    </w:p>
    <w:p w14:paraId="40978BDD" w14:textId="77777777" w:rsidR="00755F1E" w:rsidRPr="00305215" w:rsidRDefault="00E573AF" w:rsidP="00755F1E">
      <w:pPr>
        <w:pStyle w:val="Default"/>
        <w:numPr>
          <w:ilvl w:val="0"/>
          <w:numId w:val="21"/>
        </w:numPr>
        <w:spacing w:line="276" w:lineRule="auto"/>
        <w:rPr>
          <w:sz w:val="20"/>
          <w:szCs w:val="20"/>
        </w:rPr>
      </w:pPr>
      <w:r w:rsidRPr="00305215">
        <w:rPr>
          <w:sz w:val="20"/>
          <w:szCs w:val="20"/>
        </w:rPr>
        <w:t>Rozpočet stavebních výdajů projektu</w:t>
      </w:r>
      <w:r w:rsidR="00755F1E" w:rsidRPr="00305215">
        <w:rPr>
          <w:sz w:val="20"/>
          <w:szCs w:val="20"/>
        </w:rPr>
        <w:t xml:space="preserve"> </w:t>
      </w:r>
    </w:p>
    <w:p w14:paraId="7EE7D85A" w14:textId="64CCECBB" w:rsidR="0032651B" w:rsidRPr="00305215" w:rsidRDefault="0032651B" w:rsidP="00755F1E">
      <w:pPr>
        <w:pStyle w:val="Default"/>
        <w:numPr>
          <w:ilvl w:val="0"/>
          <w:numId w:val="21"/>
        </w:numPr>
        <w:spacing w:line="276" w:lineRule="auto"/>
        <w:rPr>
          <w:sz w:val="20"/>
          <w:szCs w:val="20"/>
        </w:rPr>
      </w:pPr>
      <w:r w:rsidRPr="00305215">
        <w:rPr>
          <w:sz w:val="20"/>
          <w:szCs w:val="20"/>
        </w:rPr>
        <w:t>Územní souhlas, územní rozhodnutí a další dokumenty (dle zákona č. 183/2006 Sb., Stavební zákon v platném znění)</w:t>
      </w:r>
    </w:p>
    <w:p w14:paraId="7F04F234" w14:textId="77777777" w:rsidR="00E573AF" w:rsidRPr="00305215" w:rsidRDefault="00E573AF" w:rsidP="00E573AF">
      <w:pPr>
        <w:pStyle w:val="Default"/>
        <w:numPr>
          <w:ilvl w:val="0"/>
          <w:numId w:val="21"/>
        </w:numPr>
        <w:spacing w:line="276" w:lineRule="auto"/>
        <w:rPr>
          <w:sz w:val="20"/>
          <w:szCs w:val="20"/>
        </w:rPr>
      </w:pPr>
      <w:r w:rsidRPr="00305215">
        <w:rPr>
          <w:sz w:val="20"/>
          <w:szCs w:val="20"/>
        </w:rPr>
        <w:t>Stanovisko k posouzení vlivů na životní prostředí</w:t>
      </w:r>
    </w:p>
    <w:p w14:paraId="76E1D053" w14:textId="77777777" w:rsidR="00F40384" w:rsidRPr="00305215" w:rsidRDefault="00F40384" w:rsidP="00E573AF">
      <w:pPr>
        <w:pStyle w:val="Default"/>
        <w:numPr>
          <w:ilvl w:val="0"/>
          <w:numId w:val="21"/>
        </w:numPr>
        <w:spacing w:line="276" w:lineRule="auto"/>
        <w:rPr>
          <w:sz w:val="20"/>
          <w:szCs w:val="20"/>
        </w:rPr>
      </w:pPr>
      <w:r w:rsidRPr="00305215">
        <w:rPr>
          <w:sz w:val="20"/>
          <w:szCs w:val="20"/>
        </w:rPr>
        <w:t>Znalecký posudek podle P</w:t>
      </w:r>
      <w:r w:rsidR="0025109F" w:rsidRPr="00305215">
        <w:rPr>
          <w:sz w:val="20"/>
          <w:szCs w:val="20"/>
        </w:rPr>
        <w:t>ravidel pro žadatele a příjemce (pokud je to relevantní)</w:t>
      </w:r>
    </w:p>
    <w:p w14:paraId="5001E694" w14:textId="77777777" w:rsidR="00D0372C" w:rsidRPr="00305215" w:rsidRDefault="00D0372C" w:rsidP="004A42AD">
      <w:pPr>
        <w:pStyle w:val="Default"/>
        <w:numPr>
          <w:ilvl w:val="0"/>
          <w:numId w:val="21"/>
        </w:numPr>
        <w:spacing w:line="276" w:lineRule="auto"/>
        <w:rPr>
          <w:sz w:val="20"/>
          <w:szCs w:val="20"/>
        </w:rPr>
      </w:pPr>
      <w:r w:rsidRPr="00305215">
        <w:rPr>
          <w:sz w:val="20"/>
          <w:szCs w:val="20"/>
        </w:rPr>
        <w:t>Vyjádření k souladu s aktuální celoměstskou koncepcí nových lokalit P+R</w:t>
      </w:r>
      <w:r w:rsidR="004A42AD" w:rsidRPr="00305215">
        <w:rPr>
          <w:sz w:val="20"/>
          <w:szCs w:val="20"/>
        </w:rPr>
        <w:t xml:space="preserve"> (skupina aktivit A)</w:t>
      </w:r>
    </w:p>
    <w:p w14:paraId="73F7A14A" w14:textId="77777777" w:rsidR="004A42AD" w:rsidRPr="00305215" w:rsidRDefault="004A42AD" w:rsidP="004A42AD">
      <w:pPr>
        <w:pStyle w:val="Default"/>
        <w:numPr>
          <w:ilvl w:val="0"/>
          <w:numId w:val="21"/>
        </w:numPr>
        <w:spacing w:line="276" w:lineRule="auto"/>
        <w:rPr>
          <w:sz w:val="20"/>
          <w:szCs w:val="20"/>
        </w:rPr>
      </w:pPr>
      <w:r w:rsidRPr="00305215">
        <w:rPr>
          <w:sz w:val="20"/>
          <w:szCs w:val="20"/>
        </w:rPr>
        <w:t>Vyjádření k souladu s celoměstským Projektem preference (skupina aktivit B)</w:t>
      </w:r>
    </w:p>
    <w:p w14:paraId="7DF398CD" w14:textId="77777777" w:rsidR="004A42AD" w:rsidRPr="00305215" w:rsidRDefault="00AF4728" w:rsidP="00AF4728">
      <w:pPr>
        <w:pStyle w:val="Default"/>
        <w:numPr>
          <w:ilvl w:val="0"/>
          <w:numId w:val="21"/>
        </w:numPr>
        <w:spacing w:line="276" w:lineRule="auto"/>
        <w:rPr>
          <w:sz w:val="20"/>
          <w:szCs w:val="20"/>
        </w:rPr>
      </w:pPr>
      <w:r w:rsidRPr="00305215">
        <w:rPr>
          <w:sz w:val="20"/>
          <w:szCs w:val="20"/>
        </w:rPr>
        <w:t>Vyjádření Řídicího výboru ITI o souladu/nesouladu projektového záměru s integrovanou strategií</w:t>
      </w:r>
    </w:p>
    <w:p w14:paraId="0539F9AC" w14:textId="77777777" w:rsidR="00AF4728" w:rsidRPr="00305215" w:rsidRDefault="00AF4728" w:rsidP="00AF4728">
      <w:pPr>
        <w:pStyle w:val="Default"/>
        <w:numPr>
          <w:ilvl w:val="0"/>
          <w:numId w:val="21"/>
        </w:numPr>
        <w:spacing w:line="276" w:lineRule="auto"/>
        <w:rPr>
          <w:sz w:val="20"/>
          <w:szCs w:val="20"/>
        </w:rPr>
      </w:pPr>
      <w:r w:rsidRPr="00305215">
        <w:rPr>
          <w:sz w:val="20"/>
          <w:szCs w:val="20"/>
        </w:rPr>
        <w:t>Čestné prohlášení žadatele o podporu o souladu žádosti o podporu s projektovým záměrem předloženým Řídicímu výboru ITI</w:t>
      </w:r>
    </w:p>
    <w:p w14:paraId="1C2BDF14" w14:textId="77777777" w:rsidR="005D0EF8" w:rsidRPr="00305215" w:rsidRDefault="005D0EF8" w:rsidP="005D0EF8">
      <w:pPr>
        <w:pStyle w:val="Default"/>
        <w:spacing w:line="276" w:lineRule="auto"/>
        <w:ind w:left="720"/>
        <w:rPr>
          <w:sz w:val="20"/>
          <w:szCs w:val="20"/>
        </w:rPr>
      </w:pPr>
    </w:p>
    <w:p w14:paraId="5A19C074"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Informace o způsobu podání žádosti o podporu: </w:t>
      </w:r>
    </w:p>
    <w:p w14:paraId="28F91934" w14:textId="77777777" w:rsidR="007D1AEF" w:rsidRPr="00305215" w:rsidRDefault="007D1AEF" w:rsidP="009814CB">
      <w:pPr>
        <w:autoSpaceDE w:val="0"/>
        <w:autoSpaceDN w:val="0"/>
        <w:adjustRightInd w:val="0"/>
        <w:ind w:left="362"/>
        <w:rPr>
          <w:sz w:val="10"/>
          <w:szCs w:val="20"/>
          <w:lang w:eastAsia="en-US"/>
        </w:rPr>
      </w:pPr>
      <w:r w:rsidRPr="00305215">
        <w:rPr>
          <w:rFonts w:eastAsiaTheme="minorHAnsi" w:cs="Arial"/>
          <w:color w:val="000000"/>
          <w:szCs w:val="20"/>
          <w:lang w:eastAsia="en-US"/>
        </w:rPr>
        <w:t xml:space="preserve">Žádost o podporu musí být vyplněna a podána v elektronické formě prostřednictvím aplikace MS2014+, do které se vstupuje přes portál žadatele IS KP14+ na adrese </w:t>
      </w:r>
      <w:hyperlink r:id="rId13" w:history="1">
        <w:r w:rsidRPr="00305215">
          <w:rPr>
            <w:rStyle w:val="Hypertextovodkaz"/>
            <w:rFonts w:eastAsiaTheme="minorHAnsi" w:cs="Arial"/>
            <w:szCs w:val="20"/>
            <w:lang w:eastAsia="en-US"/>
          </w:rPr>
          <w:t>https://mseu.mssf.cz/</w:t>
        </w:r>
      </w:hyperlink>
      <w:r w:rsidRPr="00305215">
        <w:rPr>
          <w:rFonts w:eastAsiaTheme="minorHAnsi" w:cs="Arial"/>
          <w:color w:val="000000"/>
          <w:szCs w:val="20"/>
          <w:lang w:eastAsia="en-US"/>
        </w:rPr>
        <w:t xml:space="preserve">. Při prvním vstupu do aplikace je nutné se zaregistrovat. Po provedení registrace se žadatel již může opakovaně přihlašovat do MS2014+ pomocí uživatelského jména a hesla. </w:t>
      </w:r>
    </w:p>
    <w:p w14:paraId="7748AB6A" w14:textId="77777777" w:rsidR="007D1AEF" w:rsidRPr="00305215" w:rsidRDefault="007D1AEF" w:rsidP="007D1AEF">
      <w:pPr>
        <w:pStyle w:val="Zkladntext"/>
        <w:ind w:left="362"/>
        <w:rPr>
          <w:sz w:val="10"/>
          <w:szCs w:val="20"/>
          <w:lang w:eastAsia="en-US"/>
        </w:rPr>
      </w:pPr>
    </w:p>
    <w:p w14:paraId="39E5054F" w14:textId="77777777" w:rsidR="007D1AEF" w:rsidRPr="00305215" w:rsidRDefault="007D1AEF" w:rsidP="007D1AEF">
      <w:pPr>
        <w:autoSpaceDE w:val="0"/>
        <w:autoSpaceDN w:val="0"/>
        <w:adjustRightInd w:val="0"/>
        <w:ind w:left="362"/>
        <w:rPr>
          <w:rFonts w:eastAsiaTheme="minorHAnsi" w:cs="Arial"/>
          <w:color w:val="000000"/>
          <w:szCs w:val="20"/>
          <w:lang w:eastAsia="en-US"/>
        </w:rPr>
      </w:pPr>
      <w:r w:rsidRPr="00305215">
        <w:rPr>
          <w:rFonts w:eastAsiaTheme="minorHAnsi" w:cs="Arial"/>
          <w:color w:val="000000"/>
          <w:szCs w:val="20"/>
          <w:lang w:eastAsia="en-US"/>
        </w:rPr>
        <w:lastRenderedPageBreak/>
        <w:t>Každá žádost o podporu je vázána na konkrétní výzvu. V aplikaci MS2014+ je přehled všech aktuálně vyhlášených a otevřených výzev. Žadatel vybere tut</w:t>
      </w:r>
      <w:r w:rsidR="00BC12EA" w:rsidRPr="00305215">
        <w:rPr>
          <w:rFonts w:eastAsiaTheme="minorHAnsi" w:cs="Arial"/>
          <w:color w:val="000000"/>
          <w:szCs w:val="20"/>
          <w:lang w:eastAsia="en-US"/>
        </w:rPr>
        <w:t>o výzvu a založí novou žádost o </w:t>
      </w:r>
      <w:r w:rsidRPr="00305215">
        <w:rPr>
          <w:rFonts w:eastAsiaTheme="minorHAnsi" w:cs="Arial"/>
          <w:color w:val="000000"/>
          <w:szCs w:val="20"/>
          <w:lang w:eastAsia="en-US"/>
        </w:rPr>
        <w:t xml:space="preserve">podporu. </w:t>
      </w:r>
    </w:p>
    <w:p w14:paraId="22096EA9" w14:textId="77777777" w:rsidR="007D1AEF" w:rsidRPr="00305215" w:rsidRDefault="007D1AEF" w:rsidP="007D1AEF">
      <w:pPr>
        <w:pStyle w:val="Zkladntext"/>
        <w:ind w:left="362"/>
        <w:rPr>
          <w:sz w:val="10"/>
          <w:szCs w:val="20"/>
          <w:lang w:eastAsia="en-US"/>
        </w:rPr>
      </w:pPr>
    </w:p>
    <w:p w14:paraId="5E93E7C7" w14:textId="226507C1" w:rsidR="007D1AEF" w:rsidRPr="00305215" w:rsidRDefault="007D1AEF" w:rsidP="007D1AEF">
      <w:pPr>
        <w:autoSpaceDE w:val="0"/>
        <w:autoSpaceDN w:val="0"/>
        <w:adjustRightInd w:val="0"/>
        <w:ind w:left="362"/>
        <w:rPr>
          <w:rFonts w:eastAsiaTheme="minorHAnsi" w:cs="Arial"/>
          <w:color w:val="000000"/>
          <w:szCs w:val="20"/>
          <w:lang w:eastAsia="en-US"/>
        </w:rPr>
      </w:pPr>
      <w:r w:rsidRPr="00305215">
        <w:rPr>
          <w:rFonts w:eastAsiaTheme="minorHAnsi" w:cs="Arial"/>
          <w:color w:val="000000"/>
          <w:szCs w:val="20"/>
          <w:lang w:eastAsia="en-US"/>
        </w:rPr>
        <w:t xml:space="preserve">Před podepsáním a podáním žádosti o podporu je nutné žádost finalizovat. Finalizovaná žádost musí být v aplikaci IS KP14+ podepsána kvalifikovaným elektronickým podpisem statutárního zástupce žadatele nebo osoby k tomu zmocněné statutárním zástupcem; v takovém případě musí být k žádosti připojena plná moc podepsaná v aplikaci IS KP14+ nebo jiný dokument dokládající toto zmocnění. Osoby, které žádost podepisují, musí být registrovanými uživateli aplikace IS KP14+. </w:t>
      </w:r>
    </w:p>
    <w:p w14:paraId="6B2FA032" w14:textId="77777777" w:rsidR="007D1AEF" w:rsidRPr="00305215" w:rsidRDefault="007D1AEF" w:rsidP="00F3256C">
      <w:pPr>
        <w:autoSpaceDE w:val="0"/>
        <w:autoSpaceDN w:val="0"/>
        <w:adjustRightInd w:val="0"/>
        <w:ind w:left="362"/>
        <w:rPr>
          <w:rFonts w:eastAsiaTheme="minorHAnsi" w:cs="Arial"/>
          <w:color w:val="000000"/>
          <w:szCs w:val="20"/>
          <w:lang w:eastAsia="en-US"/>
        </w:rPr>
      </w:pPr>
    </w:p>
    <w:p w14:paraId="1D219561" w14:textId="77777777" w:rsidR="00105934" w:rsidRPr="00305215" w:rsidRDefault="000C2BBB" w:rsidP="00F3256C">
      <w:pPr>
        <w:autoSpaceDE w:val="0"/>
        <w:autoSpaceDN w:val="0"/>
        <w:adjustRightInd w:val="0"/>
        <w:ind w:left="362"/>
        <w:rPr>
          <w:rFonts w:eastAsiaTheme="minorHAnsi" w:cs="Arial"/>
          <w:color w:val="000000"/>
          <w:szCs w:val="20"/>
          <w:lang w:eastAsia="en-US"/>
        </w:rPr>
      </w:pPr>
      <w:r w:rsidRPr="00305215">
        <w:rPr>
          <w:rFonts w:eastAsiaTheme="minorHAnsi" w:cs="Arial"/>
          <w:color w:val="000000"/>
          <w:szCs w:val="20"/>
          <w:lang w:eastAsia="en-US"/>
        </w:rPr>
        <w:t xml:space="preserve">Žádost a povinné přílohy se podávají jen elektronicky prostřednictvím aplikace MS2014+. </w:t>
      </w:r>
    </w:p>
    <w:p w14:paraId="2C6C5D6A" w14:textId="77777777" w:rsidR="00F3256C" w:rsidRPr="00305215" w:rsidRDefault="00F3256C" w:rsidP="00F3256C">
      <w:pPr>
        <w:autoSpaceDE w:val="0"/>
        <w:autoSpaceDN w:val="0"/>
        <w:adjustRightInd w:val="0"/>
        <w:ind w:left="362"/>
        <w:rPr>
          <w:rFonts w:eastAsiaTheme="minorHAnsi" w:cs="Arial"/>
          <w:color w:val="000000"/>
          <w:szCs w:val="20"/>
          <w:lang w:eastAsia="en-US"/>
        </w:rPr>
      </w:pPr>
    </w:p>
    <w:p w14:paraId="544887AB" w14:textId="77777777" w:rsidR="000C2BBB" w:rsidRPr="00305215" w:rsidRDefault="000C2BBB" w:rsidP="000C2BBB">
      <w:pPr>
        <w:pStyle w:val="Zkladntext"/>
        <w:ind w:left="362"/>
        <w:rPr>
          <w:sz w:val="10"/>
          <w:szCs w:val="20"/>
          <w:lang w:eastAsia="en-US"/>
        </w:rPr>
      </w:pPr>
      <w:r w:rsidRPr="00305215">
        <w:rPr>
          <w:szCs w:val="20"/>
        </w:rPr>
        <w:t>Přílohy v tištěné podobě nejsou přípustné.</w:t>
      </w:r>
    </w:p>
    <w:p w14:paraId="7D8994FE" w14:textId="77777777" w:rsidR="00C7582D" w:rsidRPr="00305215" w:rsidRDefault="007D1AEF" w:rsidP="00C7582D">
      <w:pPr>
        <w:pStyle w:val="txt"/>
        <w:spacing w:after="0" w:line="360" w:lineRule="auto"/>
        <w:ind w:left="362" w:firstLine="0"/>
        <w:rPr>
          <w:rFonts w:eastAsiaTheme="minorHAnsi" w:cs="Arial"/>
          <w:color w:val="000000"/>
          <w:sz w:val="20"/>
          <w:szCs w:val="20"/>
          <w:lang w:eastAsia="en-US"/>
        </w:rPr>
      </w:pPr>
      <w:r w:rsidRPr="00305215">
        <w:rPr>
          <w:rFonts w:eastAsiaTheme="minorHAnsi" w:cs="Arial"/>
          <w:color w:val="000000"/>
          <w:sz w:val="20"/>
          <w:szCs w:val="20"/>
          <w:lang w:eastAsia="en-US"/>
        </w:rPr>
        <w:t>Více informací je k dispozici v Pravidlech pro žadatele a příjemce OP PPR (viz bod 1</w:t>
      </w:r>
      <w:r w:rsidR="00635B2C" w:rsidRPr="00305215">
        <w:rPr>
          <w:rFonts w:eastAsiaTheme="minorHAnsi" w:cs="Arial"/>
          <w:color w:val="000000"/>
          <w:sz w:val="20"/>
          <w:szCs w:val="20"/>
          <w:lang w:eastAsia="en-US"/>
        </w:rPr>
        <w:t>1</w:t>
      </w:r>
      <w:r w:rsidRPr="00305215">
        <w:rPr>
          <w:rFonts w:eastAsiaTheme="minorHAnsi" w:cs="Arial"/>
          <w:color w:val="000000"/>
          <w:sz w:val="20"/>
          <w:szCs w:val="20"/>
          <w:lang w:eastAsia="en-US"/>
        </w:rPr>
        <w:t>.1. výzvy).</w:t>
      </w:r>
    </w:p>
    <w:p w14:paraId="2225C75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Informace o způsobu poskytování konzultací k přípravě žádosti o podporu:</w:t>
      </w:r>
    </w:p>
    <w:p w14:paraId="1E5E14A0" w14:textId="6CFBC966" w:rsidR="007D1AEF" w:rsidRPr="00305215" w:rsidRDefault="007D1AEF" w:rsidP="007D1AEF">
      <w:pPr>
        <w:pStyle w:val="Default"/>
        <w:ind w:left="362"/>
        <w:jc w:val="both"/>
        <w:rPr>
          <w:sz w:val="20"/>
          <w:szCs w:val="20"/>
        </w:rPr>
      </w:pPr>
      <w:r w:rsidRPr="00305215">
        <w:rPr>
          <w:sz w:val="20"/>
          <w:szCs w:val="20"/>
        </w:rPr>
        <w:t xml:space="preserve">V průběhu vyhlášené výzvy jsou poskytovány osobní, telefonické a emailové konzultace. Konzultace jsou poskytovány v období od </w:t>
      </w:r>
      <w:r w:rsidR="004A42AD" w:rsidRPr="00305215">
        <w:rPr>
          <w:sz w:val="20"/>
          <w:szCs w:val="20"/>
        </w:rPr>
        <w:t>31</w:t>
      </w:r>
      <w:r w:rsidRPr="00305215">
        <w:rPr>
          <w:sz w:val="20"/>
          <w:szCs w:val="20"/>
        </w:rPr>
        <w:t xml:space="preserve">. </w:t>
      </w:r>
      <w:r w:rsidR="004A42AD" w:rsidRPr="00305215">
        <w:rPr>
          <w:sz w:val="20"/>
          <w:szCs w:val="20"/>
        </w:rPr>
        <w:t>srpna</w:t>
      </w:r>
      <w:r w:rsidRPr="00305215">
        <w:rPr>
          <w:sz w:val="20"/>
          <w:szCs w:val="20"/>
        </w:rPr>
        <w:t xml:space="preserve"> 2016 do </w:t>
      </w:r>
      <w:r w:rsidR="00566D29" w:rsidRPr="00305215">
        <w:rPr>
          <w:sz w:val="20"/>
          <w:szCs w:val="20"/>
        </w:rPr>
        <w:t>2</w:t>
      </w:r>
      <w:r w:rsidR="006F43F9">
        <w:rPr>
          <w:sz w:val="20"/>
          <w:szCs w:val="20"/>
        </w:rPr>
        <w:t>3</w:t>
      </w:r>
      <w:r w:rsidRPr="00305215">
        <w:rPr>
          <w:sz w:val="20"/>
          <w:szCs w:val="20"/>
        </w:rPr>
        <w:t xml:space="preserve">. </w:t>
      </w:r>
      <w:r w:rsidR="006F43F9">
        <w:rPr>
          <w:sz w:val="20"/>
          <w:szCs w:val="20"/>
        </w:rPr>
        <w:t>března 2018</w:t>
      </w:r>
      <w:r w:rsidRPr="00305215">
        <w:rPr>
          <w:sz w:val="20"/>
          <w:szCs w:val="20"/>
        </w:rPr>
        <w:t xml:space="preserve">. Po skončení tohoto období nebudou žádné konzultace poskytovány. </w:t>
      </w:r>
    </w:p>
    <w:p w14:paraId="1A4A0FCD" w14:textId="77777777" w:rsidR="007D1AEF" w:rsidRPr="00305215" w:rsidRDefault="007D1AEF" w:rsidP="007D1AEF">
      <w:pPr>
        <w:pStyle w:val="Default"/>
        <w:jc w:val="both"/>
        <w:rPr>
          <w:sz w:val="20"/>
          <w:szCs w:val="20"/>
        </w:rPr>
      </w:pPr>
    </w:p>
    <w:p w14:paraId="264CDE80" w14:textId="77777777" w:rsidR="007D1AEF" w:rsidRPr="00305215" w:rsidRDefault="007D1AEF" w:rsidP="007D1AEF">
      <w:pPr>
        <w:pStyle w:val="Default"/>
        <w:ind w:left="362"/>
        <w:jc w:val="both"/>
        <w:rPr>
          <w:sz w:val="20"/>
          <w:szCs w:val="20"/>
        </w:rPr>
      </w:pPr>
      <w:r w:rsidRPr="00305215">
        <w:rPr>
          <w:sz w:val="20"/>
          <w:szCs w:val="20"/>
        </w:rPr>
        <w:t xml:space="preserve">Osobní konzultace jsou poskytovány pouze po předchozí dohodě s kontaktními pracovníky (viz níže bod 7. 3. výzvy) a za předpokladu, že minimálně 3 pracovní dny před dohodnutým termínem konzultace bude kontaktním pracovníkům zaslán projektový záměr. Konzultace budou poskytovány výhradně k projektovým záměrům. Nebude prováděno připomínkování kompletních žádostí o podporu ani jejich částí. Doporučujeme žadatelům, aby si na konzultaci připravili konkrétní dotazy k projektovému záměru. </w:t>
      </w:r>
    </w:p>
    <w:p w14:paraId="6E00A2B9" w14:textId="77777777" w:rsidR="007D1AEF" w:rsidRPr="00305215" w:rsidRDefault="007D1AEF" w:rsidP="007D1AEF">
      <w:pPr>
        <w:ind w:left="362"/>
        <w:rPr>
          <w:szCs w:val="20"/>
        </w:rPr>
      </w:pPr>
    </w:p>
    <w:p w14:paraId="296F8553" w14:textId="77777777" w:rsidR="007D1AEF" w:rsidRPr="00305215" w:rsidRDefault="007D1AEF" w:rsidP="007D1AEF">
      <w:pPr>
        <w:ind w:left="362"/>
        <w:rPr>
          <w:szCs w:val="20"/>
        </w:rPr>
      </w:pPr>
      <w:r w:rsidRPr="00305215">
        <w:rPr>
          <w:szCs w:val="20"/>
        </w:rPr>
        <w:t xml:space="preserve">Konzultace budou poskytovány výhradně pracovníkům žadatele. V případě, že je pro přípravu žádosti o podporu žadatelem využívána poradenská firma, je možná účast zástupce poradenské firmy na konzultaci pouze za přítomnosti pracovníka žadatele. </w:t>
      </w:r>
    </w:p>
    <w:p w14:paraId="365A8D35" w14:textId="77777777" w:rsidR="007D1AEF" w:rsidRPr="00305215" w:rsidRDefault="007D1AEF" w:rsidP="007D1AEF">
      <w:pPr>
        <w:ind w:firstLine="362"/>
        <w:rPr>
          <w:szCs w:val="20"/>
        </w:rPr>
      </w:pPr>
    </w:p>
    <w:p w14:paraId="4AE7EBBE" w14:textId="77777777" w:rsidR="007D1AEF" w:rsidRPr="00305215" w:rsidRDefault="007D1AEF" w:rsidP="007D1AEF">
      <w:pPr>
        <w:ind w:firstLine="362"/>
        <w:rPr>
          <w:rFonts w:cs="Arial"/>
          <w:b/>
          <w:bCs/>
          <w:noProof/>
          <w:szCs w:val="20"/>
          <w:vertAlign w:val="superscript"/>
        </w:rPr>
      </w:pPr>
      <w:r w:rsidRPr="00305215">
        <w:rPr>
          <w:rFonts w:cs="Arial"/>
          <w:b/>
          <w:bCs/>
          <w:noProof/>
          <w:szCs w:val="20"/>
        </w:rPr>
        <w:t xml:space="preserve">Kontakt na vyhlašovatele výzvy: </w:t>
      </w:r>
      <w:r w:rsidRPr="00305215">
        <w:rPr>
          <w:rFonts w:cs="Arial"/>
          <w:b/>
          <w:bCs/>
          <w:noProof/>
          <w:szCs w:val="20"/>
          <w:vertAlign w:val="superscript"/>
        </w:rPr>
        <w:t xml:space="preserve"> </w:t>
      </w:r>
    </w:p>
    <w:p w14:paraId="3E4BA86C" w14:textId="77777777" w:rsidR="007D1AEF" w:rsidRPr="00305215" w:rsidRDefault="007D1AEF" w:rsidP="007D1AEF">
      <w:pPr>
        <w:ind w:firstLine="362"/>
        <w:rPr>
          <w:rFonts w:cs="Arial"/>
          <w:b/>
          <w:bCs/>
          <w:noProof/>
          <w:szCs w:val="20"/>
        </w:rPr>
      </w:pPr>
      <w:r w:rsidRPr="00305215">
        <w:rPr>
          <w:rFonts w:cs="Arial"/>
          <w:b/>
          <w:bCs/>
          <w:noProof/>
          <w:szCs w:val="20"/>
        </w:rPr>
        <w:t xml:space="preserve">Adresa vyhlašovatele: </w:t>
      </w:r>
      <w:r w:rsidRPr="00305215">
        <w:rPr>
          <w:szCs w:val="20"/>
        </w:rPr>
        <w:t xml:space="preserve">Magistrát hl. m. Prahy, Mariánské nám. 2, 110 00 Praha 1 </w:t>
      </w:r>
      <w:r w:rsidRPr="00305215">
        <w:rPr>
          <w:rFonts w:cs="Arial"/>
          <w:b/>
          <w:bCs/>
          <w:noProof/>
          <w:szCs w:val="20"/>
        </w:rPr>
        <w:t xml:space="preserve"> </w:t>
      </w:r>
    </w:p>
    <w:p w14:paraId="77890D40" w14:textId="77777777" w:rsidR="007D1AEF" w:rsidRPr="00305215" w:rsidRDefault="007D1AEF" w:rsidP="007D1AEF">
      <w:pPr>
        <w:ind w:firstLine="362"/>
        <w:rPr>
          <w:rFonts w:cs="Arial"/>
          <w:b/>
          <w:bCs/>
          <w:noProof/>
          <w:szCs w:val="20"/>
        </w:rPr>
      </w:pPr>
      <w:r w:rsidRPr="00305215">
        <w:rPr>
          <w:rFonts w:cs="Arial"/>
          <w:b/>
          <w:bCs/>
          <w:noProof/>
          <w:szCs w:val="20"/>
        </w:rPr>
        <w:t xml:space="preserve">Kontaktní místo: </w:t>
      </w:r>
      <w:r w:rsidRPr="00305215">
        <w:rPr>
          <w:szCs w:val="20"/>
        </w:rPr>
        <w:t>Magistrát hl. m. Prahy, Jungmannova 35/29, 110 00 Praha 1</w:t>
      </w:r>
    </w:p>
    <w:p w14:paraId="5FCE3E2B" w14:textId="77777777" w:rsidR="007D1AEF" w:rsidRPr="00305215" w:rsidRDefault="007D1AEF" w:rsidP="007D1AEF">
      <w:pPr>
        <w:ind w:firstLine="360"/>
        <w:rPr>
          <w:rFonts w:cs="Arial"/>
          <w:b/>
          <w:bCs/>
          <w:noProof/>
          <w:szCs w:val="20"/>
        </w:rPr>
      </w:pPr>
    </w:p>
    <w:p w14:paraId="0633E372" w14:textId="77777777" w:rsidR="007D1AEF" w:rsidRPr="00305215" w:rsidRDefault="007D1AEF" w:rsidP="007D1AEF">
      <w:pPr>
        <w:ind w:firstLine="360"/>
        <w:rPr>
          <w:rFonts w:cs="Arial"/>
          <w:b/>
          <w:bCs/>
          <w:noProof/>
          <w:szCs w:val="20"/>
        </w:rPr>
      </w:pPr>
      <w:r w:rsidRPr="00305215">
        <w:rPr>
          <w:rFonts w:cs="Arial"/>
          <w:b/>
          <w:bCs/>
          <w:noProof/>
          <w:szCs w:val="20"/>
        </w:rPr>
        <w:t>Kontaktní osoby:</w:t>
      </w:r>
    </w:p>
    <w:p w14:paraId="0FA94E81" w14:textId="77777777" w:rsidR="007D1AEF" w:rsidRPr="00305215" w:rsidRDefault="007D1AEF" w:rsidP="007D1AEF">
      <w:pPr>
        <w:pStyle w:val="Zkladntext"/>
        <w:spacing w:after="0"/>
        <w:ind w:left="357"/>
        <w:rPr>
          <w:rStyle w:val="Siln"/>
          <w:b w:val="0"/>
        </w:rPr>
      </w:pPr>
      <w:r w:rsidRPr="00305215">
        <w:rPr>
          <w:szCs w:val="20"/>
        </w:rPr>
        <w:t xml:space="preserve">Ing. Tereza Fuka, e-mail: </w:t>
      </w:r>
      <w:hyperlink r:id="rId14" w:history="1">
        <w:r w:rsidRPr="00305215">
          <w:rPr>
            <w:rStyle w:val="Hypertextovodkaz"/>
            <w:szCs w:val="20"/>
          </w:rPr>
          <w:t>Tereza.Fuka@praha.eu</w:t>
        </w:r>
      </w:hyperlink>
      <w:r w:rsidRPr="00305215">
        <w:rPr>
          <w:szCs w:val="20"/>
        </w:rPr>
        <w:t xml:space="preserve">, tel.: </w:t>
      </w:r>
      <w:r w:rsidRPr="00305215">
        <w:rPr>
          <w:rStyle w:val="Siln"/>
          <w:b w:val="0"/>
        </w:rPr>
        <w:t>+420 236 00 2573</w:t>
      </w:r>
    </w:p>
    <w:p w14:paraId="6D356647" w14:textId="77777777" w:rsidR="007D1AEF" w:rsidRPr="00305215" w:rsidRDefault="007D1AEF" w:rsidP="007D1AEF">
      <w:pPr>
        <w:pStyle w:val="Zkladntext"/>
        <w:spacing w:after="0"/>
        <w:ind w:left="357"/>
        <w:rPr>
          <w:rStyle w:val="Siln"/>
          <w:b w:val="0"/>
        </w:rPr>
      </w:pPr>
      <w:r w:rsidRPr="00305215">
        <w:rPr>
          <w:rStyle w:val="Siln"/>
          <w:b w:val="0"/>
        </w:rPr>
        <w:t xml:space="preserve">Ing. Kateřina Skanderová, e-mail: </w:t>
      </w:r>
      <w:hyperlink r:id="rId15" w:history="1">
        <w:r w:rsidRPr="00305215">
          <w:rPr>
            <w:rStyle w:val="Hypertextovodkaz"/>
          </w:rPr>
          <w:t>Katerina.Skanderova@praha.eu</w:t>
        </w:r>
      </w:hyperlink>
      <w:r w:rsidRPr="00305215">
        <w:rPr>
          <w:rStyle w:val="Siln"/>
          <w:b w:val="0"/>
        </w:rPr>
        <w:t>, tel. +420 236 00 3980</w:t>
      </w:r>
    </w:p>
    <w:p w14:paraId="34A1B392" w14:textId="77777777" w:rsidR="007D1AEF" w:rsidRPr="00305215" w:rsidRDefault="007D1AEF" w:rsidP="00C7582D">
      <w:pPr>
        <w:pStyle w:val="Zkladntext"/>
        <w:spacing w:after="0"/>
        <w:ind w:left="357"/>
        <w:rPr>
          <w:rStyle w:val="Siln"/>
          <w:bCs w:val="0"/>
        </w:rPr>
      </w:pPr>
      <w:r w:rsidRPr="00305215">
        <w:rPr>
          <w:rStyle w:val="Siln"/>
          <w:b w:val="0"/>
        </w:rPr>
        <w:t xml:space="preserve">Ing. Eva Lepšová, e-mail: </w:t>
      </w:r>
      <w:hyperlink r:id="rId16" w:history="1">
        <w:r w:rsidRPr="00305215">
          <w:rPr>
            <w:rStyle w:val="Hypertextovodkaz"/>
          </w:rPr>
          <w:t>Eva.Lepsova@praha.eu</w:t>
        </w:r>
      </w:hyperlink>
      <w:r w:rsidRPr="00305215">
        <w:rPr>
          <w:rStyle w:val="Siln"/>
          <w:b w:val="0"/>
        </w:rPr>
        <w:t>, tel. +420 236 00 3932</w:t>
      </w:r>
    </w:p>
    <w:p w14:paraId="3A72B298" w14:textId="77777777" w:rsidR="00C7582D" w:rsidRPr="00305215" w:rsidRDefault="00C7582D" w:rsidP="00C7582D">
      <w:pPr>
        <w:pStyle w:val="Zkladntext"/>
        <w:spacing w:after="0"/>
        <w:ind w:left="357"/>
        <w:rPr>
          <w:b/>
        </w:rPr>
      </w:pPr>
    </w:p>
    <w:p w14:paraId="5D3A40CB" w14:textId="2D128836" w:rsidR="00C7582D" w:rsidRPr="00305215" w:rsidRDefault="007D1AEF" w:rsidP="00CB6CCC">
      <w:pPr>
        <w:ind w:firstLine="360"/>
        <w:rPr>
          <w:rFonts w:cs="Arial"/>
          <w:bCs/>
          <w:noProof/>
        </w:rPr>
      </w:pPr>
      <w:r w:rsidRPr="00305215">
        <w:rPr>
          <w:rFonts w:cs="Arial"/>
          <w:b/>
          <w:bCs/>
          <w:noProof/>
          <w:szCs w:val="20"/>
        </w:rPr>
        <w:t xml:space="preserve">Webové stránky programu: </w:t>
      </w:r>
      <w:hyperlink r:id="rId17" w:history="1">
        <w:r w:rsidR="00D50408" w:rsidRPr="00B0363C">
          <w:rPr>
            <w:rStyle w:val="Hypertextovodkaz"/>
          </w:rPr>
          <w:t>www.penizeproprahu.cz</w:t>
        </w:r>
      </w:hyperlink>
      <w:r w:rsidR="00D50408">
        <w:t xml:space="preserve"> </w:t>
      </w:r>
    </w:p>
    <w:p w14:paraId="017BDF6A" w14:textId="77777777" w:rsidR="00CB6CCC" w:rsidRPr="00305215" w:rsidRDefault="00CB6CCC" w:rsidP="00CB6CCC">
      <w:pPr>
        <w:pStyle w:val="Zkladntext"/>
      </w:pPr>
    </w:p>
    <w:p w14:paraId="21A34450" w14:textId="4C911698" w:rsidR="007034D0" w:rsidRPr="00305215" w:rsidRDefault="007034D0" w:rsidP="007034D0">
      <w:pPr>
        <w:pStyle w:val="Zkladntext"/>
        <w:spacing w:after="0"/>
        <w:ind w:left="357"/>
        <w:rPr>
          <w:b/>
        </w:rPr>
      </w:pPr>
      <w:r w:rsidRPr="00305215">
        <w:rPr>
          <w:b/>
        </w:rPr>
        <w:t>Nositel integrované strategie – manažer ITI</w:t>
      </w:r>
      <w:r w:rsidR="001A3649" w:rsidRPr="00305215">
        <w:rPr>
          <w:b/>
        </w:rPr>
        <w:t xml:space="preserve"> (Institut plánování a rozvoje hl. m. Prahy)</w:t>
      </w:r>
      <w:r w:rsidRPr="00305215">
        <w:rPr>
          <w:b/>
        </w:rPr>
        <w:t>:</w:t>
      </w:r>
    </w:p>
    <w:p w14:paraId="2EBC91A6" w14:textId="77777777" w:rsidR="007034D0" w:rsidRPr="00305215" w:rsidRDefault="007034D0" w:rsidP="007034D0">
      <w:pPr>
        <w:pStyle w:val="Zkladntext"/>
        <w:spacing w:after="0"/>
        <w:ind w:left="357"/>
      </w:pPr>
      <w:r w:rsidRPr="00305215">
        <w:t xml:space="preserve">Ing. Lenka Kriegischová, e-mail: </w:t>
      </w:r>
      <w:hyperlink r:id="rId18" w:history="1">
        <w:r w:rsidRPr="00305215">
          <w:rPr>
            <w:rStyle w:val="Hypertextovodkaz"/>
          </w:rPr>
          <w:t>kriegischova@ipr.praha.eu</w:t>
        </w:r>
      </w:hyperlink>
      <w:r w:rsidRPr="00305215">
        <w:t>, tel. +420 236 00 4631</w:t>
      </w:r>
    </w:p>
    <w:p w14:paraId="27A93D32" w14:textId="77777777" w:rsidR="007034D0" w:rsidRPr="00305215" w:rsidRDefault="007034D0" w:rsidP="007034D0">
      <w:pPr>
        <w:pStyle w:val="Zkladntext"/>
        <w:spacing w:after="0"/>
        <w:ind w:left="357"/>
      </w:pPr>
    </w:p>
    <w:p w14:paraId="0F8074A7" w14:textId="74EA5D09" w:rsidR="007034D0" w:rsidRPr="00305215" w:rsidRDefault="007034D0" w:rsidP="007034D0">
      <w:pPr>
        <w:pStyle w:val="Zkladntext"/>
        <w:spacing w:after="0"/>
        <w:ind w:left="357"/>
      </w:pPr>
      <w:r w:rsidRPr="00305215">
        <w:rPr>
          <w:b/>
        </w:rPr>
        <w:t>Webové stránky ITI:</w:t>
      </w:r>
      <w:r w:rsidRPr="00305215">
        <w:t xml:space="preserve"> </w:t>
      </w:r>
      <w:hyperlink r:id="rId19" w:history="1">
        <w:r w:rsidR="00C94B94" w:rsidRPr="00305215">
          <w:rPr>
            <w:rStyle w:val="Hypertextovodkaz"/>
          </w:rPr>
          <w:t>www.itipraha.eu</w:t>
        </w:r>
      </w:hyperlink>
    </w:p>
    <w:p w14:paraId="782E1509" w14:textId="77777777" w:rsidR="009C008D" w:rsidRPr="00305215" w:rsidRDefault="009C008D" w:rsidP="00C76163">
      <w:pPr>
        <w:pStyle w:val="Odstavecseseznamem"/>
        <w:spacing w:line="360" w:lineRule="auto"/>
        <w:ind w:left="360"/>
        <w:rPr>
          <w:rStyle w:val="Hypertextovodkaz"/>
          <w:b/>
          <w:szCs w:val="20"/>
        </w:rPr>
      </w:pPr>
    </w:p>
    <w:p w14:paraId="5985E3A1" w14:textId="77777777" w:rsidR="00D45C20" w:rsidRPr="00305215" w:rsidRDefault="00D45C20" w:rsidP="001F365E">
      <w:pPr>
        <w:pStyle w:val="Odstavecseseznamem"/>
        <w:numPr>
          <w:ilvl w:val="0"/>
          <w:numId w:val="2"/>
        </w:numPr>
        <w:spacing w:line="360" w:lineRule="auto"/>
        <w:rPr>
          <w:rFonts w:cs="Arial"/>
          <w:b/>
          <w:sz w:val="22"/>
          <w:u w:val="single"/>
        </w:rPr>
      </w:pPr>
      <w:r w:rsidRPr="00305215">
        <w:rPr>
          <w:rFonts w:cs="Arial"/>
          <w:b/>
          <w:sz w:val="22"/>
          <w:u w:val="single"/>
        </w:rPr>
        <w:t>Semináře pro žadatele</w:t>
      </w:r>
    </w:p>
    <w:p w14:paraId="007A7F1E" w14:textId="344E8864" w:rsidR="00375FA7" w:rsidRPr="00305215" w:rsidRDefault="00375FA7" w:rsidP="00375FA7">
      <w:pPr>
        <w:pStyle w:val="Odstavecseseznamem"/>
        <w:ind w:left="360"/>
        <w:rPr>
          <w:szCs w:val="20"/>
        </w:rPr>
      </w:pPr>
      <w:r w:rsidRPr="00305215">
        <w:rPr>
          <w:szCs w:val="20"/>
        </w:rPr>
        <w:t xml:space="preserve">Odbor evropských fondů Magistrátu hl. m. Prahy zajišťuje pro žadatele semináře týkající se přípravy žádostí o podporu OP PPR. Termíny, další podrobnosti o seminářích a možnost přihlášení budou k dispozici na </w:t>
      </w:r>
      <w:hyperlink r:id="rId20" w:history="1">
        <w:r w:rsidR="00D50408" w:rsidRPr="00B0363C">
          <w:rPr>
            <w:rStyle w:val="Hypertextovodkaz"/>
          </w:rPr>
          <w:t>www.penizeproprahu.cz</w:t>
        </w:r>
      </w:hyperlink>
      <w:r w:rsidRPr="00305215">
        <w:rPr>
          <w:szCs w:val="20"/>
        </w:rPr>
        <w:t>.</w:t>
      </w:r>
    </w:p>
    <w:p w14:paraId="766B5D63" w14:textId="09B63731" w:rsidR="00B935B0" w:rsidRPr="00305215" w:rsidRDefault="00B935B0">
      <w:pPr>
        <w:spacing w:after="200" w:line="276" w:lineRule="auto"/>
        <w:jc w:val="left"/>
        <w:rPr>
          <w:rFonts w:cs="Arial"/>
          <w:b/>
          <w:sz w:val="22"/>
        </w:rPr>
      </w:pPr>
      <w:r w:rsidRPr="00305215">
        <w:rPr>
          <w:rFonts w:cs="Arial"/>
          <w:b/>
          <w:sz w:val="22"/>
        </w:rPr>
        <w:br w:type="page"/>
      </w:r>
    </w:p>
    <w:p w14:paraId="2E6FF8F1" w14:textId="77777777" w:rsidR="00D45C20" w:rsidRPr="00305215" w:rsidRDefault="00D45C20" w:rsidP="001F365E">
      <w:pPr>
        <w:pStyle w:val="Odstavecseseznamem"/>
        <w:spacing w:line="360" w:lineRule="auto"/>
        <w:ind w:left="360"/>
        <w:rPr>
          <w:rFonts w:cs="Arial"/>
          <w:b/>
          <w:sz w:val="22"/>
        </w:rPr>
      </w:pPr>
    </w:p>
    <w:p w14:paraId="0FEAA7B7"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 xml:space="preserve">Informace o způsobu </w:t>
      </w:r>
      <w:r w:rsidR="000C2117" w:rsidRPr="00305215">
        <w:rPr>
          <w:rFonts w:cs="Arial"/>
          <w:b/>
          <w:bCs/>
          <w:sz w:val="22"/>
          <w:szCs w:val="28"/>
          <w:u w:val="single"/>
        </w:rPr>
        <w:t>schvalování</w:t>
      </w:r>
      <w:r w:rsidRPr="00305215">
        <w:rPr>
          <w:rFonts w:cs="Arial"/>
          <w:b/>
          <w:bCs/>
          <w:sz w:val="22"/>
          <w:szCs w:val="28"/>
          <w:u w:val="single"/>
        </w:rPr>
        <w:t xml:space="preserve"> projektů</w:t>
      </w:r>
    </w:p>
    <w:p w14:paraId="3830C32A" w14:textId="77777777" w:rsidR="00D0372C" w:rsidRPr="00305215" w:rsidRDefault="00D45C20" w:rsidP="004A42AD">
      <w:pPr>
        <w:pStyle w:val="txt"/>
        <w:numPr>
          <w:ilvl w:val="1"/>
          <w:numId w:val="2"/>
        </w:numPr>
        <w:spacing w:after="0" w:line="360" w:lineRule="auto"/>
        <w:ind w:left="993" w:hanging="631"/>
        <w:rPr>
          <w:rFonts w:cs="Arial"/>
          <w:b/>
          <w:bCs/>
          <w:sz w:val="20"/>
        </w:rPr>
      </w:pPr>
      <w:r w:rsidRPr="00305215">
        <w:rPr>
          <w:rFonts w:cs="Arial"/>
          <w:b/>
          <w:bCs/>
          <w:sz w:val="20"/>
        </w:rPr>
        <w:t>Po</w:t>
      </w:r>
      <w:r w:rsidR="00375FA7" w:rsidRPr="00305215">
        <w:rPr>
          <w:rFonts w:cs="Arial"/>
          <w:b/>
          <w:bCs/>
          <w:sz w:val="20"/>
        </w:rPr>
        <w:t xml:space="preserve">pis </w:t>
      </w:r>
      <w:r w:rsidR="000C2117" w:rsidRPr="00305215">
        <w:rPr>
          <w:rFonts w:cs="Arial"/>
          <w:b/>
          <w:bCs/>
          <w:sz w:val="20"/>
        </w:rPr>
        <w:t>schvalování</w:t>
      </w:r>
      <w:r w:rsidR="00375FA7" w:rsidRPr="00305215">
        <w:rPr>
          <w:rFonts w:cs="Arial"/>
          <w:b/>
          <w:bCs/>
          <w:sz w:val="20"/>
        </w:rPr>
        <w:t xml:space="preserve"> projektů: </w:t>
      </w:r>
      <w:r w:rsidR="00375FA7" w:rsidRPr="00305215">
        <w:rPr>
          <w:sz w:val="20"/>
          <w:szCs w:val="20"/>
        </w:rPr>
        <w:t xml:space="preserve">Informace o způsobu </w:t>
      </w:r>
      <w:r w:rsidR="008A3A6C" w:rsidRPr="00305215">
        <w:rPr>
          <w:sz w:val="20"/>
          <w:szCs w:val="20"/>
        </w:rPr>
        <w:t>schvalování</w:t>
      </w:r>
      <w:r w:rsidR="00375FA7" w:rsidRPr="00305215">
        <w:rPr>
          <w:sz w:val="20"/>
          <w:szCs w:val="20"/>
        </w:rPr>
        <w:t xml:space="preserve"> projektů jsou obsaženy v kapitole 10. Pravidel pro žadatele a příjemce OP PPR (viz bod 1</w:t>
      </w:r>
      <w:r w:rsidR="00635B2C" w:rsidRPr="00305215">
        <w:rPr>
          <w:sz w:val="20"/>
          <w:szCs w:val="20"/>
        </w:rPr>
        <w:t>1</w:t>
      </w:r>
      <w:r w:rsidR="00375FA7" w:rsidRPr="00305215">
        <w:rPr>
          <w:sz w:val="20"/>
          <w:szCs w:val="20"/>
        </w:rPr>
        <w:t>.1. výzvy).</w:t>
      </w:r>
    </w:p>
    <w:p w14:paraId="41BBF820" w14:textId="77777777" w:rsidR="004A42AD" w:rsidRPr="00305215" w:rsidRDefault="004A42AD" w:rsidP="004A42AD">
      <w:pPr>
        <w:pStyle w:val="txt"/>
        <w:spacing w:after="0" w:line="360" w:lineRule="auto"/>
        <w:ind w:left="993" w:firstLine="0"/>
        <w:rPr>
          <w:rFonts w:cs="Arial"/>
          <w:b/>
          <w:bCs/>
          <w:sz w:val="20"/>
        </w:rPr>
      </w:pPr>
    </w:p>
    <w:p w14:paraId="632AC39B" w14:textId="77777777" w:rsidR="00635B2C" w:rsidRPr="00305215" w:rsidRDefault="00635B2C" w:rsidP="00635B2C">
      <w:pPr>
        <w:numPr>
          <w:ilvl w:val="0"/>
          <w:numId w:val="2"/>
        </w:numPr>
        <w:spacing w:line="360" w:lineRule="auto"/>
        <w:rPr>
          <w:rFonts w:cs="Arial"/>
          <w:b/>
          <w:bCs/>
          <w:sz w:val="22"/>
          <w:szCs w:val="28"/>
          <w:u w:val="single"/>
        </w:rPr>
      </w:pPr>
      <w:r w:rsidRPr="00305215">
        <w:rPr>
          <w:rFonts w:cs="Arial"/>
          <w:b/>
          <w:bCs/>
          <w:sz w:val="22"/>
          <w:szCs w:val="28"/>
          <w:u w:val="single"/>
        </w:rPr>
        <w:t xml:space="preserve">Postup pro výzvy s dílčími alokacemi </w:t>
      </w:r>
    </w:p>
    <w:p w14:paraId="7A9F054B" w14:textId="77777777" w:rsidR="00635B2C" w:rsidRPr="00305215" w:rsidRDefault="00635B2C" w:rsidP="00635B2C">
      <w:pPr>
        <w:pStyle w:val="txt"/>
        <w:numPr>
          <w:ilvl w:val="1"/>
          <w:numId w:val="2"/>
        </w:numPr>
        <w:spacing w:after="0" w:line="360" w:lineRule="auto"/>
        <w:ind w:left="993" w:hanging="631"/>
        <w:rPr>
          <w:rFonts w:cs="Arial"/>
          <w:b/>
          <w:bCs/>
          <w:sz w:val="20"/>
          <w:szCs w:val="22"/>
        </w:rPr>
      </w:pPr>
      <w:r w:rsidRPr="00305215">
        <w:rPr>
          <w:rFonts w:cs="Arial"/>
          <w:b/>
          <w:bCs/>
          <w:sz w:val="20"/>
          <w:szCs w:val="22"/>
        </w:rPr>
        <w:t>Informace o postupu ŘO v případě, kdy alokaci vyčleněná pro určitou oblast podpory ve výzvě nelze přidělit na úspěšné projekty v plném rozsahu:</w:t>
      </w:r>
    </w:p>
    <w:p w14:paraId="419B1558" w14:textId="77777777" w:rsidR="00635B2C" w:rsidRPr="00305215" w:rsidRDefault="00635B2C" w:rsidP="00C02C81">
      <w:pPr>
        <w:pStyle w:val="txt"/>
        <w:spacing w:before="120"/>
        <w:ind w:left="426" w:firstLine="0"/>
        <w:rPr>
          <w:rFonts w:cs="Arial"/>
          <w:bCs/>
          <w:sz w:val="20"/>
          <w:szCs w:val="22"/>
        </w:rPr>
      </w:pPr>
      <w:r w:rsidRPr="00305215">
        <w:rPr>
          <w:rFonts w:cs="Arial"/>
          <w:bCs/>
          <w:sz w:val="20"/>
          <w:szCs w:val="22"/>
        </w:rPr>
        <w:t xml:space="preserve">Pro tuto výzvu je alokace rozdělena na </w:t>
      </w:r>
      <w:r w:rsidR="00B15CD1" w:rsidRPr="00305215">
        <w:rPr>
          <w:rFonts w:cs="Arial"/>
          <w:bCs/>
          <w:sz w:val="20"/>
          <w:szCs w:val="22"/>
        </w:rPr>
        <w:t>2 skupiny aktivit (viz bod 3.1</w:t>
      </w:r>
      <w:r w:rsidRPr="00305215">
        <w:rPr>
          <w:rFonts w:cs="Arial"/>
          <w:bCs/>
          <w:sz w:val="20"/>
          <w:szCs w:val="22"/>
        </w:rPr>
        <w:t xml:space="preserve">. výzvy). Alokace výzvy byla rozdělena s ohledem na plánované cíle dané investiční priority, dále s ohledem na naplnění hodnot indikátorů výstupů a absorpční kapacitu žadatelů.  </w:t>
      </w:r>
    </w:p>
    <w:p w14:paraId="758E97A0" w14:textId="77777777" w:rsidR="00635B2C" w:rsidRPr="00305215" w:rsidRDefault="00635B2C" w:rsidP="00C02C81">
      <w:pPr>
        <w:pStyle w:val="txt"/>
        <w:spacing w:after="0"/>
        <w:ind w:left="426" w:firstLine="0"/>
        <w:rPr>
          <w:rFonts w:cs="Arial"/>
          <w:bCs/>
          <w:sz w:val="20"/>
          <w:szCs w:val="22"/>
        </w:rPr>
      </w:pPr>
      <w:r w:rsidRPr="00305215">
        <w:rPr>
          <w:rFonts w:cs="Arial"/>
          <w:bCs/>
          <w:sz w:val="20"/>
          <w:szCs w:val="22"/>
        </w:rPr>
        <w:t>V případě, že dílčí část alokace vyčleněná na danou skupinu aktivit nebude rozdělena, může být rozhodnuto o přidělení zůstatku dílčí alokace na úspěšné</w:t>
      </w:r>
      <w:r w:rsidR="00390889" w:rsidRPr="00305215">
        <w:rPr>
          <w:rFonts w:cs="Arial"/>
          <w:bCs/>
          <w:sz w:val="20"/>
          <w:szCs w:val="22"/>
        </w:rPr>
        <w:t xml:space="preserve"> projekty ve druhé skupině aktivit.</w:t>
      </w:r>
    </w:p>
    <w:p w14:paraId="08369265" w14:textId="77777777" w:rsidR="00CB6CCC" w:rsidRPr="00305215" w:rsidRDefault="00CB6CCC" w:rsidP="00635B2C">
      <w:pPr>
        <w:pStyle w:val="txt"/>
        <w:spacing w:after="0"/>
        <w:ind w:firstLine="0"/>
        <w:rPr>
          <w:rFonts w:cs="Arial"/>
          <w:bCs/>
          <w:sz w:val="20"/>
          <w:szCs w:val="22"/>
        </w:rPr>
      </w:pPr>
    </w:p>
    <w:p w14:paraId="309AD89A" w14:textId="77777777" w:rsidR="00CB6CCC" w:rsidRPr="00305215" w:rsidRDefault="00CB6CCC" w:rsidP="00635B2C">
      <w:pPr>
        <w:pStyle w:val="txt"/>
        <w:spacing w:after="0"/>
        <w:ind w:firstLine="0"/>
        <w:rPr>
          <w:rFonts w:cs="Arial"/>
          <w:bCs/>
          <w:sz w:val="20"/>
          <w:szCs w:val="22"/>
        </w:rPr>
      </w:pPr>
    </w:p>
    <w:p w14:paraId="2BFA988B"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Přehled navazující dokumentace</w:t>
      </w:r>
    </w:p>
    <w:p w14:paraId="47BAD58D" w14:textId="77777777" w:rsidR="001219A9" w:rsidRPr="00305215" w:rsidRDefault="00D45C20" w:rsidP="00C7582D">
      <w:pPr>
        <w:pStyle w:val="txt"/>
        <w:numPr>
          <w:ilvl w:val="1"/>
          <w:numId w:val="2"/>
        </w:numPr>
        <w:spacing w:after="0" w:line="360" w:lineRule="auto"/>
        <w:ind w:left="993" w:hanging="631"/>
        <w:rPr>
          <w:rFonts w:cs="Arial"/>
          <w:b/>
          <w:bCs/>
          <w:sz w:val="20"/>
        </w:rPr>
      </w:pPr>
      <w:r w:rsidRPr="00305215">
        <w:rPr>
          <w:rFonts w:cs="Arial"/>
          <w:b/>
          <w:bCs/>
          <w:sz w:val="20"/>
        </w:rPr>
        <w:t>Odkaz na pravidla pro žadatele a příjemce</w:t>
      </w:r>
      <w:r w:rsidR="001219A9" w:rsidRPr="00305215">
        <w:rPr>
          <w:rFonts w:cs="Arial"/>
          <w:b/>
          <w:bCs/>
          <w:sz w:val="20"/>
        </w:rPr>
        <w:t>:</w:t>
      </w:r>
      <w:r w:rsidRPr="00305215">
        <w:rPr>
          <w:rFonts w:cs="Arial"/>
          <w:b/>
          <w:bCs/>
          <w:sz w:val="20"/>
        </w:rPr>
        <w:t xml:space="preserve"> </w:t>
      </w:r>
    </w:p>
    <w:p w14:paraId="659F5FE2" w14:textId="42E49C7A" w:rsidR="00D45C20" w:rsidRPr="00305215" w:rsidRDefault="001219A9" w:rsidP="00C7582D">
      <w:pPr>
        <w:pStyle w:val="Odstavecseseznamem"/>
        <w:ind w:left="360"/>
        <w:rPr>
          <w:rStyle w:val="Hypertextovodkaz"/>
          <w:rFonts w:cs="Arial"/>
          <w:bCs/>
          <w:szCs w:val="20"/>
        </w:rPr>
      </w:pPr>
      <w:r w:rsidRPr="00305215">
        <w:rPr>
          <w:rFonts w:cs="Arial"/>
          <w:bCs/>
          <w:szCs w:val="20"/>
        </w:rPr>
        <w:t>Žádosti o podporu a následná realizace podpořených projektů se řídí pravidly, která jsou obsahem dokumentu Pravidla pro žadatele a příjemce OP PPR. Tato Pravidla jsou k dispozici na webových stránkách</w:t>
      </w:r>
      <w:r w:rsidR="00E7236B">
        <w:rPr>
          <w:rFonts w:cs="Arial"/>
          <w:bCs/>
          <w:szCs w:val="20"/>
        </w:rPr>
        <w:t xml:space="preserve"> </w:t>
      </w:r>
      <w:hyperlink r:id="rId21" w:history="1">
        <w:r w:rsidR="00E7236B" w:rsidRPr="00B0363C">
          <w:rPr>
            <w:rStyle w:val="Hypertextovodkaz"/>
            <w:rFonts w:cs="Arial"/>
            <w:bCs/>
            <w:szCs w:val="20"/>
          </w:rPr>
          <w:t>www.penizeproprahu.cz</w:t>
        </w:r>
      </w:hyperlink>
      <w:r w:rsidR="00E7236B">
        <w:rPr>
          <w:rFonts w:cs="Arial"/>
          <w:bCs/>
          <w:szCs w:val="20"/>
        </w:rPr>
        <w:t>.</w:t>
      </w:r>
      <w:r w:rsidR="00E7236B">
        <w:rPr>
          <w:rStyle w:val="Hypertextovodkaz"/>
          <w:rFonts w:cs="Arial"/>
          <w:bCs/>
          <w:szCs w:val="20"/>
        </w:rPr>
        <w:t xml:space="preserve"> </w:t>
      </w:r>
    </w:p>
    <w:p w14:paraId="2E2E3CE4" w14:textId="77777777" w:rsidR="001219A9" w:rsidRPr="00305215" w:rsidRDefault="001219A9" w:rsidP="001219A9">
      <w:pPr>
        <w:pStyle w:val="txt"/>
        <w:spacing w:after="0"/>
        <w:ind w:left="221" w:firstLine="0"/>
        <w:rPr>
          <w:rStyle w:val="Hypertextovodkaz"/>
          <w:rFonts w:cs="Arial"/>
          <w:bCs/>
          <w:sz w:val="20"/>
          <w:szCs w:val="20"/>
        </w:rPr>
      </w:pPr>
    </w:p>
    <w:p w14:paraId="3EE2BDDC" w14:textId="77777777" w:rsidR="001219A9" w:rsidRPr="00305215" w:rsidRDefault="001219A9" w:rsidP="00CB394C">
      <w:pPr>
        <w:pStyle w:val="Odstavecseseznamem"/>
        <w:ind w:left="360"/>
        <w:rPr>
          <w:rFonts w:cs="Arial"/>
          <w:bCs/>
          <w:szCs w:val="20"/>
        </w:rPr>
      </w:pPr>
      <w:r w:rsidRPr="00305215">
        <w:rPr>
          <w:rFonts w:cs="Arial"/>
          <w:bCs/>
          <w:szCs w:val="20"/>
        </w:rPr>
        <w:t>Řídicí orgán OP PPR upozorňuje, že je oprávněn pravidla v průběhu této výzvy i během realizace projektů podpořených v rámci této výzvy aktualizovat. Aktuální verze těchto dokumentů jsou vždy k dispozici na výše uvedených webových stránkách. Aktualizace pravidel není změnou této výzvy.</w:t>
      </w:r>
    </w:p>
    <w:p w14:paraId="1B9A8242" w14:textId="77777777" w:rsidR="00886679" w:rsidRPr="00305215" w:rsidRDefault="00886679" w:rsidP="00CB394C">
      <w:pPr>
        <w:pStyle w:val="Odstavecseseznamem"/>
        <w:ind w:left="360"/>
        <w:rPr>
          <w:rFonts w:cs="Arial"/>
          <w:bCs/>
          <w:sz w:val="14"/>
          <w:szCs w:val="20"/>
        </w:rPr>
      </w:pPr>
    </w:p>
    <w:p w14:paraId="1183CF95" w14:textId="77777777" w:rsidR="00D45C20" w:rsidRPr="00305215" w:rsidRDefault="00D45C20" w:rsidP="00886679">
      <w:pPr>
        <w:pStyle w:val="txt"/>
        <w:numPr>
          <w:ilvl w:val="1"/>
          <w:numId w:val="2"/>
        </w:numPr>
        <w:spacing w:after="0" w:line="360" w:lineRule="auto"/>
        <w:ind w:left="993" w:hanging="631"/>
        <w:rPr>
          <w:rFonts w:cs="Arial"/>
          <w:b/>
          <w:bCs/>
          <w:sz w:val="20"/>
        </w:rPr>
      </w:pPr>
      <w:r w:rsidRPr="00305215">
        <w:rPr>
          <w:rFonts w:cs="Arial"/>
          <w:b/>
          <w:bCs/>
          <w:sz w:val="20"/>
          <w:szCs w:val="20"/>
        </w:rPr>
        <w:t>Odkaz na vzor</w:t>
      </w:r>
      <w:r w:rsidRPr="00305215">
        <w:rPr>
          <w:rFonts w:cs="Arial"/>
          <w:b/>
          <w:bCs/>
          <w:sz w:val="20"/>
        </w:rPr>
        <w:t xml:space="preserve"> právního aktu o poskytnutí podpory:</w:t>
      </w:r>
    </w:p>
    <w:p w14:paraId="08BF440D" w14:textId="28247F7B" w:rsidR="004333F0" w:rsidRPr="00305215" w:rsidRDefault="001219A9" w:rsidP="00886679">
      <w:pPr>
        <w:pStyle w:val="Odstavecseseznamem"/>
        <w:ind w:left="360"/>
      </w:pPr>
      <w:r w:rsidRPr="00305215">
        <w:rPr>
          <w:rFonts w:cs="Arial"/>
          <w:bCs/>
          <w:szCs w:val="20"/>
        </w:rPr>
        <w:t xml:space="preserve">Vzor smlouvy o financování je k dispozici na </w:t>
      </w:r>
      <w:hyperlink r:id="rId22" w:history="1">
        <w:r w:rsidR="00E7236B" w:rsidRPr="00B0363C">
          <w:rPr>
            <w:rStyle w:val="Hypertextovodkaz"/>
          </w:rPr>
          <w:t>www.penizeproprahu.cz</w:t>
        </w:r>
      </w:hyperlink>
      <w:r w:rsidRPr="00305215">
        <w:t>.</w:t>
      </w:r>
    </w:p>
    <w:p w14:paraId="2CA24DB0" w14:textId="77777777" w:rsidR="00886679" w:rsidRPr="00305215" w:rsidRDefault="00886679" w:rsidP="00886679">
      <w:pPr>
        <w:pStyle w:val="Odstavecseseznamem"/>
        <w:ind w:left="360"/>
        <w:rPr>
          <w:rFonts w:cs="Arial"/>
          <w:bCs/>
          <w:sz w:val="14"/>
          <w:szCs w:val="20"/>
        </w:rPr>
      </w:pPr>
    </w:p>
    <w:p w14:paraId="698B1DCB" w14:textId="77777777" w:rsidR="00D45C20" w:rsidRPr="00305215" w:rsidRDefault="00D45C20" w:rsidP="00886679">
      <w:pPr>
        <w:pStyle w:val="txt"/>
        <w:numPr>
          <w:ilvl w:val="1"/>
          <w:numId w:val="2"/>
        </w:numPr>
        <w:spacing w:after="0" w:line="360" w:lineRule="auto"/>
        <w:ind w:left="993" w:hanging="631"/>
        <w:rPr>
          <w:rFonts w:cs="Arial"/>
          <w:b/>
          <w:bCs/>
          <w:sz w:val="20"/>
          <w:szCs w:val="20"/>
        </w:rPr>
      </w:pPr>
      <w:r w:rsidRPr="00305215">
        <w:rPr>
          <w:rFonts w:cs="Arial"/>
          <w:b/>
          <w:bCs/>
          <w:sz w:val="20"/>
          <w:szCs w:val="20"/>
        </w:rPr>
        <w:t>Odkaz na případné další relevantní dokumenty:</w:t>
      </w:r>
    </w:p>
    <w:p w14:paraId="1902F22E" w14:textId="5134815E" w:rsidR="00DE27C1" w:rsidRPr="00305215" w:rsidRDefault="00DE27C1" w:rsidP="00886679">
      <w:pPr>
        <w:pStyle w:val="Odstavecseseznamem"/>
        <w:ind w:left="360"/>
        <w:rPr>
          <w:rFonts w:cs="Arial"/>
          <w:bCs/>
          <w:szCs w:val="20"/>
        </w:rPr>
      </w:pPr>
      <w:r w:rsidRPr="00305215">
        <w:rPr>
          <w:rFonts w:cs="Arial"/>
          <w:bCs/>
          <w:szCs w:val="20"/>
        </w:rPr>
        <w:t xml:space="preserve">Na </w:t>
      </w:r>
      <w:r w:rsidR="001F7C12" w:rsidRPr="001F7C12">
        <w:t>www.penizeproprahu.cz</w:t>
      </w:r>
      <w:r w:rsidRPr="00305215">
        <w:rPr>
          <w:rFonts w:cs="Arial"/>
          <w:bCs/>
          <w:szCs w:val="20"/>
        </w:rPr>
        <w:t xml:space="preserve"> jsou v sekci Dokumenty k dispozici tyto dokumenty: Kritéria pro hodnocení a výběr projektů, Příručka pro hodnotitele, Metodická příručka Studie proveditelnosti pro OP PPR, který obsahuje pokyny pro zpracování povinné přílohy Studie proveditelnosti a závazné vzory žádosti o podporu a povinných příloh žádosti o podporu.</w:t>
      </w:r>
    </w:p>
    <w:p w14:paraId="211184BD" w14:textId="77777777" w:rsidR="001219A9" w:rsidRPr="00305215" w:rsidRDefault="001219A9" w:rsidP="001219A9">
      <w:pPr>
        <w:pStyle w:val="txt"/>
        <w:spacing w:before="120" w:after="0" w:line="360" w:lineRule="auto"/>
        <w:ind w:left="221" w:firstLine="0"/>
        <w:rPr>
          <w:rFonts w:cs="Arial"/>
          <w:b/>
          <w:bCs/>
          <w:sz w:val="20"/>
          <w:szCs w:val="20"/>
        </w:rPr>
      </w:pPr>
    </w:p>
    <w:p w14:paraId="381DF8B7"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Pravidla pro provádění změn již vyhlášené výzvy</w:t>
      </w:r>
    </w:p>
    <w:p w14:paraId="70DB44D7" w14:textId="77777777" w:rsidR="009814CB" w:rsidRPr="00305215" w:rsidRDefault="009814CB" w:rsidP="009814CB">
      <w:pPr>
        <w:pStyle w:val="Zkladntext"/>
        <w:ind w:left="360"/>
        <w:rPr>
          <w:szCs w:val="20"/>
        </w:rPr>
      </w:pPr>
      <w:r w:rsidRPr="00305215">
        <w:rPr>
          <w:szCs w:val="20"/>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26ECED6F" w14:textId="77777777" w:rsidR="009814CB" w:rsidRPr="00305215" w:rsidRDefault="009814CB" w:rsidP="009814CB">
      <w:pPr>
        <w:pStyle w:val="Zkladntext"/>
        <w:ind w:left="360"/>
        <w:rPr>
          <w:szCs w:val="20"/>
        </w:rPr>
      </w:pPr>
      <w:r w:rsidRPr="00305215">
        <w:rPr>
          <w:szCs w:val="20"/>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6A5D8294" w14:textId="284BB17A" w:rsidR="009814CB" w:rsidRPr="00305215" w:rsidRDefault="009814CB" w:rsidP="009814CB">
      <w:pPr>
        <w:pStyle w:val="Zkladntext"/>
        <w:ind w:left="360"/>
        <w:rPr>
          <w:szCs w:val="20"/>
        </w:rPr>
      </w:pPr>
      <w:r w:rsidRPr="00305215">
        <w:rPr>
          <w:szCs w:val="20"/>
        </w:rPr>
        <w:t xml:space="preserve">Případné změny zadává ŘO po jejich schválení Radou hl. m. Prahy do MS2014+. Změny výzvy budou zveřejněny na webových stránkách Magistrátu hl. m. Prahy u vyhlášené výzvy na odkaze </w:t>
      </w:r>
      <w:r w:rsidR="001F7C12" w:rsidRPr="001F7C12">
        <w:rPr>
          <w:szCs w:val="20"/>
        </w:rPr>
        <w:t>www.penizeproprahu.cz</w:t>
      </w:r>
      <w:r w:rsidRPr="00305215">
        <w:rPr>
          <w:szCs w:val="20"/>
        </w:rPr>
        <w:t>. Žadatelé (tj. subjekty, které mají v da</w:t>
      </w:r>
      <w:r w:rsidR="00CE7F8D" w:rsidRPr="00305215">
        <w:rPr>
          <w:szCs w:val="20"/>
        </w:rPr>
        <w:t>né výzvě rozpracovanou žádost o </w:t>
      </w:r>
      <w:r w:rsidRPr="00305215">
        <w:rPr>
          <w:szCs w:val="20"/>
        </w:rPr>
        <w:t>podporu) budou informováni o zveřejnění změny výzvy prostřednictvím interní depeše zaslané přes IS KP14+.</w:t>
      </w:r>
    </w:p>
    <w:p w14:paraId="656F4514" w14:textId="77777777" w:rsidR="00B935B0" w:rsidRPr="00305215" w:rsidRDefault="00B935B0">
      <w:pPr>
        <w:spacing w:after="200" w:line="276" w:lineRule="auto"/>
        <w:jc w:val="left"/>
        <w:rPr>
          <w:szCs w:val="20"/>
        </w:rPr>
      </w:pPr>
      <w:r w:rsidRPr="00305215">
        <w:rPr>
          <w:szCs w:val="20"/>
        </w:rPr>
        <w:br w:type="page"/>
      </w:r>
    </w:p>
    <w:p w14:paraId="20675E01" w14:textId="18ADFA7D" w:rsidR="009814CB" w:rsidRPr="00305215" w:rsidRDefault="009814CB" w:rsidP="009814CB">
      <w:pPr>
        <w:pStyle w:val="Zkladntext"/>
        <w:ind w:left="360"/>
        <w:rPr>
          <w:szCs w:val="20"/>
        </w:rPr>
      </w:pPr>
      <w:r w:rsidRPr="00305215">
        <w:rPr>
          <w:szCs w:val="20"/>
        </w:rPr>
        <w:lastRenderedPageBreak/>
        <w:t>U průběžných výzev je nepřípustné provádět následující změny</w:t>
      </w:r>
      <w:r w:rsidR="00DF164D" w:rsidRPr="00305215">
        <w:rPr>
          <w:szCs w:val="20"/>
        </w:rPr>
        <w:t xml:space="preserve"> podmínek pro získání podpory u </w:t>
      </w:r>
      <w:r w:rsidRPr="00305215">
        <w:rPr>
          <w:szCs w:val="20"/>
        </w:rPr>
        <w:t xml:space="preserve">žádostí o podporu, které již byly žadateli podány (pokud nejsou vynuceny právními předpisy nebo změnou metodického pokynu MMR): </w:t>
      </w:r>
    </w:p>
    <w:p w14:paraId="388E17F7"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zrušit výzvu, </w:t>
      </w:r>
    </w:p>
    <w:p w14:paraId="3E3A4323" w14:textId="77777777" w:rsidR="009814CB" w:rsidRPr="00305215" w:rsidRDefault="007D3443" w:rsidP="00D0372C">
      <w:pPr>
        <w:pStyle w:val="Zkladntext"/>
        <w:spacing w:after="40"/>
        <w:ind w:left="357"/>
        <w:rPr>
          <w:szCs w:val="20"/>
        </w:rPr>
      </w:pPr>
      <w:r w:rsidRPr="00305215">
        <w:rPr>
          <w:szCs w:val="20"/>
        </w:rPr>
        <w:t>-</w:t>
      </w:r>
      <w:r w:rsidRPr="00305215">
        <w:rPr>
          <w:szCs w:val="20"/>
        </w:rPr>
        <w:tab/>
        <w:t>snížit alokaci výzvy</w:t>
      </w:r>
      <w:r w:rsidR="009814CB" w:rsidRPr="00305215">
        <w:rPr>
          <w:szCs w:val="20"/>
        </w:rPr>
        <w:t xml:space="preserve">, </w:t>
      </w:r>
    </w:p>
    <w:p w14:paraId="5C2E5879"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změnit maximální a minimální výši celkových způsobilých výdajů, </w:t>
      </w:r>
    </w:p>
    <w:p w14:paraId="79051416"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změnit míru </w:t>
      </w:r>
      <w:r w:rsidR="000C2117" w:rsidRPr="00305215">
        <w:rPr>
          <w:szCs w:val="20"/>
        </w:rPr>
        <w:t>spolufinancování</w:t>
      </w:r>
      <w:r w:rsidRPr="00305215">
        <w:rPr>
          <w:szCs w:val="20"/>
        </w:rPr>
        <w:t xml:space="preserve">, </w:t>
      </w:r>
    </w:p>
    <w:p w14:paraId="52E0930A" w14:textId="77777777" w:rsidR="009814CB" w:rsidRPr="00305215" w:rsidRDefault="009814CB" w:rsidP="00D0372C">
      <w:pPr>
        <w:pStyle w:val="Zkladntext"/>
        <w:spacing w:after="40"/>
        <w:ind w:left="357"/>
        <w:rPr>
          <w:szCs w:val="20"/>
        </w:rPr>
      </w:pPr>
      <w:r w:rsidRPr="00305215">
        <w:rPr>
          <w:szCs w:val="20"/>
        </w:rPr>
        <w:t>-</w:t>
      </w:r>
      <w:r w:rsidRPr="00305215">
        <w:rPr>
          <w:szCs w:val="20"/>
        </w:rPr>
        <w:tab/>
        <w:t>změnit věcné zaměření výzvy,</w:t>
      </w:r>
    </w:p>
    <w:p w14:paraId="0C75DB00" w14:textId="77777777" w:rsidR="009814CB" w:rsidRPr="00305215" w:rsidRDefault="009814CB" w:rsidP="00D0372C">
      <w:pPr>
        <w:pStyle w:val="Zkladntext"/>
        <w:spacing w:after="40"/>
        <w:ind w:left="357"/>
        <w:rPr>
          <w:szCs w:val="20"/>
        </w:rPr>
      </w:pPr>
      <w:r w:rsidRPr="00305215">
        <w:rPr>
          <w:szCs w:val="20"/>
        </w:rPr>
        <w:t>-</w:t>
      </w:r>
      <w:r w:rsidRPr="00305215">
        <w:rPr>
          <w:szCs w:val="20"/>
        </w:rPr>
        <w:tab/>
      </w:r>
      <w:r w:rsidR="000C2117" w:rsidRPr="00305215">
        <w:rPr>
          <w:szCs w:val="20"/>
        </w:rPr>
        <w:t>změnit definici oprávněného žadatele, tj. přidat nebo odebrat oprávněného žadatele</w:t>
      </w:r>
      <w:r w:rsidRPr="00305215">
        <w:rPr>
          <w:szCs w:val="20"/>
        </w:rPr>
        <w:t xml:space="preserve">, </w:t>
      </w:r>
    </w:p>
    <w:p w14:paraId="205F45DA"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posun nejzazšího data pro ukončení fyzické realizace operace na dřívější datum, </w:t>
      </w:r>
    </w:p>
    <w:p w14:paraId="02076E2D"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posun data ukončení příjmu žádostí o podporu na dřívější datum, </w:t>
      </w:r>
    </w:p>
    <w:p w14:paraId="721A6DBD" w14:textId="77777777" w:rsidR="00A518C0" w:rsidRPr="00305215" w:rsidRDefault="009814CB" w:rsidP="00D0372C">
      <w:pPr>
        <w:pStyle w:val="Zkladntext"/>
        <w:spacing w:after="40"/>
        <w:ind w:left="357"/>
        <w:rPr>
          <w:szCs w:val="20"/>
        </w:rPr>
      </w:pPr>
      <w:r w:rsidRPr="00305215">
        <w:rPr>
          <w:szCs w:val="20"/>
        </w:rPr>
        <w:t>-</w:t>
      </w:r>
      <w:r w:rsidRPr="00305215">
        <w:rPr>
          <w:szCs w:val="20"/>
        </w:rPr>
        <w:tab/>
        <w:t>měnit</w:t>
      </w:r>
      <w:r w:rsidR="000C2117" w:rsidRPr="00305215">
        <w:rPr>
          <w:szCs w:val="20"/>
        </w:rPr>
        <w:t xml:space="preserve"> kritéria pro hodnocení </w:t>
      </w:r>
      <w:r w:rsidRPr="00305215">
        <w:rPr>
          <w:szCs w:val="20"/>
        </w:rPr>
        <w:t>projektů.</w:t>
      </w:r>
    </w:p>
    <w:p w14:paraId="41BDCE00" w14:textId="77777777" w:rsidR="003B00F4" w:rsidRPr="00305215" w:rsidRDefault="003B00F4" w:rsidP="00D0372C">
      <w:pPr>
        <w:pStyle w:val="Zkladntext"/>
        <w:spacing w:after="40"/>
        <w:ind w:left="357"/>
        <w:rPr>
          <w:szCs w:val="20"/>
        </w:rPr>
      </w:pPr>
    </w:p>
    <w:p w14:paraId="2994AA99" w14:textId="69A1A99A" w:rsidR="003B00F4" w:rsidRPr="001219A9" w:rsidRDefault="003B00F4" w:rsidP="00D0372C">
      <w:pPr>
        <w:pStyle w:val="Zkladntext"/>
        <w:spacing w:after="40"/>
        <w:ind w:left="357"/>
        <w:rPr>
          <w:szCs w:val="20"/>
        </w:rPr>
      </w:pPr>
      <w:r w:rsidRPr="00305215">
        <w:rPr>
          <w:szCs w:val="20"/>
        </w:rPr>
        <w:t>V</w:t>
      </w:r>
      <w:r w:rsidR="006B4A4C" w:rsidRPr="00305215">
        <w:rPr>
          <w:szCs w:val="20"/>
        </w:rPr>
        <w:t xml:space="preserve"> případě, že budou předložené žádosti převyšovat stanovenou alokaci výzvy, může řídicí orgán rozhodnout o </w:t>
      </w:r>
      <w:r w:rsidR="00B85E94" w:rsidRPr="00305215">
        <w:rPr>
          <w:szCs w:val="20"/>
        </w:rPr>
        <w:t>navýšení alokace výzvy.</w:t>
      </w:r>
    </w:p>
    <w:sectPr w:rsidR="003B00F4" w:rsidRPr="001219A9" w:rsidSect="00205A7C">
      <w:headerReference w:type="default" r:id="rId23"/>
      <w:footerReference w:type="default" r:id="rId24"/>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08ED" w14:textId="77777777" w:rsidR="00EF59DC" w:rsidRDefault="00EF59DC" w:rsidP="00D45C20">
      <w:r>
        <w:separator/>
      </w:r>
    </w:p>
  </w:endnote>
  <w:endnote w:type="continuationSeparator" w:id="0">
    <w:p w14:paraId="6FA15145" w14:textId="77777777" w:rsidR="00EF59DC" w:rsidRDefault="00EF59DC" w:rsidP="00D4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43599"/>
      <w:docPartObj>
        <w:docPartGallery w:val="Page Numbers (Bottom of Page)"/>
        <w:docPartUnique/>
      </w:docPartObj>
    </w:sdtPr>
    <w:sdtEndPr/>
    <w:sdtContent>
      <w:p w14:paraId="0B6DEB7C" w14:textId="77777777" w:rsidR="000F1210" w:rsidRDefault="000F1210">
        <w:pPr>
          <w:pStyle w:val="Zpat"/>
          <w:jc w:val="center"/>
        </w:pPr>
        <w:r>
          <w:fldChar w:fldCharType="begin"/>
        </w:r>
        <w:r>
          <w:instrText>PAGE   \* MERGEFORMAT</w:instrText>
        </w:r>
        <w:r>
          <w:fldChar w:fldCharType="separate"/>
        </w:r>
        <w:r w:rsidR="000202C6">
          <w:rPr>
            <w:noProof/>
          </w:rPr>
          <w:t>14</w:t>
        </w:r>
        <w:r>
          <w:fldChar w:fldCharType="end"/>
        </w:r>
      </w:p>
    </w:sdtContent>
  </w:sdt>
  <w:p w14:paraId="12EF9F22" w14:textId="77777777" w:rsidR="000F1210" w:rsidRDefault="000F12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73C64" w14:textId="77777777" w:rsidR="00EF59DC" w:rsidRDefault="00EF59DC" w:rsidP="00D45C20">
      <w:r>
        <w:separator/>
      </w:r>
    </w:p>
  </w:footnote>
  <w:footnote w:type="continuationSeparator" w:id="0">
    <w:p w14:paraId="0A4A5539" w14:textId="77777777" w:rsidR="00EF59DC" w:rsidRDefault="00EF59DC" w:rsidP="00D45C20">
      <w:r>
        <w:continuationSeparator/>
      </w:r>
    </w:p>
  </w:footnote>
  <w:footnote w:id="1">
    <w:p w14:paraId="65594452" w14:textId="1B422EB9" w:rsidR="009571FE" w:rsidRPr="00DD2758" w:rsidRDefault="00DF3194" w:rsidP="009571FE">
      <w:pPr>
        <w:pStyle w:val="Textkomente"/>
        <w:rPr>
          <w:sz w:val="18"/>
        </w:rPr>
      </w:pPr>
      <w:r>
        <w:rPr>
          <w:rStyle w:val="Znakapoznpodarou"/>
        </w:rPr>
        <w:footnoteRef/>
      </w:r>
      <w:r>
        <w:t xml:space="preserve"> </w:t>
      </w:r>
      <w:r w:rsidR="009571FE" w:rsidRPr="00DD2758">
        <w:rPr>
          <w:sz w:val="18"/>
        </w:rPr>
        <w:t>Nemusí</w:t>
      </w:r>
      <w:r w:rsidR="00BE067B" w:rsidRPr="00DD2758">
        <w:rPr>
          <w:sz w:val="18"/>
        </w:rPr>
        <w:t xml:space="preserve"> být</w:t>
      </w:r>
      <w:r w:rsidR="009571FE" w:rsidRPr="00DD2758">
        <w:rPr>
          <w:sz w:val="18"/>
        </w:rPr>
        <w:t xml:space="preserve"> naplněny všechny požadavky současně, ale splněním alespoň dvou požadavků či výraznějším překročením minimální hodnoty jednoho požadavku musí projektová žádost získat alespoň 7 bodů v součtu všech specifi</w:t>
      </w:r>
      <w:r w:rsidR="000407F4" w:rsidRPr="00DD2758">
        <w:rPr>
          <w:sz w:val="18"/>
        </w:rPr>
        <w:t xml:space="preserve">ckých hodnotících kritérií č. 3 - </w:t>
      </w:r>
      <w:r w:rsidR="009571FE" w:rsidRPr="00DD2758">
        <w:rPr>
          <w:sz w:val="18"/>
        </w:rPr>
        <w:t>6 uvedených v sadě hodnotících kritérií</w:t>
      </w:r>
      <w:r w:rsidR="00A15584" w:rsidRPr="00DD2758">
        <w:rPr>
          <w:sz w:val="18"/>
        </w:rPr>
        <w:t xml:space="preserve"> pro prioritní osu 2, specifický cíl 2.2, podporovanou aktivitu Opatření pro preferenci povrchové městské veřejné dopravy v uličním provozu</w:t>
      </w:r>
      <w:r w:rsidR="009571FE" w:rsidRPr="00DD2758">
        <w:rPr>
          <w:sz w:val="18"/>
        </w:rPr>
        <w:t>.</w:t>
      </w:r>
    </w:p>
    <w:p w14:paraId="01FEED7E" w14:textId="414FA216" w:rsidR="00DF3194" w:rsidRDefault="00DF3194">
      <w:pPr>
        <w:pStyle w:val="Textpoznpodarou"/>
      </w:pPr>
    </w:p>
  </w:footnote>
  <w:footnote w:id="2">
    <w:p w14:paraId="3E6F9E03" w14:textId="77777777" w:rsidR="000F1210" w:rsidRPr="001267D8" w:rsidRDefault="000F1210" w:rsidP="00D0744B">
      <w:pPr>
        <w:pStyle w:val="txt"/>
        <w:spacing w:after="0"/>
        <w:ind w:firstLine="0"/>
        <w:rPr>
          <w:rFonts w:cs="Arial"/>
          <w:b/>
          <w:bCs/>
          <w:sz w:val="20"/>
        </w:rPr>
      </w:pPr>
      <w:r w:rsidRPr="001267D8">
        <w:rPr>
          <w:rStyle w:val="Znakapoznpodarou"/>
          <w:sz w:val="18"/>
          <w:szCs w:val="18"/>
        </w:rPr>
        <w:footnoteRef/>
      </w:r>
      <w:r w:rsidRPr="001267D8">
        <w:rPr>
          <w:sz w:val="18"/>
          <w:szCs w:val="18"/>
        </w:rPr>
        <w:t xml:space="preserve"> Indikátor povinný k výběru musí Ž/P v rámci projektu povinně sledovat, žadatel se ke stanovení cílové hodnoty nezavazuje, pouze monitoruje výstupy projektu, jejich případné nenaplnění není sankcionováno.</w:t>
      </w:r>
    </w:p>
  </w:footnote>
  <w:footnote w:id="3">
    <w:p w14:paraId="5B0DA657" w14:textId="77777777" w:rsidR="000F1210" w:rsidRDefault="000F1210">
      <w:pPr>
        <w:pStyle w:val="Textpoznpodarou"/>
      </w:pPr>
      <w:r w:rsidRPr="001267D8">
        <w:rPr>
          <w:rStyle w:val="Znakapoznpodarou"/>
        </w:rPr>
        <w:footnoteRef/>
      </w:r>
      <w:r w:rsidRPr="001267D8">
        <w:t xml:space="preserve"> </w:t>
      </w:r>
      <w:r w:rsidRPr="001267D8">
        <w:rPr>
          <w:sz w:val="18"/>
          <w:szCs w:val="18"/>
        </w:rPr>
        <w:t>Indikátor povinný k naplnění musí Ž/P v rámci projektu povinně sledovat, je povinen stanovit cílovou hodnotu indikátoru, která je pro něho závazná.</w:t>
      </w:r>
    </w:p>
  </w:footnote>
  <w:footnote w:id="4">
    <w:p w14:paraId="35B33BDC" w14:textId="77777777" w:rsidR="000F1210" w:rsidRPr="001267D8" w:rsidRDefault="000F1210" w:rsidP="004A42AD">
      <w:pPr>
        <w:pStyle w:val="txt"/>
        <w:spacing w:after="0"/>
        <w:ind w:firstLine="0"/>
        <w:rPr>
          <w:rFonts w:cs="Arial"/>
          <w:b/>
          <w:bCs/>
          <w:sz w:val="20"/>
        </w:rPr>
      </w:pPr>
      <w:r w:rsidRPr="001267D8">
        <w:rPr>
          <w:rStyle w:val="Znakapoznpodarou"/>
          <w:sz w:val="18"/>
          <w:szCs w:val="18"/>
        </w:rPr>
        <w:footnoteRef/>
      </w:r>
      <w:r w:rsidRPr="001267D8">
        <w:rPr>
          <w:sz w:val="18"/>
          <w:szCs w:val="18"/>
        </w:rPr>
        <w:t xml:space="preserve"> Indikátor povinný k výběru musí Ž/P v rámci projektu povinně sledovat, žadatel se ke stanovení cílové hodnoty nezavazuje, pouze monitoruje výstupy projektu, jejich případné nenaplnění není sankcionováno.</w:t>
      </w:r>
    </w:p>
  </w:footnote>
  <w:footnote w:id="5">
    <w:p w14:paraId="380C421C" w14:textId="77777777" w:rsidR="000F1210" w:rsidRDefault="000F1210" w:rsidP="004A42AD">
      <w:pPr>
        <w:pStyle w:val="Textpoznpodarou"/>
      </w:pPr>
      <w:r w:rsidRPr="001267D8">
        <w:rPr>
          <w:rStyle w:val="Znakapoznpodarou"/>
        </w:rPr>
        <w:footnoteRef/>
      </w:r>
      <w:r w:rsidRPr="001267D8">
        <w:t xml:space="preserve"> </w:t>
      </w:r>
      <w:r w:rsidRPr="001267D8">
        <w:rPr>
          <w:sz w:val="18"/>
          <w:szCs w:val="18"/>
        </w:rPr>
        <w:t>Indikátor povinný k naplnění musí Ž/P v rámci projektu povinně sledovat, je povinen stanovit cílovou hodnotu indikátoru, která je pro něho závazná.</w:t>
      </w:r>
    </w:p>
  </w:footnote>
  <w:footnote w:id="6">
    <w:p w14:paraId="4951082F" w14:textId="77777777" w:rsidR="000F1210" w:rsidRPr="000B5F9C" w:rsidRDefault="000F1210" w:rsidP="00E573AF">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839"/>
    </w:tblGrid>
    <w:tr w:rsidR="000F1210" w:rsidRPr="000F7C4C" w14:paraId="1459BD82" w14:textId="77777777" w:rsidTr="00A518C0">
      <w:tc>
        <w:tcPr>
          <w:tcW w:w="4606" w:type="dxa"/>
        </w:tcPr>
        <w:p w14:paraId="3CDB1D45" w14:textId="77777777" w:rsidR="000F1210" w:rsidRPr="000F7C4C" w:rsidRDefault="000F1210" w:rsidP="00A518C0">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59CB1A82" wp14:editId="5FC4C3C4">
                <wp:extent cx="3273552" cy="655320"/>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3CFEC1B3" w14:textId="77777777" w:rsidR="000F1210" w:rsidRPr="000F7C4C" w:rsidRDefault="000F1210" w:rsidP="00A518C0">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1A972E8A" wp14:editId="34E13309">
                <wp:extent cx="658495" cy="658495"/>
                <wp:effectExtent l="0" t="0" r="8255"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51C7D0A9" w14:textId="77777777" w:rsidR="000F1210" w:rsidRDefault="000F12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325"/>
    <w:multiLevelType w:val="hybridMultilevel"/>
    <w:tmpl w:val="C1263ED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1AD6CF8"/>
    <w:multiLevelType w:val="hybridMultilevel"/>
    <w:tmpl w:val="72C0D34A"/>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1663A4"/>
    <w:multiLevelType w:val="multilevel"/>
    <w:tmpl w:val="A8820C8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E4648"/>
    <w:multiLevelType w:val="multilevel"/>
    <w:tmpl w:val="9350EFF8"/>
    <w:lvl w:ilvl="0">
      <w:start w:val="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60561A"/>
    <w:multiLevelType w:val="hybridMultilevel"/>
    <w:tmpl w:val="F510F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2D1A61"/>
    <w:multiLevelType w:val="hybridMultilevel"/>
    <w:tmpl w:val="633AFD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9200EB5"/>
    <w:multiLevelType w:val="hybridMultilevel"/>
    <w:tmpl w:val="F282F12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25055A77"/>
    <w:multiLevelType w:val="hybridMultilevel"/>
    <w:tmpl w:val="AC4EDDE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5573A92"/>
    <w:multiLevelType w:val="hybridMultilevel"/>
    <w:tmpl w:val="0D9C6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B5BF3"/>
    <w:multiLevelType w:val="hybridMultilevel"/>
    <w:tmpl w:val="7AC42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2279C5"/>
    <w:multiLevelType w:val="hybridMultilevel"/>
    <w:tmpl w:val="1500E0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7A345A7"/>
    <w:multiLevelType w:val="hybridMultilevel"/>
    <w:tmpl w:val="489281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2B242DCE"/>
    <w:multiLevelType w:val="hybridMultilevel"/>
    <w:tmpl w:val="E910B41A"/>
    <w:lvl w:ilvl="0" w:tplc="DC4A8B9E">
      <w:start w:val="1"/>
      <w:numFmt w:val="lowerLetter"/>
      <w:pStyle w:val="Prav-psm"/>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40601E"/>
    <w:multiLevelType w:val="hybridMultilevel"/>
    <w:tmpl w:val="662AC312"/>
    <w:lvl w:ilvl="0" w:tplc="FFFFFFFF">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67080A"/>
    <w:multiLevelType w:val="hybridMultilevel"/>
    <w:tmpl w:val="E21CC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AF2759"/>
    <w:multiLevelType w:val="hybridMultilevel"/>
    <w:tmpl w:val="51468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D711D9"/>
    <w:multiLevelType w:val="hybridMultilevel"/>
    <w:tmpl w:val="C04C9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665C27"/>
    <w:multiLevelType w:val="hybridMultilevel"/>
    <w:tmpl w:val="1B8AE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795C6A"/>
    <w:multiLevelType w:val="hybridMultilevel"/>
    <w:tmpl w:val="19345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EE2823"/>
    <w:multiLevelType w:val="hybridMultilevel"/>
    <w:tmpl w:val="00C26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3617EC"/>
    <w:multiLevelType w:val="hybridMultilevel"/>
    <w:tmpl w:val="5A0AA764"/>
    <w:lvl w:ilvl="0" w:tplc="5B7610D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50133B1E"/>
    <w:multiLevelType w:val="multilevel"/>
    <w:tmpl w:val="5044C9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550141"/>
    <w:multiLevelType w:val="hybridMultilevel"/>
    <w:tmpl w:val="3DECF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A36F19"/>
    <w:multiLevelType w:val="multilevel"/>
    <w:tmpl w:val="F36E830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BC5AA2"/>
    <w:multiLevelType w:val="multilevel"/>
    <w:tmpl w:val="1F38EA8E"/>
    <w:lvl w:ilvl="0">
      <w:start w:val="1"/>
      <w:numFmt w:val="decimal"/>
      <w:lvlText w:val="%1."/>
      <w:lvlJc w:val="left"/>
      <w:pPr>
        <w:ind w:left="360" w:hanging="360"/>
      </w:pPr>
    </w:lvl>
    <w:lvl w:ilvl="1">
      <w:start w:val="1"/>
      <w:numFmt w:val="decimal"/>
      <w:lvlText w:val="%1.%2."/>
      <w:lvlJc w:val="left"/>
      <w:pPr>
        <w:ind w:left="114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006AE3"/>
    <w:multiLevelType w:val="hybridMultilevel"/>
    <w:tmpl w:val="E62A68EE"/>
    <w:lvl w:ilvl="0" w:tplc="E00E1D4C">
      <w:start w:val="1"/>
      <w:numFmt w:val="bullet"/>
      <w:lvlText w:val=""/>
      <w:lvlJc w:val="left"/>
      <w:pPr>
        <w:ind w:left="1085" w:hanging="360"/>
      </w:pPr>
      <w:rPr>
        <w:rFonts w:ascii="Symbol" w:hAnsi="Symbol" w:hint="default"/>
      </w:rPr>
    </w:lvl>
    <w:lvl w:ilvl="1" w:tplc="335A8B2C" w:tentative="1">
      <w:start w:val="1"/>
      <w:numFmt w:val="bullet"/>
      <w:lvlText w:val="o"/>
      <w:lvlJc w:val="left"/>
      <w:pPr>
        <w:ind w:left="1805" w:hanging="360"/>
      </w:pPr>
      <w:rPr>
        <w:rFonts w:ascii="Courier New" w:hAnsi="Courier New" w:cs="Courier New" w:hint="default"/>
      </w:rPr>
    </w:lvl>
    <w:lvl w:ilvl="2" w:tplc="93105EB2" w:tentative="1">
      <w:start w:val="1"/>
      <w:numFmt w:val="bullet"/>
      <w:lvlText w:val=""/>
      <w:lvlJc w:val="left"/>
      <w:pPr>
        <w:ind w:left="2525" w:hanging="360"/>
      </w:pPr>
      <w:rPr>
        <w:rFonts w:ascii="Wingdings" w:hAnsi="Wingdings" w:hint="default"/>
      </w:rPr>
    </w:lvl>
    <w:lvl w:ilvl="3" w:tplc="59F0B598" w:tentative="1">
      <w:start w:val="1"/>
      <w:numFmt w:val="bullet"/>
      <w:lvlText w:val=""/>
      <w:lvlJc w:val="left"/>
      <w:pPr>
        <w:ind w:left="3245" w:hanging="360"/>
      </w:pPr>
      <w:rPr>
        <w:rFonts w:ascii="Symbol" w:hAnsi="Symbol" w:hint="default"/>
      </w:rPr>
    </w:lvl>
    <w:lvl w:ilvl="4" w:tplc="2738D9EA" w:tentative="1">
      <w:start w:val="1"/>
      <w:numFmt w:val="bullet"/>
      <w:lvlText w:val="o"/>
      <w:lvlJc w:val="left"/>
      <w:pPr>
        <w:ind w:left="3965" w:hanging="360"/>
      </w:pPr>
      <w:rPr>
        <w:rFonts w:ascii="Courier New" w:hAnsi="Courier New" w:cs="Courier New" w:hint="default"/>
      </w:rPr>
    </w:lvl>
    <w:lvl w:ilvl="5" w:tplc="6600A186" w:tentative="1">
      <w:start w:val="1"/>
      <w:numFmt w:val="bullet"/>
      <w:lvlText w:val=""/>
      <w:lvlJc w:val="left"/>
      <w:pPr>
        <w:ind w:left="4685" w:hanging="360"/>
      </w:pPr>
      <w:rPr>
        <w:rFonts w:ascii="Wingdings" w:hAnsi="Wingdings" w:hint="default"/>
      </w:rPr>
    </w:lvl>
    <w:lvl w:ilvl="6" w:tplc="3E86F658" w:tentative="1">
      <w:start w:val="1"/>
      <w:numFmt w:val="bullet"/>
      <w:lvlText w:val=""/>
      <w:lvlJc w:val="left"/>
      <w:pPr>
        <w:ind w:left="5405" w:hanging="360"/>
      </w:pPr>
      <w:rPr>
        <w:rFonts w:ascii="Symbol" w:hAnsi="Symbol" w:hint="default"/>
      </w:rPr>
    </w:lvl>
    <w:lvl w:ilvl="7" w:tplc="1006F18C" w:tentative="1">
      <w:start w:val="1"/>
      <w:numFmt w:val="bullet"/>
      <w:lvlText w:val="o"/>
      <w:lvlJc w:val="left"/>
      <w:pPr>
        <w:ind w:left="6125" w:hanging="360"/>
      </w:pPr>
      <w:rPr>
        <w:rFonts w:ascii="Courier New" w:hAnsi="Courier New" w:cs="Courier New" w:hint="default"/>
      </w:rPr>
    </w:lvl>
    <w:lvl w:ilvl="8" w:tplc="43AA4306" w:tentative="1">
      <w:start w:val="1"/>
      <w:numFmt w:val="bullet"/>
      <w:lvlText w:val=""/>
      <w:lvlJc w:val="left"/>
      <w:pPr>
        <w:ind w:left="6845" w:hanging="360"/>
      </w:pPr>
      <w:rPr>
        <w:rFonts w:ascii="Wingdings" w:hAnsi="Wingdings" w:hint="default"/>
      </w:rPr>
    </w:lvl>
  </w:abstractNum>
  <w:abstractNum w:abstractNumId="26" w15:restartNumberingAfterBreak="0">
    <w:nsid w:val="5A0C4230"/>
    <w:multiLevelType w:val="hybridMultilevel"/>
    <w:tmpl w:val="15B0434E"/>
    <w:lvl w:ilvl="0" w:tplc="430A592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896638"/>
    <w:multiLevelType w:val="hybridMultilevel"/>
    <w:tmpl w:val="99AE0ED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15:restartNumberingAfterBreak="0">
    <w:nsid w:val="5C451594"/>
    <w:multiLevelType w:val="hybridMultilevel"/>
    <w:tmpl w:val="0EB6C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5E3FBF"/>
    <w:multiLevelType w:val="multilevel"/>
    <w:tmpl w:val="24FA0096"/>
    <w:lvl w:ilvl="0">
      <w:start w:val="1"/>
      <w:numFmt w:val="decimal"/>
      <w:pStyle w:val="Nadpis1"/>
      <w:lvlText w:val="%1."/>
      <w:lvlJc w:val="left"/>
      <w:pPr>
        <w:ind w:left="502"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8D3092"/>
    <w:multiLevelType w:val="hybridMultilevel"/>
    <w:tmpl w:val="FE92A9DE"/>
    <w:lvl w:ilvl="0" w:tplc="1C1829E4">
      <w:start w:val="1"/>
      <w:numFmt w:val="bullet"/>
      <w:pStyle w:val="Prav-odr"/>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9A42A9"/>
    <w:multiLevelType w:val="hybridMultilevel"/>
    <w:tmpl w:val="E21CC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1B0E46"/>
    <w:multiLevelType w:val="hybridMultilevel"/>
    <w:tmpl w:val="999C9784"/>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71A1050F"/>
    <w:multiLevelType w:val="hybridMultilevel"/>
    <w:tmpl w:val="9EB037DC"/>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9494045"/>
    <w:multiLevelType w:val="multilevel"/>
    <w:tmpl w:val="947CC68A"/>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5" w15:restartNumberingAfterBreak="0">
    <w:nsid w:val="7AA72CCD"/>
    <w:multiLevelType w:val="hybridMultilevel"/>
    <w:tmpl w:val="DB387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3"/>
  </w:num>
  <w:num w:numId="6">
    <w:abstractNumId w:val="21"/>
  </w:num>
  <w:num w:numId="7">
    <w:abstractNumId w:val="32"/>
  </w:num>
  <w:num w:numId="8">
    <w:abstractNumId w:val="24"/>
  </w:num>
  <w:num w:numId="9">
    <w:abstractNumId w:val="22"/>
  </w:num>
  <w:num w:numId="10">
    <w:abstractNumId w:val="16"/>
  </w:num>
  <w:num w:numId="11">
    <w:abstractNumId w:val="10"/>
  </w:num>
  <w:num w:numId="12">
    <w:abstractNumId w:val="25"/>
  </w:num>
  <w:num w:numId="13">
    <w:abstractNumId w:val="13"/>
  </w:num>
  <w:num w:numId="14">
    <w:abstractNumId w:val="30"/>
  </w:num>
  <w:num w:numId="15">
    <w:abstractNumId w:val="2"/>
  </w:num>
  <w:num w:numId="16">
    <w:abstractNumId w:val="6"/>
  </w:num>
  <w:num w:numId="17">
    <w:abstractNumId w:val="11"/>
  </w:num>
  <w:num w:numId="18">
    <w:abstractNumId w:val="0"/>
  </w:num>
  <w:num w:numId="19">
    <w:abstractNumId w:val="23"/>
  </w:num>
  <w:num w:numId="20">
    <w:abstractNumId w:val="5"/>
  </w:num>
  <w:num w:numId="21">
    <w:abstractNumId w:val="28"/>
  </w:num>
  <w:num w:numId="22">
    <w:abstractNumId w:val="30"/>
  </w:num>
  <w:num w:numId="23">
    <w:abstractNumId w:val="1"/>
  </w:num>
  <w:num w:numId="24">
    <w:abstractNumId w:val="20"/>
  </w:num>
  <w:num w:numId="25">
    <w:abstractNumId w:val="17"/>
  </w:num>
  <w:num w:numId="26">
    <w:abstractNumId w:val="9"/>
  </w:num>
  <w:num w:numId="27">
    <w:abstractNumId w:val="26"/>
  </w:num>
  <w:num w:numId="28">
    <w:abstractNumId w:val="31"/>
  </w:num>
  <w:num w:numId="29">
    <w:abstractNumId w:val="12"/>
  </w:num>
  <w:num w:numId="30">
    <w:abstractNumId w:val="12"/>
    <w:lvlOverride w:ilvl="0">
      <w:startOverride w:val="1"/>
    </w:lvlOverride>
  </w:num>
  <w:num w:numId="31">
    <w:abstractNumId w:val="30"/>
  </w:num>
  <w:num w:numId="32">
    <w:abstractNumId w:val="25"/>
  </w:num>
  <w:num w:numId="33">
    <w:abstractNumId w:val="13"/>
  </w:num>
  <w:num w:numId="34">
    <w:abstractNumId w:val="30"/>
  </w:num>
  <w:num w:numId="35">
    <w:abstractNumId w:val="30"/>
  </w:num>
  <w:num w:numId="36">
    <w:abstractNumId w:val="30"/>
  </w:num>
  <w:num w:numId="37">
    <w:abstractNumId w:val="30"/>
  </w:num>
  <w:num w:numId="38">
    <w:abstractNumId w:val="30"/>
  </w:num>
  <w:num w:numId="39">
    <w:abstractNumId w:val="35"/>
  </w:num>
  <w:num w:numId="40">
    <w:abstractNumId w:val="19"/>
  </w:num>
  <w:num w:numId="41">
    <w:abstractNumId w:val="14"/>
  </w:num>
  <w:num w:numId="42">
    <w:abstractNumId w:val="7"/>
  </w:num>
  <w:num w:numId="43">
    <w:abstractNumId w:val="15"/>
  </w:num>
  <w:num w:numId="44">
    <w:abstractNumId w:val="3"/>
  </w:num>
  <w:num w:numId="45">
    <w:abstractNumId w:val="30"/>
  </w:num>
  <w:num w:numId="46">
    <w:abstractNumId w:val="8"/>
  </w:num>
  <w:num w:numId="47">
    <w:abstractNumId w:val="1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20"/>
    <w:rsid w:val="00010A37"/>
    <w:rsid w:val="000202C6"/>
    <w:rsid w:val="0002067B"/>
    <w:rsid w:val="000271E6"/>
    <w:rsid w:val="000407F4"/>
    <w:rsid w:val="000479B1"/>
    <w:rsid w:val="00084971"/>
    <w:rsid w:val="00094617"/>
    <w:rsid w:val="000B03B8"/>
    <w:rsid w:val="000C2117"/>
    <w:rsid w:val="000C2BBB"/>
    <w:rsid w:val="000C6F35"/>
    <w:rsid w:val="000F1210"/>
    <w:rsid w:val="000F3191"/>
    <w:rsid w:val="000F38B7"/>
    <w:rsid w:val="000F46F6"/>
    <w:rsid w:val="000F7F57"/>
    <w:rsid w:val="00101A9E"/>
    <w:rsid w:val="00105934"/>
    <w:rsid w:val="001219A9"/>
    <w:rsid w:val="001267D8"/>
    <w:rsid w:val="00136612"/>
    <w:rsid w:val="00156410"/>
    <w:rsid w:val="001618C1"/>
    <w:rsid w:val="0016422D"/>
    <w:rsid w:val="00166703"/>
    <w:rsid w:val="001742D0"/>
    <w:rsid w:val="001752C6"/>
    <w:rsid w:val="001826A4"/>
    <w:rsid w:val="001965BB"/>
    <w:rsid w:val="001A3649"/>
    <w:rsid w:val="001E2A76"/>
    <w:rsid w:val="001F365E"/>
    <w:rsid w:val="001F654A"/>
    <w:rsid w:val="001F6DF4"/>
    <w:rsid w:val="001F7C12"/>
    <w:rsid w:val="00205A7C"/>
    <w:rsid w:val="00206EC3"/>
    <w:rsid w:val="002433CD"/>
    <w:rsid w:val="002472AA"/>
    <w:rsid w:val="00247A2B"/>
    <w:rsid w:val="0025109F"/>
    <w:rsid w:val="00257898"/>
    <w:rsid w:val="002642B1"/>
    <w:rsid w:val="0027298E"/>
    <w:rsid w:val="00275C01"/>
    <w:rsid w:val="00275EFA"/>
    <w:rsid w:val="002F656B"/>
    <w:rsid w:val="00305215"/>
    <w:rsid w:val="003065E9"/>
    <w:rsid w:val="00310C2F"/>
    <w:rsid w:val="00313D5C"/>
    <w:rsid w:val="0031653F"/>
    <w:rsid w:val="00325EF0"/>
    <w:rsid w:val="0032651B"/>
    <w:rsid w:val="0033691F"/>
    <w:rsid w:val="003516F0"/>
    <w:rsid w:val="003675D7"/>
    <w:rsid w:val="00375FA7"/>
    <w:rsid w:val="00390889"/>
    <w:rsid w:val="003B00F4"/>
    <w:rsid w:val="003B46A4"/>
    <w:rsid w:val="003D4A2E"/>
    <w:rsid w:val="003D5B16"/>
    <w:rsid w:val="003D6825"/>
    <w:rsid w:val="003E0E70"/>
    <w:rsid w:val="00406807"/>
    <w:rsid w:val="00416F77"/>
    <w:rsid w:val="004333F0"/>
    <w:rsid w:val="004354CD"/>
    <w:rsid w:val="0044298A"/>
    <w:rsid w:val="00463717"/>
    <w:rsid w:val="004733E1"/>
    <w:rsid w:val="00473A86"/>
    <w:rsid w:val="0047472F"/>
    <w:rsid w:val="0049156C"/>
    <w:rsid w:val="004A42AD"/>
    <w:rsid w:val="004A4C91"/>
    <w:rsid w:val="004C48EF"/>
    <w:rsid w:val="004C706D"/>
    <w:rsid w:val="004E7C18"/>
    <w:rsid w:val="004F525C"/>
    <w:rsid w:val="005037EC"/>
    <w:rsid w:val="0050565F"/>
    <w:rsid w:val="00510992"/>
    <w:rsid w:val="00513CC9"/>
    <w:rsid w:val="00520CEF"/>
    <w:rsid w:val="00552471"/>
    <w:rsid w:val="00566D29"/>
    <w:rsid w:val="00567A86"/>
    <w:rsid w:val="00571391"/>
    <w:rsid w:val="005735E4"/>
    <w:rsid w:val="0058377D"/>
    <w:rsid w:val="00585B80"/>
    <w:rsid w:val="005A2AEB"/>
    <w:rsid w:val="005A3FDD"/>
    <w:rsid w:val="005A7963"/>
    <w:rsid w:val="005C0B15"/>
    <w:rsid w:val="005C7ABD"/>
    <w:rsid w:val="005D0EF8"/>
    <w:rsid w:val="00606D38"/>
    <w:rsid w:val="00620893"/>
    <w:rsid w:val="00621C7A"/>
    <w:rsid w:val="0062220D"/>
    <w:rsid w:val="00623257"/>
    <w:rsid w:val="006338FA"/>
    <w:rsid w:val="00635B2C"/>
    <w:rsid w:val="006540B5"/>
    <w:rsid w:val="0065708C"/>
    <w:rsid w:val="00676FF1"/>
    <w:rsid w:val="0068523C"/>
    <w:rsid w:val="00691716"/>
    <w:rsid w:val="006A2216"/>
    <w:rsid w:val="006A7C8E"/>
    <w:rsid w:val="006B3256"/>
    <w:rsid w:val="006B4A4C"/>
    <w:rsid w:val="006C35B5"/>
    <w:rsid w:val="006D3F57"/>
    <w:rsid w:val="006F43F9"/>
    <w:rsid w:val="00702461"/>
    <w:rsid w:val="007034D0"/>
    <w:rsid w:val="00704B79"/>
    <w:rsid w:val="00706167"/>
    <w:rsid w:val="007208ED"/>
    <w:rsid w:val="00721920"/>
    <w:rsid w:val="00732F8B"/>
    <w:rsid w:val="00736323"/>
    <w:rsid w:val="00736F3F"/>
    <w:rsid w:val="0074607B"/>
    <w:rsid w:val="007470A9"/>
    <w:rsid w:val="00754B6F"/>
    <w:rsid w:val="00755F1E"/>
    <w:rsid w:val="00757A9F"/>
    <w:rsid w:val="00763051"/>
    <w:rsid w:val="00770E71"/>
    <w:rsid w:val="00772091"/>
    <w:rsid w:val="00775F2E"/>
    <w:rsid w:val="00777AA9"/>
    <w:rsid w:val="007A0D50"/>
    <w:rsid w:val="007B0391"/>
    <w:rsid w:val="007C64DF"/>
    <w:rsid w:val="007D0E54"/>
    <w:rsid w:val="007D1AEF"/>
    <w:rsid w:val="007D3443"/>
    <w:rsid w:val="007E25C3"/>
    <w:rsid w:val="007F324F"/>
    <w:rsid w:val="00803DE3"/>
    <w:rsid w:val="00816124"/>
    <w:rsid w:val="0081769D"/>
    <w:rsid w:val="00820010"/>
    <w:rsid w:val="00837AD1"/>
    <w:rsid w:val="008457D2"/>
    <w:rsid w:val="008524E5"/>
    <w:rsid w:val="008662E5"/>
    <w:rsid w:val="00866718"/>
    <w:rsid w:val="0087158E"/>
    <w:rsid w:val="00886679"/>
    <w:rsid w:val="00890D6C"/>
    <w:rsid w:val="00895EB6"/>
    <w:rsid w:val="008A20C7"/>
    <w:rsid w:val="008A211E"/>
    <w:rsid w:val="008A3A6C"/>
    <w:rsid w:val="008A4E2A"/>
    <w:rsid w:val="008C13E7"/>
    <w:rsid w:val="008E1AEB"/>
    <w:rsid w:val="008E3369"/>
    <w:rsid w:val="008E5504"/>
    <w:rsid w:val="0090516C"/>
    <w:rsid w:val="00910713"/>
    <w:rsid w:val="009127F1"/>
    <w:rsid w:val="00912975"/>
    <w:rsid w:val="009134F9"/>
    <w:rsid w:val="00920F46"/>
    <w:rsid w:val="00934B86"/>
    <w:rsid w:val="009429CB"/>
    <w:rsid w:val="009571FE"/>
    <w:rsid w:val="00962D17"/>
    <w:rsid w:val="009649AE"/>
    <w:rsid w:val="009651DA"/>
    <w:rsid w:val="0097134B"/>
    <w:rsid w:val="00971E92"/>
    <w:rsid w:val="0097775E"/>
    <w:rsid w:val="009814CB"/>
    <w:rsid w:val="009C008D"/>
    <w:rsid w:val="009C13D8"/>
    <w:rsid w:val="009C2A95"/>
    <w:rsid w:val="009C79BD"/>
    <w:rsid w:val="009E39FF"/>
    <w:rsid w:val="009E682B"/>
    <w:rsid w:val="00A12BFE"/>
    <w:rsid w:val="00A15490"/>
    <w:rsid w:val="00A15584"/>
    <w:rsid w:val="00A25ADA"/>
    <w:rsid w:val="00A34132"/>
    <w:rsid w:val="00A514F4"/>
    <w:rsid w:val="00A518C0"/>
    <w:rsid w:val="00A54C90"/>
    <w:rsid w:val="00A64252"/>
    <w:rsid w:val="00A72F54"/>
    <w:rsid w:val="00A73A12"/>
    <w:rsid w:val="00AB1477"/>
    <w:rsid w:val="00AB1D59"/>
    <w:rsid w:val="00AD2E05"/>
    <w:rsid w:val="00AF4728"/>
    <w:rsid w:val="00B1014F"/>
    <w:rsid w:val="00B13D10"/>
    <w:rsid w:val="00B13E70"/>
    <w:rsid w:val="00B15CD1"/>
    <w:rsid w:val="00B30B5D"/>
    <w:rsid w:val="00B40B33"/>
    <w:rsid w:val="00B43AAA"/>
    <w:rsid w:val="00B85E94"/>
    <w:rsid w:val="00B87CA2"/>
    <w:rsid w:val="00B935B0"/>
    <w:rsid w:val="00BA12E9"/>
    <w:rsid w:val="00BA6EB6"/>
    <w:rsid w:val="00BC12EA"/>
    <w:rsid w:val="00BC248F"/>
    <w:rsid w:val="00BC7E58"/>
    <w:rsid w:val="00BE067B"/>
    <w:rsid w:val="00BE13C4"/>
    <w:rsid w:val="00BF2ECD"/>
    <w:rsid w:val="00BF5724"/>
    <w:rsid w:val="00C02C81"/>
    <w:rsid w:val="00C22648"/>
    <w:rsid w:val="00C53154"/>
    <w:rsid w:val="00C63CEB"/>
    <w:rsid w:val="00C745EA"/>
    <w:rsid w:val="00C7582D"/>
    <w:rsid w:val="00C76163"/>
    <w:rsid w:val="00C81333"/>
    <w:rsid w:val="00C87264"/>
    <w:rsid w:val="00C94B94"/>
    <w:rsid w:val="00CB394C"/>
    <w:rsid w:val="00CB5B93"/>
    <w:rsid w:val="00CB6CCC"/>
    <w:rsid w:val="00CB75F7"/>
    <w:rsid w:val="00CC15C6"/>
    <w:rsid w:val="00CD41C7"/>
    <w:rsid w:val="00CE62EE"/>
    <w:rsid w:val="00CE7F8D"/>
    <w:rsid w:val="00CF0149"/>
    <w:rsid w:val="00CF6D99"/>
    <w:rsid w:val="00D0372C"/>
    <w:rsid w:val="00D04815"/>
    <w:rsid w:val="00D0744B"/>
    <w:rsid w:val="00D122BD"/>
    <w:rsid w:val="00D217AC"/>
    <w:rsid w:val="00D30575"/>
    <w:rsid w:val="00D45C20"/>
    <w:rsid w:val="00D50408"/>
    <w:rsid w:val="00D63376"/>
    <w:rsid w:val="00D8165E"/>
    <w:rsid w:val="00D84605"/>
    <w:rsid w:val="00DA386F"/>
    <w:rsid w:val="00DB0171"/>
    <w:rsid w:val="00DB5693"/>
    <w:rsid w:val="00DD2758"/>
    <w:rsid w:val="00DE0D79"/>
    <w:rsid w:val="00DE27C1"/>
    <w:rsid w:val="00DF164D"/>
    <w:rsid w:val="00DF3194"/>
    <w:rsid w:val="00E125D4"/>
    <w:rsid w:val="00E25EA1"/>
    <w:rsid w:val="00E31811"/>
    <w:rsid w:val="00E3361F"/>
    <w:rsid w:val="00E44414"/>
    <w:rsid w:val="00E464A2"/>
    <w:rsid w:val="00E50FE2"/>
    <w:rsid w:val="00E573AF"/>
    <w:rsid w:val="00E5771B"/>
    <w:rsid w:val="00E7029D"/>
    <w:rsid w:val="00E7236B"/>
    <w:rsid w:val="00E74FD5"/>
    <w:rsid w:val="00E76180"/>
    <w:rsid w:val="00E85062"/>
    <w:rsid w:val="00E920DC"/>
    <w:rsid w:val="00E93A91"/>
    <w:rsid w:val="00E951F8"/>
    <w:rsid w:val="00EA1F8D"/>
    <w:rsid w:val="00EB298A"/>
    <w:rsid w:val="00EC171E"/>
    <w:rsid w:val="00ED33F4"/>
    <w:rsid w:val="00EE22C0"/>
    <w:rsid w:val="00EF3114"/>
    <w:rsid w:val="00EF4C60"/>
    <w:rsid w:val="00EF59DC"/>
    <w:rsid w:val="00F0327A"/>
    <w:rsid w:val="00F06AAD"/>
    <w:rsid w:val="00F06E27"/>
    <w:rsid w:val="00F20B8D"/>
    <w:rsid w:val="00F22F16"/>
    <w:rsid w:val="00F3256C"/>
    <w:rsid w:val="00F368E5"/>
    <w:rsid w:val="00F371CD"/>
    <w:rsid w:val="00F40384"/>
    <w:rsid w:val="00F407EB"/>
    <w:rsid w:val="00F4271F"/>
    <w:rsid w:val="00F52F91"/>
    <w:rsid w:val="00F5424C"/>
    <w:rsid w:val="00F56A9D"/>
    <w:rsid w:val="00F60C66"/>
    <w:rsid w:val="00F82EFF"/>
    <w:rsid w:val="00F8598C"/>
    <w:rsid w:val="00F93FFF"/>
    <w:rsid w:val="00F9457E"/>
    <w:rsid w:val="00F96C5A"/>
    <w:rsid w:val="00FA79D8"/>
    <w:rsid w:val="00FB0B96"/>
    <w:rsid w:val="00FC3E8B"/>
    <w:rsid w:val="00FC534A"/>
    <w:rsid w:val="00FC5B18"/>
    <w:rsid w:val="00FE7291"/>
    <w:rsid w:val="00FF541F"/>
    <w:rsid w:val="00FF6EDC"/>
    <w:rsid w:val="00FF7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C78B"/>
  <w15:docId w15:val="{A8909136-992B-439C-8163-DA4AE375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3E0E70"/>
    <w:pPr>
      <w:spacing w:after="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D45C20"/>
    <w:pPr>
      <w:numPr>
        <w:numId w:val="1"/>
      </w:numPr>
      <w:spacing w:before="120" w:after="120"/>
      <w:outlineLvl w:val="0"/>
    </w:pPr>
    <w:rPr>
      <w:rFonts w:ascii="Arial" w:hAnsi="Arial"/>
      <w:bCs w:val="0"/>
      <w:iCs/>
      <w:color w:val="000000" w:themeColor="text1"/>
      <w:sz w:val="24"/>
      <w:szCs w:val="28"/>
    </w:rPr>
  </w:style>
  <w:style w:type="paragraph" w:styleId="Nadpis2">
    <w:name w:val="heading 2"/>
    <w:basedOn w:val="Normln"/>
    <w:next w:val="Normln"/>
    <w:link w:val="Nadpis2Char"/>
    <w:uiPriority w:val="9"/>
    <w:semiHidden/>
    <w:unhideWhenUsed/>
    <w:qFormat/>
    <w:rsid w:val="00D45C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5C20"/>
    <w:rPr>
      <w:rFonts w:ascii="Arial" w:eastAsiaTheme="majorEastAsia" w:hAnsi="Arial" w:cstheme="majorBidi"/>
      <w:b/>
      <w:iCs/>
      <w:color w:val="000000" w:themeColor="text1"/>
      <w:sz w:val="24"/>
      <w:szCs w:val="28"/>
      <w:lang w:eastAsia="cs-CZ"/>
    </w:rPr>
  </w:style>
  <w:style w:type="paragraph" w:styleId="Zkladntext">
    <w:name w:val="Body Text"/>
    <w:basedOn w:val="Normln"/>
    <w:link w:val="ZkladntextChar"/>
    <w:uiPriority w:val="99"/>
    <w:unhideWhenUsed/>
    <w:rsid w:val="00D45C20"/>
    <w:pPr>
      <w:spacing w:after="120"/>
    </w:pPr>
  </w:style>
  <w:style w:type="character" w:customStyle="1" w:styleId="ZkladntextChar">
    <w:name w:val="Základní text Char"/>
    <w:basedOn w:val="Standardnpsmoodstavce"/>
    <w:link w:val="Zkladntext"/>
    <w:uiPriority w:val="99"/>
    <w:rsid w:val="00D45C20"/>
    <w:rPr>
      <w:rFonts w:ascii="Arial" w:eastAsia="Times New Roman" w:hAnsi="Arial" w:cs="Times New Roman"/>
      <w:sz w:val="20"/>
      <w:szCs w:val="24"/>
      <w:lang w:eastAsia="cs-CZ"/>
    </w:rPr>
  </w:style>
  <w:style w:type="paragraph" w:styleId="Obsah1">
    <w:name w:val="toc 1"/>
    <w:basedOn w:val="Normln"/>
    <w:next w:val="Normln"/>
    <w:autoRedefine/>
    <w:uiPriority w:val="39"/>
    <w:semiHidden/>
    <w:unhideWhenUsed/>
    <w:rsid w:val="00D45C20"/>
    <w:pPr>
      <w:spacing w:after="100"/>
    </w:p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locked/>
    <w:rsid w:val="00D45C20"/>
    <w:rPr>
      <w:rFonts w:ascii="Arial" w:eastAsia="Times New Roman" w:hAnsi="Arial" w:cs="Times New Roman"/>
      <w:szCs w:val="20"/>
      <w:lang w:eastAsia="cs-CZ"/>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D45C20"/>
    <w:rPr>
      <w:sz w:val="22"/>
      <w:szCs w:val="20"/>
    </w:rPr>
  </w:style>
  <w:style w:type="character" w:customStyle="1" w:styleId="TextpoznpodarouChar1">
    <w:name w:val="Text pozn. pod čarou Char1"/>
    <w:basedOn w:val="Standardnpsmoodstavce"/>
    <w:uiPriority w:val="99"/>
    <w:semiHidden/>
    <w:rsid w:val="00D45C20"/>
    <w:rPr>
      <w:rFonts w:ascii="Arial" w:eastAsia="Times New Roman" w:hAnsi="Arial" w:cs="Times New Roman"/>
      <w:sz w:val="20"/>
      <w:szCs w:val="20"/>
      <w:lang w:eastAsia="cs-CZ"/>
    </w:rPr>
  </w:style>
  <w:style w:type="character" w:customStyle="1" w:styleId="OdstavecseseznamemChar">
    <w:name w:val="Odstavec se seznamem Char"/>
    <w:aliases w:val="Odstavec_muj Char,Nad Char"/>
    <w:basedOn w:val="Standardnpsmoodstavce"/>
    <w:link w:val="Odstavecseseznamem"/>
    <w:uiPriority w:val="34"/>
    <w:locked/>
    <w:rsid w:val="00D45C20"/>
    <w:rPr>
      <w:rFonts w:ascii="Arial" w:eastAsia="Times New Roman" w:hAnsi="Arial" w:cs="Times New Roman"/>
      <w:sz w:val="20"/>
      <w:szCs w:val="24"/>
      <w:lang w:eastAsia="cs-CZ"/>
    </w:rPr>
  </w:style>
  <w:style w:type="paragraph" w:styleId="Odstavecseseznamem">
    <w:name w:val="List Paragraph"/>
    <w:aliases w:val="Odstavec_muj,Nad"/>
    <w:basedOn w:val="Normln"/>
    <w:link w:val="OdstavecseseznamemChar"/>
    <w:uiPriority w:val="34"/>
    <w:qFormat/>
    <w:rsid w:val="00D45C20"/>
    <w:pPr>
      <w:ind w:left="720"/>
      <w:contextualSpacing/>
    </w:pPr>
  </w:style>
  <w:style w:type="paragraph" w:customStyle="1" w:styleId="normln0">
    <w:name w:val="normální"/>
    <w:basedOn w:val="Normln"/>
    <w:rsid w:val="00D45C20"/>
    <w:rPr>
      <w:szCs w:val="20"/>
    </w:rPr>
  </w:style>
  <w:style w:type="paragraph" w:customStyle="1" w:styleId="Nadpis3">
    <w:name w:val="Nadpis3"/>
    <w:basedOn w:val="Nadpis1"/>
    <w:qFormat/>
    <w:rsid w:val="00D45C20"/>
    <w:pPr>
      <w:numPr>
        <w:ilvl w:val="2"/>
      </w:numPr>
      <w:tabs>
        <w:tab w:val="num" w:pos="360"/>
      </w:tabs>
    </w:pPr>
    <w:rPr>
      <w:sz w:val="22"/>
    </w:rPr>
  </w:style>
  <w:style w:type="paragraph" w:customStyle="1" w:styleId="Nadpis4">
    <w:name w:val="Nadpis4"/>
    <w:basedOn w:val="Nadpis1"/>
    <w:qFormat/>
    <w:rsid w:val="00D45C20"/>
    <w:pPr>
      <w:numPr>
        <w:ilvl w:val="3"/>
      </w:numPr>
      <w:tabs>
        <w:tab w:val="num" w:pos="360"/>
      </w:tabs>
    </w:pPr>
    <w:rPr>
      <w:sz w:val="22"/>
    </w:rPr>
  </w:style>
  <w:style w:type="character" w:customStyle="1" w:styleId="PPNadpis2Char">
    <w:name w:val="PP Nadpis 2 Char"/>
    <w:basedOn w:val="Nadpis1Char"/>
    <w:link w:val="PPNadpis2"/>
    <w:locked/>
    <w:rsid w:val="00D45C20"/>
    <w:rPr>
      <w:rFonts w:ascii="Arial" w:eastAsiaTheme="majorEastAsia" w:hAnsi="Arial" w:cstheme="majorBidi"/>
      <w:b/>
      <w:iCs/>
      <w:color w:val="000000" w:themeColor="text1"/>
      <w:sz w:val="24"/>
      <w:szCs w:val="28"/>
      <w:lang w:eastAsia="cs-CZ"/>
    </w:rPr>
  </w:style>
  <w:style w:type="paragraph" w:customStyle="1" w:styleId="PPNadpis2">
    <w:name w:val="PP Nadpis 2"/>
    <w:basedOn w:val="Nadpis1"/>
    <w:link w:val="PPNadpis2Char"/>
    <w:qFormat/>
    <w:rsid w:val="00D45C20"/>
    <w:pPr>
      <w:numPr>
        <w:ilvl w:val="1"/>
      </w:numPr>
      <w:ind w:left="431" w:hanging="431"/>
    </w:pPr>
  </w:style>
  <w:style w:type="paragraph" w:customStyle="1" w:styleId="txt">
    <w:name w:val="txt"/>
    <w:basedOn w:val="Normln"/>
    <w:rsid w:val="00D45C20"/>
    <w:pPr>
      <w:spacing w:after="120"/>
      <w:ind w:firstLine="357"/>
    </w:pPr>
    <w:rPr>
      <w:sz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Légende;Char Car Car Car Car"/>
    <w:basedOn w:val="Standardnpsmoodstavce"/>
    <w:uiPriority w:val="99"/>
    <w:unhideWhenUsed/>
    <w:rsid w:val="00D45C20"/>
    <w:rPr>
      <w:vertAlign w:val="superscript"/>
    </w:rPr>
  </w:style>
  <w:style w:type="character" w:styleId="Siln">
    <w:name w:val="Strong"/>
    <w:basedOn w:val="Standardnpsmoodstavce"/>
    <w:uiPriority w:val="22"/>
    <w:qFormat/>
    <w:rsid w:val="00D45C20"/>
    <w:rPr>
      <w:b/>
      <w:bCs/>
    </w:rPr>
  </w:style>
  <w:style w:type="character" w:customStyle="1" w:styleId="Nadpis2Char">
    <w:name w:val="Nadpis 2 Char"/>
    <w:basedOn w:val="Standardnpsmoodstavce"/>
    <w:link w:val="Nadpis2"/>
    <w:uiPriority w:val="9"/>
    <w:semiHidden/>
    <w:rsid w:val="00D45C20"/>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8524E5"/>
    <w:pPr>
      <w:tabs>
        <w:tab w:val="center" w:pos="4536"/>
        <w:tab w:val="right" w:pos="9072"/>
      </w:tabs>
    </w:pPr>
  </w:style>
  <w:style w:type="character" w:customStyle="1" w:styleId="ZhlavChar">
    <w:name w:val="Záhlaví Char"/>
    <w:basedOn w:val="Standardnpsmoodstavce"/>
    <w:link w:val="Zhlav"/>
    <w:uiPriority w:val="99"/>
    <w:rsid w:val="008524E5"/>
    <w:rPr>
      <w:rFonts w:ascii="Arial" w:eastAsia="Times New Roman" w:hAnsi="Arial" w:cs="Times New Roman"/>
      <w:sz w:val="20"/>
      <w:szCs w:val="24"/>
      <w:lang w:eastAsia="cs-CZ"/>
    </w:rPr>
  </w:style>
  <w:style w:type="paragraph" w:styleId="Zpat">
    <w:name w:val="footer"/>
    <w:basedOn w:val="Normln"/>
    <w:link w:val="ZpatChar"/>
    <w:uiPriority w:val="99"/>
    <w:unhideWhenUsed/>
    <w:rsid w:val="008524E5"/>
    <w:pPr>
      <w:tabs>
        <w:tab w:val="center" w:pos="4536"/>
        <w:tab w:val="right" w:pos="9072"/>
      </w:tabs>
    </w:pPr>
  </w:style>
  <w:style w:type="character" w:customStyle="1" w:styleId="ZpatChar">
    <w:name w:val="Zápatí Char"/>
    <w:basedOn w:val="Standardnpsmoodstavce"/>
    <w:link w:val="Zpat"/>
    <w:uiPriority w:val="99"/>
    <w:rsid w:val="008524E5"/>
    <w:rPr>
      <w:rFonts w:ascii="Arial" w:eastAsia="Times New Roman" w:hAnsi="Arial" w:cs="Times New Roman"/>
      <w:sz w:val="20"/>
      <w:szCs w:val="24"/>
      <w:lang w:eastAsia="cs-CZ"/>
    </w:rPr>
  </w:style>
  <w:style w:type="table" w:styleId="Mkatabulky">
    <w:name w:val="Table Grid"/>
    <w:basedOn w:val="Normlntabulka"/>
    <w:uiPriority w:val="59"/>
    <w:rsid w:val="0085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524E5"/>
    <w:rPr>
      <w:rFonts w:ascii="Tahoma" w:hAnsi="Tahoma" w:cs="Tahoma"/>
      <w:sz w:val="16"/>
      <w:szCs w:val="16"/>
    </w:rPr>
  </w:style>
  <w:style w:type="character" w:customStyle="1" w:styleId="TextbublinyChar">
    <w:name w:val="Text bubliny Char"/>
    <w:basedOn w:val="Standardnpsmoodstavce"/>
    <w:link w:val="Textbubliny"/>
    <w:uiPriority w:val="99"/>
    <w:semiHidden/>
    <w:rsid w:val="008524E5"/>
    <w:rPr>
      <w:rFonts w:ascii="Tahoma" w:eastAsia="Times New Roman" w:hAnsi="Tahoma" w:cs="Tahoma"/>
      <w:sz w:val="16"/>
      <w:szCs w:val="16"/>
      <w:lang w:eastAsia="cs-CZ"/>
    </w:rPr>
  </w:style>
  <w:style w:type="paragraph" w:customStyle="1" w:styleId="Styl1">
    <w:name w:val="Styl1"/>
    <w:basedOn w:val="Odstavecseseznamem"/>
    <w:link w:val="Styl1Char"/>
    <w:qFormat/>
    <w:rsid w:val="00F4271F"/>
    <w:pPr>
      <w:overflowPunct w:val="0"/>
      <w:autoSpaceDE w:val="0"/>
      <w:autoSpaceDN w:val="0"/>
      <w:adjustRightInd w:val="0"/>
      <w:spacing w:after="120"/>
      <w:ind w:left="1224" w:hanging="504"/>
      <w:textAlignment w:val="baseline"/>
    </w:pPr>
    <w:rPr>
      <w:rFonts w:cs="Arial"/>
      <w:b/>
      <w:bCs/>
    </w:rPr>
  </w:style>
  <w:style w:type="character" w:customStyle="1" w:styleId="Styl1Char">
    <w:name w:val="Styl1 Char"/>
    <w:basedOn w:val="OdstavecseseznamemChar"/>
    <w:link w:val="Styl1"/>
    <w:rsid w:val="00F4271F"/>
    <w:rPr>
      <w:rFonts w:ascii="Arial" w:eastAsia="Times New Roman" w:hAnsi="Arial" w:cs="Arial"/>
      <w:b/>
      <w:bCs/>
      <w:sz w:val="20"/>
      <w:szCs w:val="24"/>
      <w:lang w:eastAsia="cs-CZ"/>
    </w:rPr>
  </w:style>
  <w:style w:type="paragraph" w:customStyle="1" w:styleId="Styl2">
    <w:name w:val="Styl2"/>
    <w:basedOn w:val="Odstavecseseznamem"/>
    <w:link w:val="Styl2Char"/>
    <w:qFormat/>
    <w:rsid w:val="00F4271F"/>
    <w:pPr>
      <w:overflowPunct w:val="0"/>
      <w:autoSpaceDE w:val="0"/>
      <w:autoSpaceDN w:val="0"/>
      <w:adjustRightInd w:val="0"/>
      <w:ind w:left="1224" w:hanging="504"/>
      <w:textAlignment w:val="baseline"/>
    </w:pPr>
    <w:rPr>
      <w:rFonts w:cs="Arial"/>
      <w:b/>
      <w:bCs/>
    </w:rPr>
  </w:style>
  <w:style w:type="paragraph" w:customStyle="1" w:styleId="Styl5">
    <w:name w:val="Styl5"/>
    <w:basedOn w:val="Styl2"/>
    <w:link w:val="Styl5Char"/>
    <w:qFormat/>
    <w:rsid w:val="00F4271F"/>
  </w:style>
  <w:style w:type="character" w:customStyle="1" w:styleId="Styl2Char">
    <w:name w:val="Styl2 Char"/>
    <w:basedOn w:val="OdstavecseseznamemChar"/>
    <w:link w:val="Styl2"/>
    <w:rsid w:val="00F4271F"/>
    <w:rPr>
      <w:rFonts w:ascii="Arial" w:eastAsia="Times New Roman" w:hAnsi="Arial" w:cs="Arial"/>
      <w:b/>
      <w:bCs/>
      <w:sz w:val="20"/>
      <w:szCs w:val="24"/>
      <w:lang w:eastAsia="cs-CZ"/>
    </w:rPr>
  </w:style>
  <w:style w:type="character" w:customStyle="1" w:styleId="Styl5Char">
    <w:name w:val="Styl5 Char"/>
    <w:basedOn w:val="Styl2Char"/>
    <w:link w:val="Styl5"/>
    <w:rsid w:val="00F4271F"/>
    <w:rPr>
      <w:rFonts w:ascii="Arial" w:eastAsia="Times New Roman" w:hAnsi="Arial" w:cs="Arial"/>
      <w:b/>
      <w:bCs/>
      <w:sz w:val="20"/>
      <w:szCs w:val="24"/>
      <w:lang w:eastAsia="cs-CZ"/>
    </w:rPr>
  </w:style>
  <w:style w:type="paragraph" w:customStyle="1" w:styleId="Styl3">
    <w:name w:val="Styl3"/>
    <w:basedOn w:val="Styl5"/>
    <w:link w:val="Styl3Char"/>
    <w:qFormat/>
    <w:rsid w:val="00F4271F"/>
    <w:pPr>
      <w:ind w:left="1728" w:hanging="648"/>
    </w:pPr>
  </w:style>
  <w:style w:type="character" w:customStyle="1" w:styleId="Styl3Char">
    <w:name w:val="Styl3 Char"/>
    <w:basedOn w:val="Styl5Char"/>
    <w:link w:val="Styl3"/>
    <w:rsid w:val="00F4271F"/>
    <w:rPr>
      <w:rFonts w:ascii="Arial" w:eastAsia="Times New Roman" w:hAnsi="Arial" w:cs="Arial"/>
      <w:b/>
      <w:bCs/>
      <w:sz w:val="20"/>
      <w:szCs w:val="24"/>
      <w:lang w:eastAsia="cs-CZ"/>
    </w:rPr>
  </w:style>
  <w:style w:type="paragraph" w:customStyle="1" w:styleId="Prav-odr">
    <w:name w:val="Prav - odr"/>
    <w:basedOn w:val="Normln"/>
    <w:link w:val="Prav-odrChar"/>
    <w:qFormat/>
    <w:rsid w:val="00E573AF"/>
    <w:pPr>
      <w:numPr>
        <w:numId w:val="14"/>
      </w:numPr>
      <w:spacing w:before="80" w:after="40"/>
    </w:pPr>
    <w:rPr>
      <w:rFonts w:cs="Arial"/>
      <w:szCs w:val="20"/>
    </w:rPr>
  </w:style>
  <w:style w:type="character" w:customStyle="1" w:styleId="Prav-odrChar">
    <w:name w:val="Prav - odr Char"/>
    <w:basedOn w:val="Standardnpsmoodstavce"/>
    <w:link w:val="Prav-odr"/>
    <w:rsid w:val="00E573AF"/>
    <w:rPr>
      <w:rFonts w:ascii="Arial" w:eastAsia="Times New Roman" w:hAnsi="Arial" w:cs="Arial"/>
      <w:sz w:val="20"/>
      <w:szCs w:val="20"/>
      <w:lang w:eastAsia="cs-CZ"/>
    </w:rPr>
  </w:style>
  <w:style w:type="paragraph" w:customStyle="1" w:styleId="Default">
    <w:name w:val="Default"/>
    <w:rsid w:val="00E573AF"/>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7D1AEF"/>
    <w:rPr>
      <w:color w:val="0000FF" w:themeColor="hyperlink"/>
      <w:u w:val="single"/>
    </w:rPr>
  </w:style>
  <w:style w:type="character" w:customStyle="1" w:styleId="apple-converted-space">
    <w:name w:val="apple-converted-space"/>
    <w:basedOn w:val="Standardnpsmoodstavce"/>
    <w:rsid w:val="0068523C"/>
  </w:style>
  <w:style w:type="paragraph" w:styleId="Normlnweb">
    <w:name w:val="Normal (Web)"/>
    <w:basedOn w:val="Normln"/>
    <w:uiPriority w:val="99"/>
    <w:unhideWhenUsed/>
    <w:rsid w:val="00E3361F"/>
    <w:pPr>
      <w:spacing w:before="100" w:beforeAutospacing="1" w:after="100" w:afterAutospacing="1"/>
      <w:jc w:val="left"/>
    </w:pPr>
    <w:rPr>
      <w:rFonts w:ascii="Times New Roman" w:hAnsi="Times New Roman"/>
      <w:sz w:val="24"/>
    </w:rPr>
  </w:style>
  <w:style w:type="paragraph" w:styleId="Prosttext">
    <w:name w:val="Plain Text"/>
    <w:basedOn w:val="Normln"/>
    <w:link w:val="ProsttextChar"/>
    <w:uiPriority w:val="99"/>
    <w:unhideWhenUsed/>
    <w:rsid w:val="005A3FDD"/>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5A3FDD"/>
    <w:rPr>
      <w:rFonts w:ascii="Calibri" w:hAnsi="Calibri"/>
      <w:szCs w:val="21"/>
    </w:rPr>
  </w:style>
  <w:style w:type="character" w:styleId="Odkaznakoment">
    <w:name w:val="annotation reference"/>
    <w:basedOn w:val="Standardnpsmoodstavce"/>
    <w:uiPriority w:val="99"/>
    <w:semiHidden/>
    <w:unhideWhenUsed/>
    <w:rsid w:val="000C2BBB"/>
    <w:rPr>
      <w:sz w:val="16"/>
      <w:szCs w:val="16"/>
    </w:rPr>
  </w:style>
  <w:style w:type="paragraph" w:styleId="Textkomente">
    <w:name w:val="annotation text"/>
    <w:basedOn w:val="Normln"/>
    <w:link w:val="TextkomenteChar"/>
    <w:uiPriority w:val="99"/>
    <w:semiHidden/>
    <w:unhideWhenUsed/>
    <w:rsid w:val="000C2BBB"/>
    <w:rPr>
      <w:szCs w:val="20"/>
    </w:rPr>
  </w:style>
  <w:style w:type="character" w:customStyle="1" w:styleId="TextkomenteChar">
    <w:name w:val="Text komentáře Char"/>
    <w:basedOn w:val="Standardnpsmoodstavce"/>
    <w:link w:val="Textkomente"/>
    <w:uiPriority w:val="99"/>
    <w:semiHidden/>
    <w:rsid w:val="000C2BBB"/>
    <w:rPr>
      <w:rFonts w:ascii="Arial" w:eastAsia="Times New Roman" w:hAnsi="Arial" w:cs="Times New Roman"/>
      <w:sz w:val="20"/>
      <w:szCs w:val="20"/>
      <w:lang w:eastAsia="cs-CZ"/>
    </w:rPr>
  </w:style>
  <w:style w:type="paragraph" w:customStyle="1" w:styleId="Prav-psm">
    <w:name w:val="Prav - písm"/>
    <w:basedOn w:val="Normln"/>
    <w:link w:val="Prav-psmChar"/>
    <w:qFormat/>
    <w:rsid w:val="00732F8B"/>
    <w:pPr>
      <w:numPr>
        <w:numId w:val="29"/>
      </w:numPr>
      <w:spacing w:before="80" w:after="40"/>
    </w:pPr>
    <w:rPr>
      <w:rFonts w:cs="Arial"/>
      <w:szCs w:val="20"/>
    </w:rPr>
  </w:style>
  <w:style w:type="character" w:customStyle="1" w:styleId="Prav-psmChar">
    <w:name w:val="Prav - písm Char"/>
    <w:basedOn w:val="Standardnpsmoodstavce"/>
    <w:link w:val="Prav-psm"/>
    <w:rsid w:val="00732F8B"/>
    <w:rPr>
      <w:rFonts w:ascii="Arial" w:eastAsia="Times New Roman" w:hAnsi="Arial" w:cs="Arial"/>
      <w:sz w:val="20"/>
      <w:szCs w:val="20"/>
      <w:lang w:eastAsia="cs-CZ"/>
    </w:rPr>
  </w:style>
  <w:style w:type="character" w:customStyle="1" w:styleId="WW8Num3z1">
    <w:name w:val="WW8Num3z1"/>
    <w:rsid w:val="00585B8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706167"/>
    <w:rPr>
      <w:b/>
      <w:bCs/>
    </w:rPr>
  </w:style>
  <w:style w:type="character" w:customStyle="1" w:styleId="PedmtkomenteChar">
    <w:name w:val="Předmět komentáře Char"/>
    <w:basedOn w:val="TextkomenteChar"/>
    <w:link w:val="Pedmtkomente"/>
    <w:uiPriority w:val="99"/>
    <w:semiHidden/>
    <w:rsid w:val="00706167"/>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5614">
      <w:bodyDiv w:val="1"/>
      <w:marLeft w:val="0"/>
      <w:marRight w:val="0"/>
      <w:marTop w:val="0"/>
      <w:marBottom w:val="0"/>
      <w:divBdr>
        <w:top w:val="none" w:sz="0" w:space="0" w:color="auto"/>
        <w:left w:val="none" w:sz="0" w:space="0" w:color="auto"/>
        <w:bottom w:val="none" w:sz="0" w:space="0" w:color="auto"/>
        <w:right w:val="none" w:sz="0" w:space="0" w:color="auto"/>
      </w:divBdr>
    </w:div>
    <w:div w:id="454181799">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565841706">
      <w:bodyDiv w:val="1"/>
      <w:marLeft w:val="0"/>
      <w:marRight w:val="0"/>
      <w:marTop w:val="0"/>
      <w:marBottom w:val="0"/>
      <w:divBdr>
        <w:top w:val="none" w:sz="0" w:space="0" w:color="auto"/>
        <w:left w:val="none" w:sz="0" w:space="0" w:color="auto"/>
        <w:bottom w:val="none" w:sz="0" w:space="0" w:color="auto"/>
        <w:right w:val="none" w:sz="0" w:space="0" w:color="auto"/>
      </w:divBdr>
    </w:div>
    <w:div w:id="720060320">
      <w:bodyDiv w:val="1"/>
      <w:marLeft w:val="0"/>
      <w:marRight w:val="0"/>
      <w:marTop w:val="0"/>
      <w:marBottom w:val="0"/>
      <w:divBdr>
        <w:top w:val="none" w:sz="0" w:space="0" w:color="auto"/>
        <w:left w:val="none" w:sz="0" w:space="0" w:color="auto"/>
        <w:bottom w:val="none" w:sz="0" w:space="0" w:color="auto"/>
        <w:right w:val="none" w:sz="0" w:space="0" w:color="auto"/>
      </w:divBdr>
    </w:div>
    <w:div w:id="812020121">
      <w:bodyDiv w:val="1"/>
      <w:marLeft w:val="0"/>
      <w:marRight w:val="0"/>
      <w:marTop w:val="0"/>
      <w:marBottom w:val="0"/>
      <w:divBdr>
        <w:top w:val="none" w:sz="0" w:space="0" w:color="auto"/>
        <w:left w:val="none" w:sz="0" w:space="0" w:color="auto"/>
        <w:bottom w:val="none" w:sz="0" w:space="0" w:color="auto"/>
        <w:right w:val="none" w:sz="0" w:space="0" w:color="auto"/>
      </w:divBdr>
    </w:div>
    <w:div w:id="813645963">
      <w:bodyDiv w:val="1"/>
      <w:marLeft w:val="0"/>
      <w:marRight w:val="0"/>
      <w:marTop w:val="0"/>
      <w:marBottom w:val="0"/>
      <w:divBdr>
        <w:top w:val="none" w:sz="0" w:space="0" w:color="auto"/>
        <w:left w:val="none" w:sz="0" w:space="0" w:color="auto"/>
        <w:bottom w:val="none" w:sz="0" w:space="0" w:color="auto"/>
        <w:right w:val="none" w:sz="0" w:space="0" w:color="auto"/>
      </w:divBdr>
    </w:div>
    <w:div w:id="849637177">
      <w:bodyDiv w:val="1"/>
      <w:marLeft w:val="0"/>
      <w:marRight w:val="0"/>
      <w:marTop w:val="0"/>
      <w:marBottom w:val="0"/>
      <w:divBdr>
        <w:top w:val="none" w:sz="0" w:space="0" w:color="auto"/>
        <w:left w:val="none" w:sz="0" w:space="0" w:color="auto"/>
        <w:bottom w:val="none" w:sz="0" w:space="0" w:color="auto"/>
        <w:right w:val="none" w:sz="0" w:space="0" w:color="auto"/>
      </w:divBdr>
    </w:div>
    <w:div w:id="868221373">
      <w:bodyDiv w:val="1"/>
      <w:marLeft w:val="0"/>
      <w:marRight w:val="0"/>
      <w:marTop w:val="0"/>
      <w:marBottom w:val="0"/>
      <w:divBdr>
        <w:top w:val="none" w:sz="0" w:space="0" w:color="auto"/>
        <w:left w:val="none" w:sz="0" w:space="0" w:color="auto"/>
        <w:bottom w:val="none" w:sz="0" w:space="0" w:color="auto"/>
        <w:right w:val="none" w:sz="0" w:space="0" w:color="auto"/>
      </w:divBdr>
    </w:div>
    <w:div w:id="1016922974">
      <w:bodyDiv w:val="1"/>
      <w:marLeft w:val="0"/>
      <w:marRight w:val="0"/>
      <w:marTop w:val="0"/>
      <w:marBottom w:val="0"/>
      <w:divBdr>
        <w:top w:val="none" w:sz="0" w:space="0" w:color="auto"/>
        <w:left w:val="none" w:sz="0" w:space="0" w:color="auto"/>
        <w:bottom w:val="none" w:sz="0" w:space="0" w:color="auto"/>
        <w:right w:val="none" w:sz="0" w:space="0" w:color="auto"/>
      </w:divBdr>
    </w:div>
    <w:div w:id="1042752767">
      <w:bodyDiv w:val="1"/>
      <w:marLeft w:val="0"/>
      <w:marRight w:val="0"/>
      <w:marTop w:val="0"/>
      <w:marBottom w:val="0"/>
      <w:divBdr>
        <w:top w:val="none" w:sz="0" w:space="0" w:color="auto"/>
        <w:left w:val="none" w:sz="0" w:space="0" w:color="auto"/>
        <w:bottom w:val="none" w:sz="0" w:space="0" w:color="auto"/>
        <w:right w:val="none" w:sz="0" w:space="0" w:color="auto"/>
      </w:divBdr>
    </w:div>
    <w:div w:id="1058745911">
      <w:bodyDiv w:val="1"/>
      <w:marLeft w:val="0"/>
      <w:marRight w:val="0"/>
      <w:marTop w:val="0"/>
      <w:marBottom w:val="0"/>
      <w:divBdr>
        <w:top w:val="none" w:sz="0" w:space="0" w:color="auto"/>
        <w:left w:val="none" w:sz="0" w:space="0" w:color="auto"/>
        <w:bottom w:val="none" w:sz="0" w:space="0" w:color="auto"/>
        <w:right w:val="none" w:sz="0" w:space="0" w:color="auto"/>
      </w:divBdr>
    </w:div>
    <w:div w:id="1251961656">
      <w:bodyDiv w:val="1"/>
      <w:marLeft w:val="0"/>
      <w:marRight w:val="0"/>
      <w:marTop w:val="0"/>
      <w:marBottom w:val="0"/>
      <w:divBdr>
        <w:top w:val="none" w:sz="0" w:space="0" w:color="auto"/>
        <w:left w:val="none" w:sz="0" w:space="0" w:color="auto"/>
        <w:bottom w:val="none" w:sz="0" w:space="0" w:color="auto"/>
        <w:right w:val="none" w:sz="0" w:space="0" w:color="auto"/>
      </w:divBdr>
    </w:div>
    <w:div w:id="1267999824">
      <w:bodyDiv w:val="1"/>
      <w:marLeft w:val="0"/>
      <w:marRight w:val="0"/>
      <w:marTop w:val="0"/>
      <w:marBottom w:val="0"/>
      <w:divBdr>
        <w:top w:val="none" w:sz="0" w:space="0" w:color="auto"/>
        <w:left w:val="none" w:sz="0" w:space="0" w:color="auto"/>
        <w:bottom w:val="none" w:sz="0" w:space="0" w:color="auto"/>
        <w:right w:val="none" w:sz="0" w:space="0" w:color="auto"/>
      </w:divBdr>
    </w:div>
    <w:div w:id="1394693660">
      <w:bodyDiv w:val="1"/>
      <w:marLeft w:val="0"/>
      <w:marRight w:val="0"/>
      <w:marTop w:val="0"/>
      <w:marBottom w:val="0"/>
      <w:divBdr>
        <w:top w:val="none" w:sz="0" w:space="0" w:color="auto"/>
        <w:left w:val="none" w:sz="0" w:space="0" w:color="auto"/>
        <w:bottom w:val="none" w:sz="0" w:space="0" w:color="auto"/>
        <w:right w:val="none" w:sz="0" w:space="0" w:color="auto"/>
      </w:divBdr>
    </w:div>
    <w:div w:id="1396857549">
      <w:bodyDiv w:val="1"/>
      <w:marLeft w:val="0"/>
      <w:marRight w:val="0"/>
      <w:marTop w:val="0"/>
      <w:marBottom w:val="0"/>
      <w:divBdr>
        <w:top w:val="none" w:sz="0" w:space="0" w:color="auto"/>
        <w:left w:val="none" w:sz="0" w:space="0" w:color="auto"/>
        <w:bottom w:val="none" w:sz="0" w:space="0" w:color="auto"/>
        <w:right w:val="none" w:sz="0" w:space="0" w:color="auto"/>
      </w:divBdr>
    </w:div>
    <w:div w:id="1462377457">
      <w:bodyDiv w:val="1"/>
      <w:marLeft w:val="0"/>
      <w:marRight w:val="0"/>
      <w:marTop w:val="0"/>
      <w:marBottom w:val="0"/>
      <w:divBdr>
        <w:top w:val="none" w:sz="0" w:space="0" w:color="auto"/>
        <w:left w:val="none" w:sz="0" w:space="0" w:color="auto"/>
        <w:bottom w:val="none" w:sz="0" w:space="0" w:color="auto"/>
        <w:right w:val="none" w:sz="0" w:space="0" w:color="auto"/>
      </w:divBdr>
    </w:div>
    <w:div w:id="1557545131">
      <w:bodyDiv w:val="1"/>
      <w:marLeft w:val="0"/>
      <w:marRight w:val="0"/>
      <w:marTop w:val="0"/>
      <w:marBottom w:val="0"/>
      <w:divBdr>
        <w:top w:val="none" w:sz="0" w:space="0" w:color="auto"/>
        <w:left w:val="none" w:sz="0" w:space="0" w:color="auto"/>
        <w:bottom w:val="none" w:sz="0" w:space="0" w:color="auto"/>
        <w:right w:val="none" w:sz="0" w:space="0" w:color="auto"/>
      </w:divBdr>
    </w:div>
    <w:div w:id="1565947420">
      <w:bodyDiv w:val="1"/>
      <w:marLeft w:val="0"/>
      <w:marRight w:val="0"/>
      <w:marTop w:val="0"/>
      <w:marBottom w:val="0"/>
      <w:divBdr>
        <w:top w:val="none" w:sz="0" w:space="0" w:color="auto"/>
        <w:left w:val="none" w:sz="0" w:space="0" w:color="auto"/>
        <w:bottom w:val="none" w:sz="0" w:space="0" w:color="auto"/>
        <w:right w:val="none" w:sz="0" w:space="0" w:color="auto"/>
      </w:divBdr>
    </w:div>
    <w:div w:id="1742019304">
      <w:bodyDiv w:val="1"/>
      <w:marLeft w:val="0"/>
      <w:marRight w:val="0"/>
      <w:marTop w:val="0"/>
      <w:marBottom w:val="0"/>
      <w:divBdr>
        <w:top w:val="none" w:sz="0" w:space="0" w:color="auto"/>
        <w:left w:val="none" w:sz="0" w:space="0" w:color="auto"/>
        <w:bottom w:val="none" w:sz="0" w:space="0" w:color="auto"/>
        <w:right w:val="none" w:sz="0" w:space="0" w:color="auto"/>
      </w:divBdr>
    </w:div>
    <w:div w:id="20254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Vlastn%C3%ADk_dr%C3%A1hy" TargetMode="External"/><Relationship Id="rId13" Type="http://schemas.openxmlformats.org/officeDocument/2006/relationships/hyperlink" Target="https://mseu.mssf.cz/" TargetMode="External"/><Relationship Id="rId18" Type="http://schemas.openxmlformats.org/officeDocument/2006/relationships/hyperlink" Target="mailto:kriegischova@ipr.praha.e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enizeproprahu.cz" TargetMode="External"/><Relationship Id="rId7" Type="http://schemas.openxmlformats.org/officeDocument/2006/relationships/endnotes" Target="endnotes.xml"/><Relationship Id="rId12" Type="http://schemas.openxmlformats.org/officeDocument/2006/relationships/hyperlink" Target="https://cs.wikipedia.org/wiki/%C4%8Cesko" TargetMode="External"/><Relationship Id="rId17" Type="http://schemas.openxmlformats.org/officeDocument/2006/relationships/hyperlink" Target="http://www.penizeproprahu.c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va.Lepsova@praha.eu" TargetMode="External"/><Relationship Id="rId20" Type="http://schemas.openxmlformats.org/officeDocument/2006/relationships/hyperlink" Target="http://www.penizeproprah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Region%C3%A1ln%C3%AD_dr%C3%A1h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terina.Skanderova@praha.eu" TargetMode="External"/><Relationship Id="rId23" Type="http://schemas.openxmlformats.org/officeDocument/2006/relationships/header" Target="header1.xml"/><Relationship Id="rId10" Type="http://schemas.openxmlformats.org/officeDocument/2006/relationships/hyperlink" Target="https://cs.wikipedia.org/wiki/Celost%C3%A1tn%C3%AD_dr%C3%A1ha" TargetMode="External"/><Relationship Id="rId19" Type="http://schemas.openxmlformats.org/officeDocument/2006/relationships/hyperlink" Target="http://www.itipraha.eu" TargetMode="External"/><Relationship Id="rId4" Type="http://schemas.openxmlformats.org/officeDocument/2006/relationships/settings" Target="settings.xml"/><Relationship Id="rId9" Type="http://schemas.openxmlformats.org/officeDocument/2006/relationships/hyperlink" Target="https://cs.wikipedia.org/wiki/Provozovatel_dr%C3%A1hy" TargetMode="External"/><Relationship Id="rId14" Type="http://schemas.openxmlformats.org/officeDocument/2006/relationships/hyperlink" Target="mailto:Tereza.fuka@praha.eu" TargetMode="External"/><Relationship Id="rId22" Type="http://schemas.openxmlformats.org/officeDocument/2006/relationships/hyperlink" Target="http://www.penizeproprah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A22-2709-4577-A758-716B26D7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5558</Words>
  <Characters>32799</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 Tereza (MHMP, FON)</dc:creator>
  <cp:lastModifiedBy>Skanderová Kateřina (MHMP, FON)</cp:lastModifiedBy>
  <cp:revision>3</cp:revision>
  <cp:lastPrinted>2016-08-01T13:06:00Z</cp:lastPrinted>
  <dcterms:created xsi:type="dcterms:W3CDTF">2018-10-25T12:19:00Z</dcterms:created>
  <dcterms:modified xsi:type="dcterms:W3CDTF">2018-10-25T12:40:00Z</dcterms:modified>
</cp:coreProperties>
</file>