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04" w:rsidRDefault="00DC6D42" w:rsidP="002F0759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  <w:r w:rsidRPr="002F0759">
        <w:rPr>
          <w:rFonts w:ascii="Arial" w:eastAsia="Times New Roman" w:hAnsi="Arial" w:cs="Arial"/>
          <w:b/>
          <w:bCs/>
          <w:color w:val="000000"/>
          <w:lang w:eastAsia="cs-CZ"/>
        </w:rPr>
        <w:t xml:space="preserve">Sada hodnoticích kritérií pro </w:t>
      </w:r>
      <w:r w:rsidR="002F0759" w:rsidRPr="002F0759">
        <w:rPr>
          <w:rFonts w:ascii="Arial" w:eastAsia="Times New Roman" w:hAnsi="Arial" w:cs="Arial"/>
          <w:b/>
          <w:bCs/>
          <w:color w:val="000000"/>
          <w:lang w:eastAsia="cs-CZ"/>
        </w:rPr>
        <w:t xml:space="preserve">prioritní osu </w:t>
      </w:r>
      <w:r w:rsidRPr="002F0759">
        <w:rPr>
          <w:rFonts w:ascii="Arial" w:eastAsia="Times New Roman" w:hAnsi="Arial" w:cs="Arial"/>
          <w:b/>
          <w:bCs/>
          <w:color w:val="000000"/>
          <w:lang w:eastAsia="cs-CZ"/>
        </w:rPr>
        <w:t>2</w:t>
      </w:r>
      <w:r w:rsidR="002F0759" w:rsidRPr="002F0759">
        <w:rPr>
          <w:rFonts w:ascii="Arial" w:eastAsia="Times New Roman" w:hAnsi="Arial" w:cs="Arial"/>
          <w:b/>
          <w:bCs/>
          <w:color w:val="000000"/>
          <w:lang w:eastAsia="cs-CZ"/>
        </w:rPr>
        <w:t xml:space="preserve"> OP Praha</w:t>
      </w:r>
      <w:r w:rsidRPr="002F0759">
        <w:rPr>
          <w:rFonts w:ascii="Arial" w:eastAsia="Times New Roman" w:hAnsi="Arial" w:cs="Arial"/>
          <w:b/>
          <w:bCs/>
          <w:color w:val="000000"/>
          <w:lang w:eastAsia="cs-CZ"/>
        </w:rPr>
        <w:t>, specifický cíl 2.1</w:t>
      </w:r>
      <w:r w:rsidR="00093E8B" w:rsidRPr="002F0759">
        <w:rPr>
          <w:rFonts w:ascii="Arial" w:eastAsia="Times New Roman" w:hAnsi="Arial" w:cs="Arial"/>
          <w:b/>
          <w:bCs/>
          <w:color w:val="000000"/>
          <w:lang w:eastAsia="cs-CZ"/>
        </w:rPr>
        <w:t xml:space="preserve"> Energetické úspory v městských objektech dosažené také s využitím vhodných obnovitelných zdrojů energie, energeticky efektivních zařízení a inteligentních systémů řízení</w:t>
      </w:r>
      <w:r w:rsidRPr="002B7CF7">
        <w:rPr>
          <w:rFonts w:ascii="Arial" w:eastAsia="Times New Roman" w:hAnsi="Arial" w:cs="Arial"/>
          <w:b/>
          <w:bCs/>
          <w:color w:val="000000"/>
          <w:lang w:eastAsia="cs-CZ"/>
        </w:rPr>
        <w:t xml:space="preserve">, podporovanou aktivitu </w:t>
      </w:r>
      <w:r w:rsidR="008E3904" w:rsidRPr="002B7CF7">
        <w:rPr>
          <w:rFonts w:ascii="Arial" w:eastAsia="Times New Roman" w:hAnsi="Arial" w:cs="Arial"/>
          <w:b/>
          <w:bCs/>
          <w:color w:val="000000"/>
          <w:lang w:eastAsia="cs-CZ"/>
        </w:rPr>
        <w:t xml:space="preserve">2.1.3 - </w:t>
      </w:r>
      <w:r w:rsidR="008E3904" w:rsidRPr="002F0759">
        <w:rPr>
          <w:rFonts w:ascii="Arial" w:eastAsia="Times New Roman" w:hAnsi="Arial" w:cs="Arial"/>
          <w:b/>
          <w:bCs/>
          <w:color w:val="000000"/>
          <w:lang w:eastAsia="cs-CZ"/>
        </w:rPr>
        <w:t>Realizace pilotních projektů přeměny energeticky náročných městských budov na budovy s téměř nulovou spotřebou energie</w:t>
      </w:r>
    </w:p>
    <w:p w:rsidR="00DC6D42" w:rsidRPr="00DC6D42" w:rsidRDefault="00DC6D42" w:rsidP="00DC6D42">
      <w:pPr>
        <w:pStyle w:val="Termin"/>
        <w:keepNext/>
        <w:tabs>
          <w:tab w:val="left" w:pos="7230"/>
          <w:tab w:val="left" w:pos="8080"/>
        </w:tabs>
        <w:ind w:left="0" w:firstLine="0"/>
        <w:rPr>
          <w:sz w:val="20"/>
        </w:rPr>
      </w:pPr>
    </w:p>
    <w:p w:rsidR="008B4812" w:rsidRDefault="008B4812" w:rsidP="008B4812">
      <w:pPr>
        <w:pStyle w:val="Termin"/>
        <w:keepNext/>
        <w:tabs>
          <w:tab w:val="left" w:pos="7230"/>
          <w:tab w:val="left" w:pos="8080"/>
        </w:tabs>
        <w:rPr>
          <w:sz w:val="20"/>
        </w:rPr>
      </w:pPr>
      <w:r w:rsidRPr="00DC6D42">
        <w:rPr>
          <w:sz w:val="20"/>
        </w:rPr>
        <w:t>Hodnotitel uvede ke každému kritériu jasné a srozumitelné odůvodnění výsledku hodnocení.</w:t>
      </w:r>
    </w:p>
    <w:p w:rsidR="00791877" w:rsidRPr="00DC6D42" w:rsidRDefault="008B4812" w:rsidP="008B4812">
      <w:pPr>
        <w:pStyle w:val="Termin"/>
        <w:keepNext/>
        <w:tabs>
          <w:tab w:val="left" w:pos="7230"/>
          <w:tab w:val="left" w:pos="8080"/>
        </w:tabs>
      </w:pPr>
      <w:r>
        <w:rPr>
          <w:sz w:val="20"/>
        </w:rPr>
        <w:t>Kombinovaná kritéria – pokud získá projekt v kombinovaném kritériu 0 bodů, je projekt ze schvalovacího procesu vyloučen</w:t>
      </w:r>
    </w:p>
    <w:p w:rsidR="00791877" w:rsidRDefault="00791877">
      <w:pPr>
        <w:pStyle w:val="Termin"/>
        <w:keepNext/>
        <w:tabs>
          <w:tab w:val="left" w:pos="7230"/>
          <w:tab w:val="left" w:pos="8080"/>
        </w:tabs>
        <w:rPr>
          <w:sz w:val="6"/>
        </w:rPr>
      </w:pPr>
    </w:p>
    <w:tbl>
      <w:tblPr>
        <w:tblW w:w="157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2126"/>
        <w:gridCol w:w="4927"/>
        <w:gridCol w:w="35"/>
        <w:gridCol w:w="1246"/>
        <w:gridCol w:w="29"/>
        <w:gridCol w:w="1252"/>
        <w:gridCol w:w="24"/>
        <w:gridCol w:w="3686"/>
        <w:gridCol w:w="47"/>
        <w:gridCol w:w="1228"/>
        <w:gridCol w:w="1135"/>
      </w:tblGrid>
      <w:tr w:rsidR="000416BB" w:rsidTr="00665357">
        <w:trPr>
          <w:cantSplit/>
          <w:trHeight w:val="716"/>
        </w:trPr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Default="000416BB" w:rsidP="006F1F4F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Default="000416BB" w:rsidP="00C508B1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0416BB" w:rsidRDefault="000416BB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za jednotlivá kritéria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Default="000416BB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Způsob</w:t>
            </w:r>
            <w:r w:rsidR="00453BD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3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Default="000416BB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416BB" w:rsidRDefault="000416BB" w:rsidP="00312A55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Funkce </w:t>
            </w:r>
          </w:p>
          <w:p w:rsidR="000416BB" w:rsidRDefault="000416BB" w:rsidP="00312A55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416BB" w:rsidRDefault="000416BB" w:rsidP="00D6528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0416BB" w:rsidTr="00665357">
        <w:trPr>
          <w:cantSplit/>
          <w:trHeight w:val="454"/>
        </w:trPr>
        <w:tc>
          <w:tcPr>
            <w:tcW w:w="1576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0416BB" w:rsidRDefault="000416BB" w:rsidP="00312A55">
            <w:pPr>
              <w:pStyle w:val="Standard"/>
              <w:spacing w:after="0" w:line="240" w:lineRule="auto"/>
              <w:ind w:right="27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POTŘEBNOST</w:t>
            </w:r>
          </w:p>
        </w:tc>
      </w:tr>
      <w:tr w:rsidR="00771EF3" w:rsidRPr="00890F7B" w:rsidTr="00665357">
        <w:trPr>
          <w:trHeight w:val="1196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r w:rsidRPr="00D40E97">
              <w:rPr>
                <w:sz w:val="20"/>
              </w:rPr>
              <w:t>1. Potřebnost projektu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D0321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Potřeba realizace projektu je prokazatelně doložena</w:t>
            </w:r>
            <w:r>
              <w:rPr>
                <w:sz w:val="20"/>
                <w:szCs w:val="20"/>
              </w:rPr>
              <w:t xml:space="preserve"> zpracovanou analýzou nebo dostatečně podložena statistickými daty.</w:t>
            </w:r>
            <w:r w:rsidRPr="00890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Realizací projektu dojde k prokazatelné úspoře energie a rovněž k instalaci inteligentních systémů prokazující celospolečenské přínosy. Realizací energeticky efektivních úsporných opatření projekt </w:t>
            </w:r>
            <w:r w:rsidRPr="00890F7B">
              <w:rPr>
                <w:sz w:val="20"/>
                <w:szCs w:val="20"/>
              </w:rPr>
              <w:t>odráží potřeby obyvatelstva dané lokality</w:t>
            </w:r>
            <w:r>
              <w:rPr>
                <w:sz w:val="20"/>
                <w:szCs w:val="20"/>
              </w:rPr>
              <w:t xml:space="preserve"> a</w:t>
            </w:r>
            <w:r w:rsidRPr="00890F7B"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 xml:space="preserve">okazuje celospolečenské přínosy, které jsou žadatelem jasně specifikovány.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FD0321" w:rsidRDefault="00771EF3" w:rsidP="000416BB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453BD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 xml:space="preserve">10 </w:t>
            </w:r>
            <w:r w:rsidRPr="00FD0321">
              <w:rPr>
                <w:b/>
                <w:bCs/>
                <w:sz w:val="20"/>
                <w:szCs w:val="20"/>
              </w:rPr>
              <w:t>bodů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v projektu dostatečně zdůvodn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potřebnost realizace projektu pro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danou oblast,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vysvětl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, proč by měl být projekt realizován, proč vznikl a kde jsou jeho hlavní přínosy.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 xml:space="preserve">Potřebnost projektu by měla být zároveň dostatečně objektivně doložena např. analýzou lokality,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statistickými daty.</w:t>
            </w:r>
            <w:r>
              <w:rPr>
                <w:sz w:val="20"/>
                <w:szCs w:val="20"/>
              </w:rPr>
              <w:t xml:space="preserve"> 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vychází.</w:t>
            </w:r>
            <w:r w:rsidRPr="003E594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Hodnotitel posuzuje přínos navržených energetických opatření, které jsou hlavním cílem realizace projektu.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AD693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projekt využívá </w:t>
            </w:r>
            <w:proofErr w:type="spellStart"/>
            <w:r w:rsidRPr="00AD693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brownfields</w:t>
            </w:r>
            <w:proofErr w:type="spellEnd"/>
            <w:r w:rsidRPr="00AD693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získává projekt automaticky nejvyšší hodnocení v kritériu (potřeba realizace projektu musí být prokázána).</w:t>
            </w:r>
          </w:p>
          <w:p w:rsidR="00771EF3" w:rsidRPr="003C371D" w:rsidRDefault="00771EF3" w:rsidP="003C371D"/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3C2028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3ACD">
              <w:rPr>
                <w:b/>
                <w:sz w:val="18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sz w:val="18"/>
              </w:rPr>
            </w:pPr>
          </w:p>
        </w:tc>
      </w:tr>
      <w:tr w:rsidR="00771EF3" w:rsidRPr="00890F7B" w:rsidTr="00665357">
        <w:trPr>
          <w:trHeight w:val="952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C8064E">
              <w:rPr>
                <w:sz w:val="20"/>
                <w:szCs w:val="20"/>
              </w:rPr>
              <w:t>Potřeba realizace projektu je popsána, ale není</w:t>
            </w:r>
            <w:r>
              <w:rPr>
                <w:sz w:val="20"/>
                <w:szCs w:val="20"/>
              </w:rPr>
              <w:t xml:space="preserve"> prokazatelně doložena (nebo pouze částečně) zpracovanou analýzou nebo není dostatečně podložena statistickými údaji</w:t>
            </w:r>
            <w:r w:rsidRPr="00C806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Realizací projektu dojde k úspoře energie. Realizací energeticky efektivních úsporných opatření projekt </w:t>
            </w:r>
            <w:r w:rsidRPr="00890F7B">
              <w:rPr>
                <w:sz w:val="20"/>
                <w:szCs w:val="20"/>
              </w:rPr>
              <w:t>odráží potřeby obyvatelstva dané lokality</w:t>
            </w:r>
            <w:r>
              <w:rPr>
                <w:sz w:val="20"/>
                <w:szCs w:val="20"/>
              </w:rPr>
              <w:t xml:space="preserve">, které nejsou zcela specifikovány.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890F7B" w:rsidRDefault="00771EF3" w:rsidP="000416BB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trHeight w:val="684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Zpracovanou analýzou (doloženými statistickými daty) není prokazatelně doložena potřeba realizace projektu. Projekt realizací energetických úsporných opatření neprokazuje celospolečenské přínosy. Projekt nepřináší prokazatelné energetické úspory nebo nejsou tyto úspory efektivní.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0416BB" w:rsidRPr="00890F7B" w:rsidTr="00665357">
        <w:trPr>
          <w:cantSplit/>
          <w:trHeight w:val="332"/>
        </w:trPr>
        <w:tc>
          <w:tcPr>
            <w:tcW w:w="1576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0416BB" w:rsidRDefault="000416BB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ÚČELNOST</w:t>
            </w:r>
          </w:p>
        </w:tc>
      </w:tr>
      <w:tr w:rsidR="00771EF3" w:rsidRPr="00890F7B" w:rsidTr="00665357">
        <w:trPr>
          <w:cantSplit/>
          <w:trHeight w:val="170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 w:rsidP="00EA3189">
            <w:pPr>
              <w:pStyle w:val="Standard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6130C">
              <w:rPr>
                <w:sz w:val="20"/>
                <w:szCs w:val="20"/>
              </w:rPr>
              <w:t xml:space="preserve">2. Finanční náročnost na energeticky vztažnou plochu zrenovovaných budov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6130C">
              <w:rPr>
                <w:sz w:val="20"/>
                <w:szCs w:val="20"/>
              </w:rPr>
              <w:t>Celkové způsobilé investiční náklady na m</w:t>
            </w:r>
            <w:r w:rsidRPr="00433BE4">
              <w:rPr>
                <w:sz w:val="20"/>
                <w:szCs w:val="20"/>
                <w:vertAlign w:val="superscript"/>
              </w:rPr>
              <w:t>2</w:t>
            </w:r>
            <w:r w:rsidRPr="00F6130C">
              <w:rPr>
                <w:sz w:val="20"/>
                <w:szCs w:val="20"/>
              </w:rPr>
              <w:t xml:space="preserve"> vztažné plochy budovy jsou do 5 tis. Kč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0416BB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771EF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FD0321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proveditelnosti, Energetický audit/Energetický posudek</w:t>
            </w:r>
          </w:p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i/>
                <w:sz w:val="20"/>
                <w:szCs w:val="20"/>
                <w:highlight w:val="yellow"/>
              </w:rPr>
            </w:pPr>
            <w:r w:rsidRPr="00890F7B">
              <w:rPr>
                <w:i/>
                <w:sz w:val="20"/>
                <w:szCs w:val="20"/>
              </w:rPr>
              <w:t>Měrná finanční náročnost z celkových způsobilých investičních nákladů (bez DPH) vztažená k</w:t>
            </w:r>
            <w:r>
              <w:rPr>
                <w:i/>
                <w:sz w:val="20"/>
                <w:szCs w:val="20"/>
              </w:rPr>
              <w:t> vztažné ploše budovy.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Pr="00433BE4" w:rsidRDefault="00771EF3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33BE4">
              <w:rPr>
                <w:sz w:val="18"/>
              </w:rPr>
              <w:t>Hodnotící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rPr>
                <w:b/>
                <w:sz w:val="18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771EF3" w:rsidRPr="00890F7B" w:rsidTr="00665357">
        <w:trPr>
          <w:cantSplit/>
          <w:trHeight w:val="59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6130C">
              <w:rPr>
                <w:sz w:val="20"/>
                <w:szCs w:val="20"/>
              </w:rPr>
              <w:t>Celkové způsobilé investiční náklady na m</w:t>
            </w:r>
            <w:r w:rsidRPr="00433BE4">
              <w:rPr>
                <w:sz w:val="20"/>
                <w:szCs w:val="20"/>
                <w:vertAlign w:val="superscript"/>
              </w:rPr>
              <w:t>2</w:t>
            </w:r>
            <w:r w:rsidRPr="00F6130C">
              <w:rPr>
                <w:sz w:val="20"/>
                <w:szCs w:val="20"/>
              </w:rPr>
              <w:t xml:space="preserve"> vztažné plochy budovy jsou v rozmezí od 5 tis. Kč</w:t>
            </w:r>
            <w:r>
              <w:rPr>
                <w:sz w:val="20"/>
                <w:szCs w:val="20"/>
              </w:rPr>
              <w:t xml:space="preserve"> (včetně)</w:t>
            </w:r>
            <w:r w:rsidRPr="00F6130C">
              <w:rPr>
                <w:sz w:val="20"/>
                <w:szCs w:val="20"/>
              </w:rPr>
              <w:t xml:space="preserve"> do 7,5 tis. Kč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</w:tr>
      <w:tr w:rsidR="00771EF3" w:rsidRPr="00890F7B" w:rsidTr="00665357">
        <w:trPr>
          <w:cantSplit/>
          <w:trHeight w:val="86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6130C">
              <w:rPr>
                <w:sz w:val="20"/>
                <w:szCs w:val="20"/>
              </w:rPr>
              <w:t>Celkové způsobilé investiční náklady na m</w:t>
            </w:r>
            <w:r w:rsidRPr="00433BE4">
              <w:rPr>
                <w:sz w:val="20"/>
                <w:szCs w:val="20"/>
                <w:vertAlign w:val="superscript"/>
              </w:rPr>
              <w:t xml:space="preserve">2 </w:t>
            </w:r>
            <w:r w:rsidRPr="00F6130C">
              <w:rPr>
                <w:sz w:val="20"/>
                <w:szCs w:val="20"/>
              </w:rPr>
              <w:t xml:space="preserve">vztažné </w:t>
            </w:r>
            <w:r>
              <w:rPr>
                <w:sz w:val="20"/>
                <w:szCs w:val="20"/>
              </w:rPr>
              <w:t>plochy budovy jsou v rozmezí od</w:t>
            </w:r>
            <w:r w:rsidRPr="00F6130C">
              <w:rPr>
                <w:sz w:val="20"/>
                <w:szCs w:val="20"/>
              </w:rPr>
              <w:t xml:space="preserve"> 7,5 tis. Kč</w:t>
            </w:r>
            <w:r>
              <w:rPr>
                <w:sz w:val="20"/>
                <w:szCs w:val="20"/>
              </w:rPr>
              <w:t xml:space="preserve"> (včetně)</w:t>
            </w:r>
            <w:r w:rsidRPr="00F6130C">
              <w:rPr>
                <w:sz w:val="20"/>
                <w:szCs w:val="20"/>
              </w:rPr>
              <w:t xml:space="preserve"> do 10 tis. Kč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</w:tr>
      <w:tr w:rsidR="00771EF3" w:rsidRPr="00890F7B" w:rsidTr="00665357">
        <w:trPr>
          <w:cantSplit/>
          <w:trHeight w:val="102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6130C">
              <w:rPr>
                <w:sz w:val="20"/>
                <w:szCs w:val="20"/>
              </w:rPr>
              <w:t xml:space="preserve">Celkové způsobilé investiční náklady na m2 vztažné plochy budovy jsou nad 10 tis. Kč 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</w:tr>
      <w:tr w:rsidR="00771EF3" w:rsidRPr="00890F7B" w:rsidTr="00665357">
        <w:trPr>
          <w:cantSplit/>
          <w:trHeight w:val="70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 w:rsidP="0056523D">
            <w:pPr>
              <w:pStyle w:val="Standard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6130C">
              <w:rPr>
                <w:sz w:val="20"/>
              </w:rPr>
              <w:t xml:space="preserve">3. Úspora spotřeby primární energie ve veřejných budovách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56259">
              <w:rPr>
                <w:sz w:val="20"/>
                <w:szCs w:val="20"/>
              </w:rPr>
              <w:t>Výše úspor primární energie o více než 45 % z původní celkové spotřeby primární energie (na základě měření spotřeby před realizací projektu a po něm)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FD0321" w:rsidRDefault="00771EF3" w:rsidP="000416BB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FD0321">
              <w:rPr>
                <w:b/>
                <w:bCs/>
                <w:sz w:val="20"/>
                <w:szCs w:val="20"/>
              </w:rPr>
              <w:t xml:space="preserve"> bodů</w:t>
            </w:r>
          </w:p>
          <w:p w:rsidR="00771EF3" w:rsidRPr="00890F7B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C61609" w:rsidRDefault="00771EF3" w:rsidP="00C61609">
            <w:pPr>
              <w:pStyle w:val="Normlnweb"/>
              <w:spacing w:after="0" w:afterAutospacing="0"/>
              <w:jc w:val="both"/>
              <w:rPr>
                <w:rFonts w:ascii="Calibri" w:eastAsia="SimSun" w:hAnsi="Calibri" w:cs="F"/>
                <w:b/>
                <w:bCs/>
                <w:i/>
                <w:iCs/>
                <w:kern w:val="3"/>
                <w:sz w:val="20"/>
                <w:szCs w:val="20"/>
                <w:lang w:eastAsia="en-US"/>
              </w:rPr>
            </w:pPr>
            <w:r w:rsidRPr="00C61609">
              <w:rPr>
                <w:rFonts w:ascii="Calibri" w:eastAsia="SimSun" w:hAnsi="Calibri" w:cs="F"/>
                <w:b/>
                <w:bCs/>
                <w:i/>
                <w:iCs/>
                <w:kern w:val="3"/>
                <w:sz w:val="20"/>
                <w:szCs w:val="20"/>
                <w:lang w:eastAsia="en-US"/>
              </w:rPr>
              <w:t>Žádost o podporu, studie proveditelnosti, Energetický audit/Energetický posudek/PENB</w:t>
            </w:r>
          </w:p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890F7B">
              <w:rPr>
                <w:bCs/>
                <w:i/>
                <w:iCs/>
                <w:sz w:val="20"/>
                <w:szCs w:val="20"/>
              </w:rPr>
              <w:t>Jedná</w:t>
            </w:r>
            <w:r>
              <w:rPr>
                <w:bCs/>
                <w:i/>
                <w:iCs/>
                <w:sz w:val="20"/>
                <w:szCs w:val="20"/>
              </w:rPr>
              <w:t xml:space="preserve"> se o míru naplnění indikátoru </w:t>
            </w:r>
            <w:r w:rsidRPr="00890F7B">
              <w:rPr>
                <w:bCs/>
                <w:i/>
                <w:iCs/>
                <w:sz w:val="20"/>
                <w:szCs w:val="20"/>
              </w:rPr>
              <w:t>PO2</w:t>
            </w:r>
            <w:r>
              <w:rPr>
                <w:bCs/>
                <w:i/>
                <w:iCs/>
                <w:sz w:val="20"/>
                <w:szCs w:val="20"/>
              </w:rPr>
              <w:t xml:space="preserve"> „3 27 00 – </w:t>
            </w:r>
            <w:r w:rsidRPr="00A60442">
              <w:rPr>
                <w:bCs/>
                <w:i/>
                <w:iCs/>
                <w:sz w:val="20"/>
                <w:szCs w:val="20"/>
              </w:rPr>
              <w:t>Snížení roční spotřeby primární energie ve veřejných budovách</w:t>
            </w:r>
            <w:r>
              <w:rPr>
                <w:bCs/>
                <w:i/>
                <w:iCs/>
                <w:sz w:val="20"/>
                <w:szCs w:val="20"/>
              </w:rPr>
              <w:t>“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771EF3" w:rsidRPr="00827507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827507">
              <w:rPr>
                <w:bCs/>
                <w:i/>
                <w:iCs/>
                <w:sz w:val="20"/>
                <w:szCs w:val="20"/>
              </w:rPr>
              <w:t xml:space="preserve">DI: Hodnoty vychází z energetického auditu budov nebo energetického posudku či průkazu energetické náročnosti budov (viz Čl. </w:t>
            </w:r>
            <w:proofErr w:type="gramStart"/>
            <w:r w:rsidRPr="00827507">
              <w:rPr>
                <w:bCs/>
                <w:i/>
                <w:iCs/>
                <w:sz w:val="20"/>
                <w:szCs w:val="20"/>
              </w:rPr>
              <w:t>12.1.b Směrnice</w:t>
            </w:r>
            <w:proofErr w:type="gramEnd"/>
            <w:r w:rsidRPr="00827507">
              <w:rPr>
                <w:bCs/>
                <w:i/>
                <w:iCs/>
                <w:sz w:val="20"/>
                <w:szCs w:val="20"/>
              </w:rPr>
              <w:t xml:space="preserve"> 2010/31/EU).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F3" w:rsidRPr="00EB1ABB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1ABB">
              <w:rPr>
                <w:b/>
                <w:sz w:val="18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sz w:val="18"/>
              </w:rPr>
            </w:pPr>
          </w:p>
        </w:tc>
      </w:tr>
      <w:tr w:rsidR="00771EF3" w:rsidRPr="00890F7B" w:rsidTr="00665357">
        <w:trPr>
          <w:cantSplit/>
          <w:trHeight w:val="86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56259">
              <w:rPr>
                <w:sz w:val="20"/>
                <w:szCs w:val="20"/>
              </w:rPr>
              <w:t>Výše úspor primární energie od 35 do 44,99 % z původní celkové spotřeby primární energie (na základě měření spotřeby před realizací projektu a po něm)</w:t>
            </w:r>
          </w:p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562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54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56259">
              <w:rPr>
                <w:sz w:val="20"/>
                <w:szCs w:val="20"/>
              </w:rPr>
              <w:t>Výše úspor primární energie od 20 (včetně) do 3</w:t>
            </w:r>
            <w:r>
              <w:rPr>
                <w:sz w:val="20"/>
                <w:szCs w:val="20"/>
              </w:rPr>
              <w:t>4</w:t>
            </w:r>
            <w:r w:rsidRPr="00F56259">
              <w:rPr>
                <w:sz w:val="20"/>
                <w:szCs w:val="20"/>
              </w:rPr>
              <w:t>,99 % z původní celkové spotřeby primární energie (na základě měření spotřeby před realizací projektu a po něm)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62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993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433BE4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F56259">
              <w:rPr>
                <w:sz w:val="20"/>
                <w:szCs w:val="20"/>
              </w:rPr>
              <w:t xml:space="preserve">Výše úspor primární energie o méně než </w:t>
            </w:r>
            <w:r>
              <w:rPr>
                <w:sz w:val="20"/>
                <w:szCs w:val="20"/>
              </w:rPr>
              <w:t>20</w:t>
            </w:r>
            <w:r w:rsidRPr="00F56259">
              <w:rPr>
                <w:sz w:val="20"/>
                <w:szCs w:val="20"/>
              </w:rPr>
              <w:t xml:space="preserve"> % z původní celkové spotřeby primární energie (na základě měření spotřeby před realizací projektu a po něm)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419"/>
        </w:trPr>
        <w:tc>
          <w:tcPr>
            <w:tcW w:w="215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 w:rsidP="00655DA7">
            <w:pPr>
              <w:pStyle w:val="Standard"/>
              <w:spacing w:after="0" w:line="240" w:lineRule="auto"/>
              <w:rPr>
                <w:highlight w:val="yellow"/>
              </w:rPr>
            </w:pPr>
            <w:r w:rsidRPr="00F6130C">
              <w:rPr>
                <w:sz w:val="20"/>
              </w:rPr>
              <w:t xml:space="preserve">4. Doplňkové hodnocení </w:t>
            </w:r>
            <w:proofErr w:type="spellStart"/>
            <w:r w:rsidRPr="00F6130C">
              <w:rPr>
                <w:sz w:val="20"/>
              </w:rPr>
              <w:t>SBtoolCZ</w:t>
            </w:r>
            <w:proofErr w:type="spellEnd"/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F56259">
              <w:rPr>
                <w:sz w:val="20"/>
              </w:rPr>
              <w:t xml:space="preserve">kóre 7 - 10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4E68BD" w:rsidRDefault="00771EF3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5 bodů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Pr="008D4C89" w:rsidRDefault="00771EF3" w:rsidP="003E594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68BD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E68BD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371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Pr="0092769B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2769B">
              <w:rPr>
                <w:b/>
                <w:bCs/>
                <w:i/>
                <w:iCs/>
                <w:sz w:val="20"/>
                <w:szCs w:val="20"/>
              </w:rPr>
              <w:t xml:space="preserve">Certifikát kvality budov </w:t>
            </w:r>
            <w:proofErr w:type="spellStart"/>
            <w:r w:rsidRPr="0092769B">
              <w:rPr>
                <w:b/>
                <w:bCs/>
                <w:i/>
                <w:iCs/>
                <w:sz w:val="20"/>
                <w:szCs w:val="20"/>
              </w:rPr>
              <w:t>SBtoolCZ</w:t>
            </w:r>
            <w:proofErr w:type="spellEnd"/>
          </w:p>
          <w:p w:rsidR="00771EF3" w:rsidRPr="0092769B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771EF3" w:rsidRPr="0092769B" w:rsidRDefault="00771EF3" w:rsidP="00C61609">
            <w:pPr>
              <w:pStyle w:val="Standard"/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92769B">
              <w:rPr>
                <w:bCs/>
                <w:i/>
                <w:iCs/>
                <w:sz w:val="20"/>
                <w:szCs w:val="20"/>
              </w:rPr>
              <w:t xml:space="preserve">Multikriteriální hodnocení založené na dvou pilířích udržitelnosti dle metodiky </w:t>
            </w:r>
            <w:proofErr w:type="spellStart"/>
            <w:r w:rsidRPr="0092769B">
              <w:rPr>
                <w:bCs/>
                <w:i/>
                <w:iCs/>
                <w:sz w:val="20"/>
                <w:szCs w:val="20"/>
              </w:rPr>
              <w:t>SBtoolCZ</w:t>
            </w:r>
            <w:proofErr w:type="spellEnd"/>
            <w:r w:rsidRPr="0092769B">
              <w:rPr>
                <w:bCs/>
                <w:i/>
                <w:iCs/>
                <w:sz w:val="20"/>
                <w:szCs w:val="20"/>
              </w:rPr>
              <w:t xml:space="preserve"> (dvě skupiny kritérií):</w:t>
            </w:r>
          </w:p>
          <w:p w:rsidR="00771EF3" w:rsidRPr="0092769B" w:rsidRDefault="00771EF3" w:rsidP="00C61609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92769B">
              <w:rPr>
                <w:bCs/>
                <w:i/>
                <w:iCs/>
                <w:sz w:val="20"/>
                <w:szCs w:val="20"/>
              </w:rPr>
              <w:t>sociální kritéria (70% váha)</w:t>
            </w:r>
          </w:p>
          <w:p w:rsidR="00771EF3" w:rsidRPr="00EE0DD2" w:rsidRDefault="00771EF3" w:rsidP="00C61609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92769B">
              <w:rPr>
                <w:bCs/>
                <w:i/>
                <w:iCs/>
                <w:sz w:val="20"/>
                <w:szCs w:val="20"/>
              </w:rPr>
              <w:t>kritéria ekonomika a management (30% váha)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Pr="00433BE4" w:rsidRDefault="00771EF3" w:rsidP="008D4C89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433BE4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13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 w:rsidP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Pr="00433BE4" w:rsidRDefault="00771EF3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419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pStyle w:val="Standard"/>
              <w:spacing w:after="0" w:line="240" w:lineRule="auto"/>
              <w:rPr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F56259">
              <w:rPr>
                <w:sz w:val="20"/>
              </w:rPr>
              <w:t>kóre 5 – 6,99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4 bod</w:t>
            </w:r>
            <w:r w:rsidR="00B366A7">
              <w:rPr>
                <w:sz w:val="20"/>
              </w:rPr>
              <w:t>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453BD4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419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pStyle w:val="Standard"/>
              <w:spacing w:after="0" w:line="240" w:lineRule="auto"/>
              <w:rPr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F56259">
              <w:rPr>
                <w:sz w:val="20"/>
              </w:rPr>
              <w:t>kóre 2 až 4,99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2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453BD4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380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pStyle w:val="Standard"/>
              <w:spacing w:after="0" w:line="240" w:lineRule="auto"/>
              <w:rPr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56259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F56259">
              <w:rPr>
                <w:sz w:val="20"/>
              </w:rPr>
              <w:t>kóre 1,99 a méně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56259">
              <w:rPr>
                <w:sz w:val="20"/>
              </w:rPr>
              <w:t>0</w:t>
            </w:r>
            <w:r>
              <w:rPr>
                <w:sz w:val="20"/>
              </w:rPr>
              <w:t xml:space="preserve">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453BD4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165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3E594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3E5945">
              <w:rPr>
                <w:sz w:val="20"/>
              </w:rPr>
              <w:t>Energetický management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3E5945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3E5945">
              <w:rPr>
                <w:sz w:val="20"/>
                <w:szCs w:val="20"/>
              </w:rPr>
              <w:t>Zavedení energetického managementu vč. dálkového a automatického monitoringu spotřeb všech medií a energií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0947B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Default="00771EF3" w:rsidP="000947B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6 bodů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EF3" w:rsidRDefault="00771EF3" w:rsidP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 Projektová dokumentace</w:t>
            </w:r>
          </w:p>
          <w:p w:rsidR="00771EF3" w:rsidRDefault="00771EF3" w:rsidP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Žadatel uvede v samostatné příloze studie proveditelnosti technické řešení provedení energetického managementu a zároveň návrh manuálu pro uživatele.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D279AB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61609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16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92769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3E5945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3E5945">
              <w:rPr>
                <w:sz w:val="20"/>
                <w:szCs w:val="20"/>
              </w:rPr>
              <w:t>Zavedení energetického managementu vč. dálkového a automatického monitoringu spotřeb podstatných medií a energií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B6737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Default="00771EF3" w:rsidP="00B6737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EF3" w:rsidRDefault="00771EF3" w:rsidP="00B6737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EF3" w:rsidRDefault="00771EF3" w:rsidP="00F6130C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Default="00771EF3" w:rsidP="00F6130C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16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92769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3E5945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3E5945">
              <w:rPr>
                <w:sz w:val="20"/>
                <w:szCs w:val="20"/>
              </w:rPr>
              <w:t>Nezavedení energetického managementu vč. dálkového a automatického monitoringu spotřeb podstatných medií a energií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B6737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594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Default="00771EF3" w:rsidP="00B6737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EF3" w:rsidRDefault="00771EF3" w:rsidP="00B6737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EF3" w:rsidRDefault="00771EF3" w:rsidP="00F6130C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Default="00771EF3" w:rsidP="00F6130C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354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D20C8" w:rsidRDefault="00771EF3">
            <w:pPr>
              <w:pStyle w:val="Standard"/>
              <w:spacing w:after="0" w:line="240" w:lineRule="auto"/>
              <w:rPr>
                <w:highlight w:val="yellow"/>
              </w:rPr>
            </w:pPr>
            <w:r>
              <w:rPr>
                <w:sz w:val="20"/>
              </w:rPr>
              <w:t>6</w:t>
            </w:r>
            <w:r w:rsidRPr="00F6130C">
              <w:rPr>
                <w:sz w:val="20"/>
              </w:rPr>
              <w:t>. Bonifikace za OZE pro vlastní spotřebu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Pr="00F6130C">
              <w:rPr>
                <w:sz w:val="20"/>
              </w:rPr>
              <w:t>ad 25 %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3</w:t>
            </w:r>
            <w:r w:rsidRPr="00F6130C">
              <w:rPr>
                <w:sz w:val="20"/>
              </w:rPr>
              <w:t xml:space="preserve"> bod</w:t>
            </w:r>
            <w:r>
              <w:rPr>
                <w:sz w:val="20"/>
              </w:rPr>
              <w:t>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2A1AB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0DD2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E0DD2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B7CF7">
              <w:rPr>
                <w:b/>
                <w:bCs/>
                <w:i/>
                <w:iCs/>
                <w:sz w:val="20"/>
                <w:szCs w:val="20"/>
              </w:rPr>
              <w:t>Výpočet – Data z </w:t>
            </w:r>
            <w:r w:rsidR="00B366A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2B7CF7">
              <w:rPr>
                <w:b/>
                <w:bCs/>
                <w:i/>
                <w:iCs/>
                <w:sz w:val="20"/>
                <w:szCs w:val="20"/>
              </w:rPr>
              <w:t>nergetického auditu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="00B366A7">
              <w:rPr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b/>
                <w:bCs/>
                <w:i/>
                <w:iCs/>
                <w:sz w:val="20"/>
                <w:szCs w:val="20"/>
              </w:rPr>
              <w:t>nergetického posudku</w:t>
            </w:r>
          </w:p>
          <w:p w:rsidR="00771EF3" w:rsidRPr="002B7CF7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sz w:val="20"/>
              </w:rPr>
            </w:pPr>
          </w:p>
          <w:p w:rsidR="00771EF3" w:rsidRDefault="00771EF3" w:rsidP="008D4C8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6130C">
              <w:rPr>
                <w:sz w:val="20"/>
              </w:rPr>
              <w:t xml:space="preserve">Podíl obnovitelné energie na spotřebě celkové primární energie po provedení opatření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Pr="00433BE4" w:rsidRDefault="00771EF3" w:rsidP="00771EF3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433BE4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 w:rsidP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274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F6130C">
              <w:rPr>
                <w:sz w:val="20"/>
              </w:rPr>
              <w:t>15 – 24,99 %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2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8D4C89">
            <w:pPr>
              <w:pStyle w:val="Standard"/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292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F6130C">
              <w:rPr>
                <w:sz w:val="20"/>
              </w:rPr>
              <w:t>5 – 14,99 %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1 bod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8D4C89">
            <w:pPr>
              <w:pStyle w:val="Standard"/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396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6130C" w:rsidRDefault="00771EF3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F3" w:rsidRPr="00F6130C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F6130C">
              <w:rPr>
                <w:sz w:val="20"/>
              </w:rPr>
              <w:t>0 – 4,99 %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71EF3" w:rsidRDefault="00771EF3" w:rsidP="008D4C89">
            <w:pPr>
              <w:pStyle w:val="Standard"/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416BB" w:rsidRPr="00890F7B" w:rsidTr="00665357">
        <w:trPr>
          <w:cantSplit/>
          <w:trHeight w:val="501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6BB" w:rsidRDefault="000416BB">
            <w:pPr>
              <w:pStyle w:val="Standard"/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EFEKTIVNOST</w:t>
            </w:r>
            <w:r w:rsidRPr="008D0A84">
              <w:rPr>
                <w:b/>
                <w:bCs/>
                <w:szCs w:val="20"/>
              </w:rPr>
              <w:t xml:space="preserve">  </w:t>
            </w:r>
          </w:p>
        </w:tc>
      </w:tr>
      <w:tr w:rsidR="000416BB" w:rsidRPr="00890F7B" w:rsidTr="00665357">
        <w:trPr>
          <w:cantSplit/>
          <w:trHeight w:val="788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416BB" w:rsidRPr="00890F7B" w:rsidRDefault="00DE35B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16BB">
              <w:rPr>
                <w:sz w:val="20"/>
                <w:szCs w:val="20"/>
              </w:rPr>
              <w:t xml:space="preserve">. </w:t>
            </w:r>
            <w:r w:rsidR="000416BB" w:rsidRPr="00890F7B">
              <w:rPr>
                <w:sz w:val="20"/>
                <w:szCs w:val="20"/>
              </w:rPr>
              <w:t>Rozpočet projektu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264AD1" w:rsidRDefault="000416BB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obsahuje jasný a podrobný přehled všech výdajů projektu. Položky rozpočtu jsou odůvodněné v podrobném komentáři. Výdaje projektu jsou nezbytné pro jeho realizaci 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odpovídají jednotlivým aktivitám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projektu. Žadatel identifikuje způsobilé i nezpůsobilé výdaje.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890F7B" w:rsidRDefault="00DE35BF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 w:rsidP="00C61609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188B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0416BB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 rozpočtu v příslušné kapitole SP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0416BB" w:rsidRDefault="000416BB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Žadatel vyplní rozpočet dle struktury rozpočtu v žádosti/položkového rozpočtu, ke každé položce rozpočtu bude náležet příslušný komentář v příslušné kapitole studie proveditelnosti.</w:t>
            </w:r>
          </w:p>
          <w:p w:rsidR="000416BB" w:rsidRDefault="000416BB" w:rsidP="00264AD1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  <w:p w:rsidR="000416BB" w:rsidRPr="00890F7B" w:rsidRDefault="000416BB" w:rsidP="00264AD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6BB" w:rsidRPr="00E6509C" w:rsidRDefault="000416BB" w:rsidP="00771EF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61609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6BB" w:rsidRDefault="000416BB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0416BB" w:rsidRPr="00890F7B" w:rsidTr="00665357">
        <w:trPr>
          <w:cantSplit/>
          <w:trHeight w:val="1465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264AD1" w:rsidRDefault="000416BB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obsahuje jasný a podrobný přehled všech výdajů projektu. Náklady jsou účelné. Položky rozpočtu však nejsou odůvodněné v podrobném komentáři nebo výdaje projektu neodpovídají jeho aktivitám nebo žadatel neidentifikoval způsobilé a nezpůsobilé výdaje.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890F7B" w:rsidRDefault="00DE35BF" w:rsidP="00C616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16BB" w:rsidRPr="00890F7B" w:rsidTr="00665357">
        <w:trPr>
          <w:cantSplit/>
          <w:trHeight w:val="1465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neobsahuje jasný a podrobný přehled všech výdajů projektu.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Účelnost nákladů není zřejmá. Rozpočet postrádá podrobný komentář a vysvětlení. Nejsou identifikovány způsobilé a nezpůsobilé výdaje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890F7B" w:rsidRDefault="00DE35BF" w:rsidP="00C616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B" w:rsidRPr="00890F7B" w:rsidRDefault="000416BB" w:rsidP="00E81E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cantSplit/>
          <w:trHeight w:val="445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3E1221" w:rsidRDefault="00771EF3" w:rsidP="003E12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8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E1221">
              <w:rPr>
                <w:rFonts w:cs="Arial"/>
                <w:color w:val="000000"/>
                <w:sz w:val="20"/>
                <w:szCs w:val="20"/>
              </w:rPr>
              <w:t>Efektivnost projektu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92478A" w:rsidRPr="00314F77" w:rsidRDefault="0092478A" w:rsidP="0092478A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doložena jejich průkaznost. Přínosy investice jsou dostatečně okomentovány/ohodnoceny a odpovídají charakteru a velikosti projektu. Projekt je z finančního a ekonomického hlediska přijatelný.</w:t>
            </w:r>
          </w:p>
          <w:p w:rsidR="0092478A" w:rsidRPr="003E1221" w:rsidRDefault="00EA50D1" w:rsidP="00EA50D1">
            <w:pPr>
              <w:pStyle w:val="Standard"/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 projektů se zpracovanou ekonomickou analýzou</w:t>
            </w:r>
            <w:r w:rsidR="0092478A"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="0092478A"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="0092478A"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všechny použité vstupy jsou dostatečně zdůvodněny a jeví se jako reálné.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3E1221" w:rsidRDefault="0092478A" w:rsidP="00DE35BF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9 </w:t>
            </w:r>
            <w:r w:rsidR="00771EF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3E1221" w:rsidRDefault="00771EF3" w:rsidP="0092478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1221">
              <w:rPr>
                <w:b/>
                <w:sz w:val="20"/>
                <w:szCs w:val="20"/>
              </w:rPr>
              <w:t xml:space="preserve">Max. </w:t>
            </w:r>
            <w:r w:rsidR="0092478A">
              <w:rPr>
                <w:b/>
                <w:sz w:val="20"/>
                <w:szCs w:val="20"/>
              </w:rPr>
              <w:t>9</w:t>
            </w:r>
            <w:r w:rsidR="0092478A" w:rsidRPr="003E1221">
              <w:rPr>
                <w:b/>
                <w:sz w:val="20"/>
                <w:szCs w:val="20"/>
              </w:rPr>
              <w:t xml:space="preserve"> </w:t>
            </w:r>
            <w:r w:rsidRPr="003E1221">
              <w:rPr>
                <w:b/>
                <w:sz w:val="20"/>
                <w:szCs w:val="20"/>
              </w:rPr>
              <w:t>bodů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264AD1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</w:t>
            </w:r>
            <w:r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, studie proveditelnosti</w:t>
            </w:r>
          </w:p>
          <w:p w:rsidR="00771EF3" w:rsidRPr="003E1221" w:rsidRDefault="00771EF3" w:rsidP="00264AD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prokáže finanční a ekonomickou bonitu projektu. K tomu použije hodnotící ukazatele, které napomohou k zobrazení celkové rentability projektu. Cílem je dokázat efektivnost projektu z finančního a ekonomického hlediska.</w:t>
            </w:r>
          </w:p>
          <w:p w:rsidR="00771EF3" w:rsidRPr="003E1221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5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  <w:p w:rsidR="00771EF3" w:rsidRPr="003E1221" w:rsidRDefault="00771EF3" w:rsidP="00C616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F3" w:rsidRPr="00890F7B" w:rsidRDefault="00771EF3">
            <w:pPr>
              <w:jc w:val="center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  <w:r w:rsidRPr="003F1ECE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EF3" w:rsidRDefault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771EF3" w:rsidRDefault="00771EF3" w:rsidP="00C61609">
            <w:pPr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771EF3" w:rsidRPr="00890F7B" w:rsidTr="00665357">
        <w:trPr>
          <w:cantSplit/>
          <w:trHeight w:val="44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</w:p>
          <w:p w:rsidR="0092478A" w:rsidRPr="00A02D39" w:rsidRDefault="0092478A" w:rsidP="0092478A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částečně doložena jejich průkaznost. Žadatel zohlednil klíčové faktory vstupující do finanční analýzy a socioekonomické analýzy, dostatečně okomentoval vstupní hodnoty/výsledky finanční a příp. ekonomické analýzy a zároveň tyto hodnoty nejsou nadhodnocené, a odpovídají charakteru a velikosti projektu.</w:t>
            </w:r>
          </w:p>
          <w:p w:rsidR="0092478A" w:rsidRPr="00AB4F5E" w:rsidRDefault="0092478A" w:rsidP="0092478A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zdůvodnění vstupů ale není úplné a jednoznačně průkazné.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FD0321" w:rsidRDefault="0092478A" w:rsidP="00DE35BF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sz w:val="20"/>
              </w:rPr>
              <w:t xml:space="preserve">6 </w:t>
            </w:r>
            <w:r w:rsidR="00771EF3">
              <w:rPr>
                <w:sz w:val="20"/>
              </w:rPr>
              <w:t>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D0321" w:rsidRDefault="00771EF3" w:rsidP="009F46DD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 w:rsidP="00264AD1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Default="00771EF3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3" w:rsidRDefault="00771EF3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92478A" w:rsidRPr="00890F7B" w:rsidTr="00665357">
        <w:trPr>
          <w:cantSplit/>
          <w:trHeight w:val="44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78A" w:rsidRDefault="0092478A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22" w:rsidRPr="00A02D39" w:rsidRDefault="001D7D22" w:rsidP="001D7D22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nevyplývá efektivní vynaložení prostředků s ohledem na přínosy realizace projektu. Žadatel nedostatečně okomentoval vstupní hodnoty/výsledky finanční a příp. ekonomické analýzy (či nezohlednil některé faktory vstupující do finanční nebo socioekonomické analýzy) nebo vstupní hodnoty pro hodnocení efektivnosti jsou nadhodnocené nebo podhodnocené. Efektivnost výdajů v poměru k velikosti projektu, socioekonomickým přínosům projektu a cílovým hodnotám zvolených indikátorů je přesto ještě přijatelná.</w:t>
            </w:r>
          </w:p>
          <w:p w:rsidR="0092478A" w:rsidRDefault="001D7D22" w:rsidP="001D7D22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použité vstupy jsou nadhodnoceny nebo podhodnoceny, případně nejsou řádně zdůvodněny.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8A" w:rsidRDefault="0092478A" w:rsidP="00DE35B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78A" w:rsidRPr="00FD0321" w:rsidRDefault="0092478A" w:rsidP="009F46DD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8A" w:rsidRPr="00890F7B" w:rsidRDefault="0092478A" w:rsidP="00264AD1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78A" w:rsidRDefault="0092478A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78A" w:rsidRDefault="0092478A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771EF3" w:rsidRPr="00890F7B" w:rsidTr="00665357">
        <w:trPr>
          <w:cantSplit/>
          <w:trHeight w:val="860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</w:p>
          <w:p w:rsidR="001D7D22" w:rsidRPr="00AB4F5E" w:rsidRDefault="001D7D22" w:rsidP="00C61609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Projekt neprokazuje efektivní vynaložení prostředků.  Kvalita vstupních dat pro posouzení efektivnosti projektu není dostatečná a/či přínosy realizace projektu nebyly prokázány. Žadatel neokomentoval vstupní hodnoty/výsledky finanční a příp. ekonomické analýzy. U projektů se zpracovanou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záporné výsledky (hodnocení návratnosti investic pro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EA50D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ekonomická</w:t>
            </w:r>
            <w:r w:rsidR="00EA50D1"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projektu je záporný) nebo vstupy do ekonomického hodnocení žádosti jsou nedostatečně zdůvodněny a jeví se jako nereálné (významně nadhodnocené nebo podhodnocené), případně ekonomické hodnocení je metodicky chybně zpracováno.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FD0321" w:rsidRDefault="00771EF3" w:rsidP="00DE35BF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071E19">
              <w:rPr>
                <w:sz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FD0321" w:rsidRDefault="00771EF3" w:rsidP="009F46DD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 w:rsidP="00264AD1">
            <w:pPr>
              <w:pStyle w:val="Standard"/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3" w:rsidRDefault="00771EF3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3" w:rsidRDefault="00771EF3" w:rsidP="001563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7D2CF0" w:rsidTr="0066535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gridBefore w:val="1"/>
          <w:wBefore w:w="29" w:type="dxa"/>
          <w:cantSplit/>
          <w:trHeight w:val="551"/>
        </w:trPr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Del="00392D80" w:rsidRDefault="0003474C" w:rsidP="00FE155C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="007D2CF0">
              <w:rPr>
                <w:rFonts w:cs="Arial"/>
                <w:color w:val="000000"/>
                <w:sz w:val="20"/>
                <w:szCs w:val="20"/>
              </w:rPr>
              <w:t xml:space="preserve">. Ověření potřeby </w:t>
            </w:r>
            <w:r w:rsidR="007D2CF0" w:rsidRPr="008628BA">
              <w:rPr>
                <w:rFonts w:cs="Arial"/>
                <w:color w:val="000000"/>
                <w:sz w:val="20"/>
                <w:szCs w:val="20"/>
              </w:rPr>
              <w:t>financování</w:t>
            </w:r>
            <w:r w:rsidR="007D2CF0">
              <w:rPr>
                <w:rFonts w:cs="Arial"/>
                <w:color w:val="000000"/>
                <w:sz w:val="20"/>
                <w:szCs w:val="20"/>
              </w:rPr>
              <w:t xml:space="preserve"> z veřejných zdrojů</w:t>
            </w:r>
          </w:p>
        </w:tc>
        <w:tc>
          <w:tcPr>
            <w:tcW w:w="4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RDefault="007D2CF0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Byla ověřena potřeba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předpokládaný zisk z projektu neumožňuje návratnost vložených prostředků. V případě řádně zpracované finanční analýzy lze prokázat zápornou hodnotou ukazatele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14AB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finanční čistá současná hodnota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RDefault="007D2CF0" w:rsidP="003036DE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RDefault="007D2CF0" w:rsidP="0030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1 bod</w:t>
            </w:r>
          </w:p>
        </w:tc>
        <w:tc>
          <w:tcPr>
            <w:tcW w:w="373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RPr="008628BA" w:rsidRDefault="007D2CF0" w:rsidP="003036D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628BA">
              <w:rPr>
                <w:b/>
                <w:bCs/>
                <w:i/>
                <w:iCs/>
                <w:sz w:val="20"/>
                <w:szCs w:val="20"/>
              </w:rPr>
              <w:t xml:space="preserve">CBA, studie proveditelnosti, žádost </w:t>
            </w:r>
            <w:r>
              <w:rPr>
                <w:b/>
                <w:bCs/>
                <w:i/>
                <w:iCs/>
                <w:sz w:val="20"/>
                <w:szCs w:val="20"/>
              </w:rPr>
              <w:t>o podporu</w:t>
            </w:r>
          </w:p>
          <w:p w:rsidR="007D2CF0" w:rsidRDefault="007D2CF0" w:rsidP="003036DE"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 zpracované finanční analýzy je ověřována relevance a přiměřenost vstupů </w:t>
            </w:r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vzhledem k charakteru a rozsahu projektu a odpovídající hodnoty výsledků (neziskový charakter </w:t>
            </w:r>
            <w:r w:rsidRPr="007D2CF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projektu). U projektů se způsobilými výdaji do 5 mil. Kč, které nemají zpracovanou finanční analýzu, je ověřována potřeba spolufinancování na základě posouzení rozpočtu</w:t>
            </w:r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projektu a předpokládaných výdajů a příjmů v provozní fázi projektu (v průběhu referenčního období).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7D2CF0" w:rsidRPr="00090C29" w:rsidRDefault="007D2CF0" w:rsidP="003036DE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8628BA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RDefault="007D2CF0" w:rsidP="003036DE">
            <w:pPr>
              <w:rPr>
                <w:bCs/>
                <w:i/>
                <w:iCs/>
                <w:sz w:val="20"/>
                <w:szCs w:val="20"/>
              </w:rPr>
            </w:pPr>
            <w:r w:rsidRPr="006F7BAB">
              <w:rPr>
                <w:bCs/>
                <w:i/>
                <w:iCs/>
                <w:sz w:val="20"/>
                <w:szCs w:val="20"/>
              </w:rPr>
              <w:t>Hodno</w:t>
            </w:r>
            <w:r>
              <w:rPr>
                <w:bCs/>
                <w:i/>
                <w:iCs/>
                <w:sz w:val="20"/>
                <w:szCs w:val="20"/>
              </w:rPr>
              <w:t xml:space="preserve">titel specifických požadavků </w:t>
            </w:r>
            <w:r w:rsidRPr="006F7BAB">
              <w:rPr>
                <w:bCs/>
                <w:i/>
                <w:iCs/>
                <w:sz w:val="20"/>
                <w:szCs w:val="20"/>
              </w:rPr>
              <w:lastRenderedPageBreak/>
              <w:t>B</w:t>
            </w:r>
          </w:p>
        </w:tc>
      </w:tr>
      <w:tr w:rsidR="007D2CF0" w:rsidTr="0066535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gridBefore w:val="1"/>
          <w:wBefore w:w="29" w:type="dxa"/>
          <w:cantSplit/>
          <w:trHeight w:val="551"/>
        </w:trPr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Del="00392D80" w:rsidRDefault="007D2CF0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RDefault="007D2CF0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Prostředky vložené do projektu jsou v průběhu referenč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ního období návratné i bez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zdrojů. Projekt nepotřebuje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RDefault="007D2CF0" w:rsidP="003036DE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RDefault="007D2CF0" w:rsidP="003036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F0" w:rsidRDefault="007D2CF0" w:rsidP="003036DE"/>
        </w:tc>
        <w:tc>
          <w:tcPr>
            <w:tcW w:w="1228" w:type="dxa"/>
            <w:vMerge/>
            <w:textDirection w:val="btLr"/>
            <w:vAlign w:val="center"/>
          </w:tcPr>
          <w:p w:rsidR="007D2CF0" w:rsidRPr="00090C29" w:rsidRDefault="007D2CF0" w:rsidP="003036DE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F0" w:rsidRDefault="007D2CF0" w:rsidP="003036DE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416BB" w:rsidRPr="00890F7B" w:rsidTr="00665357">
        <w:trPr>
          <w:trHeight w:val="423"/>
        </w:trPr>
        <w:tc>
          <w:tcPr>
            <w:tcW w:w="1576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0416BB" w:rsidRDefault="000416BB" w:rsidP="00C61609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HOSPODÁRNOST</w:t>
            </w:r>
          </w:p>
        </w:tc>
      </w:tr>
      <w:tr w:rsidR="00771EF3" w:rsidRPr="00890F7B" w:rsidTr="00665357">
        <w:trPr>
          <w:trHeight w:val="488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03474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1EF3">
              <w:rPr>
                <w:sz w:val="20"/>
                <w:szCs w:val="20"/>
              </w:rPr>
              <w:t>.</w:t>
            </w:r>
            <w:r w:rsidR="00771EF3" w:rsidRPr="00890F7B">
              <w:rPr>
                <w:sz w:val="20"/>
                <w:szCs w:val="20"/>
              </w:rPr>
              <w:t xml:space="preserve"> Hospodárnost výdajů projektu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odpovídají cenám obvyklým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EF3" w:rsidRPr="0015637F" w:rsidRDefault="00B366A7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F3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0947B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 w:rsidR="003C2028">
              <w:rPr>
                <w:b/>
                <w:bCs/>
                <w:sz w:val="20"/>
                <w:szCs w:val="20"/>
              </w:rPr>
              <w:t>5</w:t>
            </w:r>
            <w:r w:rsidRPr="0015637F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771EF3" w:rsidRPr="00890F7B" w:rsidRDefault="00771EF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B4812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F2BAC">
              <w:rPr>
                <w:i/>
                <w:sz w:val="20"/>
                <w:szCs w:val="20"/>
              </w:rPr>
              <w:t>Pozn. ŘO</w:t>
            </w:r>
            <w:r>
              <w:rPr>
                <w:i/>
                <w:sz w:val="20"/>
                <w:szCs w:val="20"/>
              </w:rPr>
              <w:t xml:space="preserve"> OP PPR</w:t>
            </w:r>
            <w:r w:rsidRPr="008F2BAC">
              <w:rPr>
                <w:i/>
                <w:sz w:val="20"/>
                <w:szCs w:val="20"/>
              </w:rPr>
              <w:t>: V případě pochybností o způsobilosti výdajů</w:t>
            </w:r>
            <w:r>
              <w:rPr>
                <w:i/>
                <w:sz w:val="20"/>
                <w:szCs w:val="20"/>
              </w:rPr>
              <w:t>, potřeby ověření jejich přiměřenosti</w:t>
            </w:r>
            <w:r w:rsidRPr="008F2BAC">
              <w:rPr>
                <w:i/>
                <w:sz w:val="20"/>
                <w:szCs w:val="20"/>
              </w:rPr>
              <w:t xml:space="preserve"> nebo v případě, kdy jsou doporučení hodnotitelů vzájemně v rozporu, si může finanční manažer vyžádat posudek nezávislého externího odborníka. V případě, kdy je hodnotiteli udělen počet bodů 0, je posudek nezávislého </w:t>
            </w:r>
            <w:r>
              <w:rPr>
                <w:i/>
                <w:sz w:val="20"/>
                <w:szCs w:val="20"/>
              </w:rPr>
              <w:t xml:space="preserve">externího </w:t>
            </w:r>
            <w:r w:rsidRPr="008F2BAC">
              <w:rPr>
                <w:i/>
                <w:sz w:val="20"/>
                <w:szCs w:val="20"/>
              </w:rPr>
              <w:t>odborníka povinností.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71EF3" w:rsidRPr="00890F7B" w:rsidRDefault="00771EF3" w:rsidP="00771EF3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71EF3" w:rsidRDefault="00771EF3" w:rsidP="003C202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771EF3" w:rsidRPr="00890F7B" w:rsidTr="00665357">
        <w:trPr>
          <w:trHeight w:val="248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EF3" w:rsidRPr="00890F7B" w:rsidRDefault="000F700F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771EF3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8B4812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trHeight w:val="247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obvyklým, jejich výše není odůvodněna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EF3" w:rsidRPr="00890F7B" w:rsidRDefault="00771EF3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8B4812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416BB" w:rsidRPr="00890F7B" w:rsidTr="00665357">
        <w:trPr>
          <w:trHeight w:val="461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6BB" w:rsidRDefault="000416BB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PROVEDITELNOST</w:t>
            </w:r>
          </w:p>
        </w:tc>
      </w:tr>
      <w:tr w:rsidR="00771EF3" w:rsidRPr="00890F7B" w:rsidTr="00665357">
        <w:trPr>
          <w:trHeight w:val="1676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347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53BD4">
              <w:rPr>
                <w:sz w:val="20"/>
                <w:szCs w:val="20"/>
              </w:rPr>
              <w:t xml:space="preserve"> </w:t>
            </w:r>
            <w:r w:rsidRPr="00890F7B">
              <w:rPr>
                <w:sz w:val="20"/>
                <w:szCs w:val="20"/>
              </w:rPr>
              <w:t>Organizační a odborné zajištění projektu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="00453BD4">
              <w:rPr>
                <w:sz w:val="20"/>
                <w:szCs w:val="20"/>
              </w:rPr>
              <w:t>před</w:t>
            </w:r>
            <w:r w:rsidR="00453BD4" w:rsidRPr="00890F7B">
              <w:rPr>
                <w:sz w:val="20"/>
                <w:szCs w:val="20"/>
              </w:rPr>
              <w:t>investiční</w:t>
            </w:r>
            <w:proofErr w:type="spellEnd"/>
            <w:r w:rsidRPr="00890F7B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podložena referenčními projekty.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15637F" w:rsidRDefault="00771EF3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příp. tabulka „Personální zajištění</w:t>
            </w:r>
          </w:p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br/>
              <w:t>Žadatel má vytvořen projektový tým pro všechny fáze projektu (</w:t>
            </w:r>
            <w:proofErr w:type="spellStart"/>
            <w:r w:rsidRPr="00890F7B">
              <w:rPr>
                <w:i/>
                <w:iCs/>
                <w:sz w:val="20"/>
                <w:szCs w:val="20"/>
              </w:rPr>
              <w:t>předinvestiční</w:t>
            </w:r>
            <w:proofErr w:type="spellEnd"/>
            <w:r w:rsidRPr="00890F7B">
              <w:rPr>
                <w:i/>
                <w:iCs/>
                <w:sz w:val="20"/>
                <w:szCs w:val="20"/>
              </w:rPr>
              <w:t xml:space="preserve"> - přípravná, investiční a provozní fáze) s jasným vymezením pozice a aktivit s tím </w:t>
            </w:r>
            <w:r w:rsidR="00453BD4" w:rsidRPr="00890F7B">
              <w:rPr>
                <w:i/>
                <w:iCs/>
                <w:sz w:val="20"/>
                <w:szCs w:val="20"/>
              </w:rPr>
              <w:t>spojených včetně</w:t>
            </w:r>
            <w:r w:rsidRPr="00890F7B">
              <w:rPr>
                <w:i/>
                <w:iCs/>
                <w:sz w:val="20"/>
                <w:szCs w:val="20"/>
              </w:rPr>
              <w:t xml:space="preserve"> odpovědnosti za splnění těchto aktivit. Při hodnocení se zohlední i vytvoření administrativních, technických a finančních podmínek pro činnost projektovéh</w:t>
            </w:r>
            <w:r w:rsidR="00453BD4">
              <w:rPr>
                <w:i/>
                <w:iCs/>
                <w:sz w:val="20"/>
                <w:szCs w:val="20"/>
              </w:rPr>
              <w:t xml:space="preserve">o týmu. V </w:t>
            </w:r>
            <w:r w:rsidRPr="00890F7B">
              <w:rPr>
                <w:i/>
                <w:iCs/>
                <w:sz w:val="20"/>
                <w:szCs w:val="20"/>
              </w:rPr>
              <w:t>případě, že bude projektový tým složen jen z intern</w:t>
            </w:r>
            <w:r w:rsidR="00453BD4">
              <w:rPr>
                <w:i/>
                <w:iCs/>
                <w:sz w:val="20"/>
                <w:szCs w:val="20"/>
              </w:rPr>
              <w:t xml:space="preserve">ích zdrojů, je hodnoceno, zdali </w:t>
            </w:r>
            <w:r w:rsidRPr="00890F7B">
              <w:rPr>
                <w:i/>
                <w:iCs/>
                <w:sz w:val="20"/>
                <w:szCs w:val="20"/>
              </w:rPr>
              <w:t>dokáže žadatel s vlastními zdroji zabezpečit všechny činnosti potřebné pro přípravu a realizaci projektu a srozumitelně popíše celou organizaci jednotlivých činností.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771EF3" w:rsidRPr="00890F7B" w:rsidTr="00665357">
        <w:trPr>
          <w:trHeight w:val="85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však mají prokazatelně doložené zkušenosti s realizací projektů (investičních, příp. neinvestičních) referenčními projekty.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trHeight w:val="85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nemají prokazatelně doložené zkušenosti s realizací projektů (investičních, příp. neinvestičních) referenčními projekty.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71EF3" w:rsidRPr="00890F7B" w:rsidRDefault="00771EF3" w:rsidP="00C6160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890F7B" w:rsidRDefault="00771E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1EF3" w:rsidRPr="00890F7B" w:rsidRDefault="00771EF3">
            <w:pPr>
              <w:rPr>
                <w:sz w:val="20"/>
                <w:szCs w:val="20"/>
              </w:rPr>
            </w:pPr>
          </w:p>
        </w:tc>
      </w:tr>
      <w:tr w:rsidR="00771EF3" w:rsidRPr="00890F7B" w:rsidTr="00665357">
        <w:trPr>
          <w:trHeight w:val="630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03474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="0003474C">
              <w:rPr>
                <w:sz w:val="20"/>
              </w:rPr>
              <w:t>2</w:t>
            </w:r>
            <w:r>
              <w:rPr>
                <w:sz w:val="20"/>
              </w:rPr>
              <w:t>. Komplexnost a provázanost navržených opatření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EE0DD2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je komplexní, všechny podstatné části projektu jsou vzájemně provázány, zejména hlavní cíle, účel projektu a výstupy projektu včetně jeho aktivit.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Default="00251A34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EF3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5637F" w:rsidRDefault="00771EF3" w:rsidP="00251A34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</w:t>
            </w:r>
            <w:r w:rsidR="00251A34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 žádost o podporu</w:t>
            </w: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Žadatel jasně a výstižně popíše všechny podstatné části předkládaného projektu (aktivity, investice) v jejich logickém i časovém členění. V popisu se zaměří na jednotlivé části i jejich vzájemnou provázanost a další vazby (finanční, dodavatelé, partneři).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 w:rsidP="003C2028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71EF3" w:rsidRDefault="00771EF3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771EF3" w:rsidRDefault="00771EF3" w:rsidP="00C61609">
            <w:pPr>
              <w:pStyle w:val="Standard"/>
              <w:spacing w:after="0" w:line="240" w:lineRule="auto"/>
              <w:rPr>
                <w:b/>
                <w:sz w:val="18"/>
              </w:rPr>
            </w:pPr>
          </w:p>
        </w:tc>
      </w:tr>
      <w:tr w:rsidR="00771EF3" w:rsidRPr="00890F7B" w:rsidTr="00665357">
        <w:trPr>
          <w:trHeight w:val="630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Default="00771EF3" w:rsidP="00C61609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Projekt není komplexní, provázanost podstatných částí projektu, zejména hlavních cílů, účelu projektu, výstupů projektu včetně jeho aktivit vykazuje vnitřní rozpory.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3" w:rsidRPr="0015637F" w:rsidRDefault="00771EF3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F3" w:rsidRPr="0015637F" w:rsidRDefault="00771EF3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F3" w:rsidRDefault="00771EF3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 w:rsidP="0015637F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71EF3" w:rsidRDefault="00771EF3" w:rsidP="0015637F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3C2028" w:rsidRPr="00890F7B" w:rsidTr="00665357">
        <w:trPr>
          <w:trHeight w:val="1259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7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3C2028" w:rsidRPr="00890F7B" w:rsidRDefault="003C2028" w:rsidP="008B481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proveditelnost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popisu a předložené dokumentace jasně vyplývá, že žadatel zvolil nejvhodnější možné technické řešení. Klíčové aktivity projektu jsou podrobně popsány, postup přípravných i investičních akcí je logický, odpovídají cíli inv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estiční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akce.  Variantní řešení je uvedeno.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15637F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3C202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37F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projektová dokumentace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Žadatel vzhledem k charakteru projektu vysvětlí, proč zvolil navrhovaný postup/variantní řešení a prokáže využití nejlepší dostupné techniky/technologie.</w:t>
            </w: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lastRenderedPageBreak/>
              <w:t>Žadatel doložil dokumentaci (Studie, projektová dokumentace, technická dokumentace), ze které je možné posoudit celkový projektový záměr. Předložená dokumentace splňuje základní požadavky vzhledem k charakteru záměru (stavba - projektová dokumentace, technická specifikace, studie, apod.).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3ACD">
              <w:rPr>
                <w:b/>
                <w:sz w:val="18"/>
              </w:rPr>
              <w:lastRenderedPageBreak/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Default="003C2028" w:rsidP="003C202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3C2028" w:rsidRDefault="003C2028" w:rsidP="00C61609">
            <w:pPr>
              <w:pStyle w:val="Standard"/>
              <w:spacing w:after="0" w:line="240" w:lineRule="auto"/>
              <w:rPr>
                <w:b/>
                <w:sz w:val="18"/>
              </w:rPr>
            </w:pPr>
          </w:p>
        </w:tc>
      </w:tr>
      <w:tr w:rsidR="003C2028" w:rsidRPr="00890F7B" w:rsidTr="00665357">
        <w:trPr>
          <w:trHeight w:val="671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ind w:left="33" w:hanging="33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 xml:space="preserve">Žadatel jasně popsal technologické řešení, zvolené technologické řešení je vhodné pro daný typ projektu </w:t>
            </w:r>
            <w:r w:rsidRPr="00890F7B">
              <w:rPr>
                <w:sz w:val="20"/>
                <w:szCs w:val="20"/>
              </w:rPr>
              <w:lastRenderedPageBreak/>
              <w:t>avšak chybí variantní řešení nebo není žadatelem dostatečně popsáno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890F7B" w:rsidRDefault="003C2028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bod</w:t>
            </w:r>
            <w:r w:rsidR="00B366A7">
              <w:rPr>
                <w:sz w:val="20"/>
                <w:szCs w:val="20"/>
              </w:rPr>
              <w:t>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991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Existuje pochybnost o vhodnosti zvoleného technologického řešení, nebo toto žadatel nijak neprokázal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890F7B" w:rsidRDefault="003C2028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900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7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Reálnost harmonogramu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Harmonogram je reálný a odpovídá charakteru jednotlivých aktivit</w:t>
            </w:r>
            <w:r>
              <w:rPr>
                <w:sz w:val="20"/>
                <w:szCs w:val="20"/>
              </w:rPr>
              <w:t>, jednotlivé etapy na sebe logicky navazují.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15637F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F83CD3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5637F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1E5BF4" w:rsidRDefault="001E5BF4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Žadatel dokládá/vysvětluje reálnost harmonogramu vzhledem k sezónnosti prací, dodržení zákonných lhůt (např. výběrové řízení, vydání kolaudačního rozhodnutí) a lhůt na jednotlivé činnosti, časovou provázanost aktivit v rámci realizace projektu.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Pr="00890F7B" w:rsidRDefault="003C2028" w:rsidP="003C2028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Default="003C202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3C2028" w:rsidRDefault="003C2028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900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není reálný, neodpovídá charakteru jednotlivých aktivit, jednotlivé etapy v harmonogramu netvoří logický celek.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890F7B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551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DE35B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7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</w:rPr>
              <w:t xml:space="preserve">Zajištění </w:t>
            </w:r>
            <w:r>
              <w:rPr>
                <w:sz w:val="20"/>
                <w:szCs w:val="20"/>
              </w:rPr>
              <w:t>udržitelnosti projektu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prokazuje celkovou udržitelnost projektu a jeho výstupů/výsledků. Provozní výdaje projektu jsou reálné a </w:t>
            </w:r>
            <w:proofErr w:type="spellStart"/>
            <w:r>
              <w:rPr>
                <w:sz w:val="20"/>
                <w:szCs w:val="20"/>
              </w:rPr>
              <w:t>ufinancovatelné</w:t>
            </w:r>
            <w:proofErr w:type="spellEnd"/>
            <w:r>
              <w:rPr>
                <w:sz w:val="20"/>
                <w:szCs w:val="20"/>
              </w:rPr>
              <w:t>, žadatel má zajištěny zdroje financování po celou dobu udržitelnosti projektu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15637F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bodů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15637F" w:rsidRDefault="003C2028" w:rsidP="001278A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37F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Žadatel podrobně popíše, jak bude projekt pokračovat (realizovat výstupy a výsledky projektu) po dobu udržitelnosti a jakým způsobem bude financován po celé sledované období (žadatel doloží zdroje financování). Posuzována bude udržitelnost institucionální, administrativní a finanční.</w:t>
            </w:r>
          </w:p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 xml:space="preserve"> Žadatel popíše, jakým způsobem bude projekt financován po celé sledované období udržitelnosti (žadatel doloží zdroje financování).</w:t>
            </w:r>
          </w:p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D279AB">
              <w:rPr>
                <w:i/>
                <w:iCs/>
                <w:sz w:val="20"/>
                <w:szCs w:val="20"/>
              </w:rPr>
              <w:t>Žadatel prokáže odolnost projektu proti vlivům změny klimatu a přírodních katastrof, jako je zvýšené riziko povodní, such, vln horka, lesních požárů a extrémních výkyvů počasí.</w:t>
            </w:r>
          </w:p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3ACD">
              <w:rPr>
                <w:b/>
                <w:sz w:val="18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Default="003C2028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3C2028" w:rsidRPr="00890F7B" w:rsidTr="00665357">
        <w:trPr>
          <w:trHeight w:val="71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Celková udržitelnost projektu, jeho výstupů/výsledků není jasně prokázána. Žadatel zajištění zdrojů financování po dobu udržitelnosti projektu zcela neprokázal nebo provozní výdaje projektu nejsou zcela reálné a </w:t>
            </w:r>
            <w:proofErr w:type="spellStart"/>
            <w:r>
              <w:rPr>
                <w:sz w:val="20"/>
                <w:szCs w:val="20"/>
              </w:rPr>
              <w:t>ufinancovatelné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28" w:rsidRPr="0015637F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body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15637F" w:rsidRDefault="003C2028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53BD4" w:rsidRPr="00890F7B" w:rsidTr="00665357">
        <w:trPr>
          <w:trHeight w:val="1519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neprokázal celkovou udržitelnost projektu a jeho výstupů/výsledků. Provozní výdaje projektu nejsou reálné a </w:t>
            </w:r>
            <w:proofErr w:type="spellStart"/>
            <w:r>
              <w:rPr>
                <w:sz w:val="20"/>
                <w:szCs w:val="20"/>
              </w:rPr>
              <w:t>ufinancovatelné</w:t>
            </w:r>
            <w:proofErr w:type="spellEnd"/>
            <w:r>
              <w:rPr>
                <w:sz w:val="20"/>
                <w:szCs w:val="20"/>
              </w:rPr>
              <w:t xml:space="preserve">, žadatel neprokázal zajištění zdrojů financování po dobu udržitelnosti projektu. </w:t>
            </w:r>
            <w:r w:rsidRPr="00D279AB">
              <w:rPr>
                <w:sz w:val="20"/>
                <w:szCs w:val="20"/>
              </w:rPr>
              <w:t>Žadatel neprokázal odolnost vůči vlivům změny klimatu a přírodních katastrof.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15637F" w:rsidRDefault="00DE35BF" w:rsidP="00DE35B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15637F" w:rsidRDefault="000416B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</w:tr>
      <w:tr w:rsidR="00453BD4" w:rsidRPr="00890F7B" w:rsidTr="00665357">
        <w:trPr>
          <w:trHeight w:val="1220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3474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53BD4">
              <w:rPr>
                <w:sz w:val="20"/>
                <w:szCs w:val="20"/>
              </w:rPr>
              <w:t xml:space="preserve"> </w:t>
            </w:r>
            <w:r w:rsidRPr="00890F7B">
              <w:rPr>
                <w:sz w:val="20"/>
                <w:szCs w:val="20"/>
              </w:rPr>
              <w:t>Finanční a ekonomická rizika projektu</w:t>
            </w:r>
          </w:p>
          <w:p w:rsidR="000416BB" w:rsidRPr="00890F7B" w:rsidRDefault="000416B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ekonomická, finanční a provozní),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15637F" w:rsidRDefault="00DE35BF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0416BB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0416BB" w:rsidRDefault="000416BB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  <w:p w:rsidR="000416BB" w:rsidRPr="00890F7B" w:rsidRDefault="000416BB">
            <w:pPr>
              <w:pStyle w:val="Standard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Pozornost se soustředí na popis rizik a předpokladů úspěšné realizace projektu a řešení k odstranění nebo minimalizaci rizik</w:t>
            </w:r>
            <w:r>
              <w:rPr>
                <w:i/>
                <w:iCs/>
                <w:sz w:val="20"/>
                <w:szCs w:val="20"/>
              </w:rPr>
              <w:t xml:space="preserve">. Jedná se zejména o rizika ekonomická, finanční a provozní a příp. další relevantní rizika (např. podnikatelská, tržní, logistická, marketingová, apod.)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CA32BD" w:rsidRDefault="000416BB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61609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6BB" w:rsidRDefault="000416BB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  <w:p w:rsidR="000416BB" w:rsidRDefault="000416BB" w:rsidP="00C61609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453BD4" w:rsidRPr="00890F7B" w:rsidTr="00665357">
        <w:trPr>
          <w:trHeight w:val="196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část klíčových rizik (zejm. ekonomická, finanční a provozní),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</w:t>
            </w:r>
            <w:r w:rsidR="00DE35BF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890F7B" w:rsidRDefault="00DE35BF" w:rsidP="00C6160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</w:tr>
      <w:tr w:rsidR="00453BD4" w:rsidRPr="00890F7B" w:rsidTr="00665357">
        <w:trPr>
          <w:trHeight w:val="156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ekonomická, finanční a provozní).</w:t>
            </w:r>
            <w:r w:rsidR="00BE2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 obsahuje závažné riziko (příp. více závažných rizik), které žadatel neidentifikoval nebo nenavrhl adekvátní způsob vedoucí k jejich odstranění nebo omezení.</w:t>
            </w:r>
          </w:p>
          <w:p w:rsidR="000416BB" w:rsidRPr="0068015D" w:rsidRDefault="000416BB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BB" w:rsidRPr="00890F7B" w:rsidRDefault="00DE35BF" w:rsidP="00C6160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BB" w:rsidRPr="00890F7B" w:rsidRDefault="000416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BB" w:rsidRPr="00890F7B" w:rsidRDefault="000416BB">
            <w:pPr>
              <w:rPr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1035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74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3C2028" w:rsidRPr="00890F7B" w:rsidRDefault="003C202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Ostatní rizika projektu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(technická a technologická, projektová, časová, organizační, legislativní).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2028" w:rsidRPr="0015637F" w:rsidRDefault="003C2028" w:rsidP="00DE35BF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 w:rsidP="0068015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C2028" w:rsidRDefault="003C2028" w:rsidP="00C61609">
            <w:pPr>
              <w:pStyle w:val="Standard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Pozornost se soustředí na popis klíčových rizik a předpokladů úspěšné realizace projektu a řešení k odstranění nebo minimalizaci rizik. Jedná se zejména o rizika technická a technologická, projektová, časová, organizační a legislativní a příp. další relevantní rizika (informační, sociální, ekologická, bezpečnostní, živelná a přírodní, politická, apod.)</w:t>
            </w:r>
          </w:p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Pr="00CA32BD" w:rsidRDefault="003C2028">
            <w:pPr>
              <w:jc w:val="center"/>
              <w:rPr>
                <w:b/>
                <w:sz w:val="20"/>
                <w:szCs w:val="20"/>
              </w:rPr>
            </w:pPr>
            <w:r w:rsidRPr="00C61609">
              <w:rPr>
                <w:b/>
                <w:bCs/>
                <w:iCs/>
                <w:sz w:val="18"/>
                <w:szCs w:val="20"/>
              </w:rPr>
              <w:t>Kombinované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3C2028" w:rsidRDefault="003C2028" w:rsidP="003C2028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3C2028" w:rsidRDefault="003C2028" w:rsidP="00C6160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10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identifikuje část klíčových rizik (zejm. technická a technologická, projektová, časová, organizační, legislativní). Reálně zhodnotí pravděpodobnost jejich výskytu, míru jejich negativního dopadu na projekt a uvede adekvátní způsoby vedoucí k odstranění nebo omezení </w:t>
            </w:r>
            <w:r>
              <w:rPr>
                <w:sz w:val="20"/>
                <w:szCs w:val="20"/>
              </w:rPr>
              <w:lastRenderedPageBreak/>
              <w:t>následků všech klíčových rizikových oblastí Projekt neobsahuje závažná rizika, která mohou ohrozit realizaci a udržitelnost projektu.</w:t>
            </w:r>
          </w:p>
          <w:p w:rsidR="003C2028" w:rsidRPr="00890F7B" w:rsidRDefault="003C2028" w:rsidP="00C616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2028" w:rsidRPr="00890F7B" w:rsidRDefault="003C2028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bod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</w:tr>
      <w:tr w:rsidR="003C2028" w:rsidRPr="00890F7B" w:rsidTr="00665357">
        <w:trPr>
          <w:trHeight w:val="1488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453BD4" w:rsidRDefault="003C2028" w:rsidP="00453BD4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technická a technologická, projektová, časová, organizační, legislativní).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C2028" w:rsidRPr="00890F7B" w:rsidRDefault="003C2028" w:rsidP="00C6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C2028" w:rsidRPr="00890F7B" w:rsidRDefault="003C2028">
            <w:pPr>
              <w:rPr>
                <w:sz w:val="20"/>
                <w:szCs w:val="20"/>
              </w:rPr>
            </w:pPr>
          </w:p>
        </w:tc>
      </w:tr>
      <w:tr w:rsidR="000416BB" w:rsidTr="00665357">
        <w:trPr>
          <w:trHeight w:val="374"/>
        </w:trPr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0416BB" w:rsidRPr="00361A14" w:rsidRDefault="000416BB" w:rsidP="00C1778F">
            <w:pPr>
              <w:pStyle w:val="Standard"/>
              <w:spacing w:after="0" w:line="240" w:lineRule="auto"/>
              <w:rPr>
                <w:b/>
              </w:rPr>
            </w:pPr>
            <w:r w:rsidRPr="00361A14">
              <w:rPr>
                <w:b/>
              </w:rPr>
              <w:t>Součet bodů celkem = 100 bodů</w:t>
            </w:r>
          </w:p>
        </w:tc>
      </w:tr>
    </w:tbl>
    <w:p w:rsidR="00F17AD2" w:rsidRDefault="00F17AD2" w:rsidP="00F17AD2">
      <w:pPr>
        <w:pStyle w:val="Standard"/>
      </w:pPr>
    </w:p>
    <w:p w:rsidR="00791877" w:rsidRPr="00890F7B" w:rsidRDefault="00791877" w:rsidP="00E104FD">
      <w:pPr>
        <w:pStyle w:val="Standard"/>
        <w:rPr>
          <w:sz w:val="20"/>
          <w:szCs w:val="20"/>
        </w:rPr>
      </w:pPr>
    </w:p>
    <w:sectPr w:rsidR="00791877" w:rsidRPr="00890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6" w:right="720" w:bottom="766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FD" w:rsidRDefault="00C22FFD">
      <w:pPr>
        <w:spacing w:after="0" w:line="240" w:lineRule="auto"/>
      </w:pPr>
      <w:r>
        <w:separator/>
      </w:r>
    </w:p>
  </w:endnote>
  <w:endnote w:type="continuationSeparator" w:id="0">
    <w:p w:rsidR="00C22FFD" w:rsidRDefault="00C2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5" w:rsidRDefault="006E7B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A21D3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9B3E8C">
      <w:rPr>
        <w:noProof/>
      </w:rPr>
      <w:t>10</w:t>
    </w:r>
    <w:r>
      <w:fldChar w:fldCharType="end"/>
    </w:r>
  </w:p>
  <w:p w:rsidR="00A21D3D" w:rsidRPr="006E7B85" w:rsidRDefault="0003474C">
    <w:pPr>
      <w:pStyle w:val="Zpat"/>
      <w:rPr>
        <w:color w:val="000000" w:themeColor="text1"/>
      </w:rPr>
    </w:pPr>
    <w:r>
      <w:rPr>
        <w:color w:val="000000" w:themeColor="text1"/>
      </w:rPr>
      <w:t>verze 1.2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5" w:rsidRDefault="006E7B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FD" w:rsidRDefault="00C22F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2FFD" w:rsidRDefault="00C2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5" w:rsidRDefault="006E7B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EB226B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3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5" w:rsidRDefault="006E7B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EFD0262"/>
    <w:multiLevelType w:val="hybridMultilevel"/>
    <w:tmpl w:val="DFD6CE36"/>
    <w:lvl w:ilvl="0" w:tplc="074C3198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3525FF0"/>
    <w:multiLevelType w:val="hybridMultilevel"/>
    <w:tmpl w:val="4C4EA8AA"/>
    <w:lvl w:ilvl="0" w:tplc="CAAE177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86E609F"/>
    <w:multiLevelType w:val="hybridMultilevel"/>
    <w:tmpl w:val="586213D0"/>
    <w:lvl w:ilvl="0" w:tplc="FE6C35F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3"/>
  </w:num>
  <w:num w:numId="8">
    <w:abstractNumId w:val="30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47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1"/>
  </w:num>
  <w:num w:numId="20">
    <w:abstractNumId w:val="48"/>
  </w:num>
  <w:num w:numId="21">
    <w:abstractNumId w:val="0"/>
  </w:num>
  <w:num w:numId="22">
    <w:abstractNumId w:val="22"/>
  </w:num>
  <w:num w:numId="23">
    <w:abstractNumId w:val="37"/>
  </w:num>
  <w:num w:numId="24">
    <w:abstractNumId w:val="44"/>
  </w:num>
  <w:num w:numId="25">
    <w:abstractNumId w:val="15"/>
  </w:num>
  <w:num w:numId="26">
    <w:abstractNumId w:val="13"/>
  </w:num>
  <w:num w:numId="27">
    <w:abstractNumId w:val="6"/>
  </w:num>
  <w:num w:numId="28">
    <w:abstractNumId w:val="45"/>
  </w:num>
  <w:num w:numId="29">
    <w:abstractNumId w:val="16"/>
  </w:num>
  <w:num w:numId="30">
    <w:abstractNumId w:val="8"/>
  </w:num>
  <w:num w:numId="31">
    <w:abstractNumId w:val="32"/>
  </w:num>
  <w:num w:numId="32">
    <w:abstractNumId w:val="20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5"/>
  </w:num>
  <w:num w:numId="42">
    <w:abstractNumId w:val="4"/>
  </w:num>
  <w:num w:numId="43">
    <w:abstractNumId w:val="18"/>
  </w:num>
  <w:num w:numId="44">
    <w:abstractNumId w:val="35"/>
  </w:num>
  <w:num w:numId="45">
    <w:abstractNumId w:val="19"/>
  </w:num>
  <w:num w:numId="46">
    <w:abstractNumId w:val="23"/>
  </w:num>
  <w:num w:numId="47">
    <w:abstractNumId w:val="46"/>
  </w:num>
  <w:num w:numId="48">
    <w:abstractNumId w:val="4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77"/>
    <w:rsid w:val="00003C58"/>
    <w:rsid w:val="00011B45"/>
    <w:rsid w:val="00017ABA"/>
    <w:rsid w:val="00021C5E"/>
    <w:rsid w:val="00031FFD"/>
    <w:rsid w:val="00033FF1"/>
    <w:rsid w:val="0003474C"/>
    <w:rsid w:val="0003598A"/>
    <w:rsid w:val="000416BB"/>
    <w:rsid w:val="00042F7A"/>
    <w:rsid w:val="00045467"/>
    <w:rsid w:val="00051182"/>
    <w:rsid w:val="000632BA"/>
    <w:rsid w:val="0006793C"/>
    <w:rsid w:val="000777E3"/>
    <w:rsid w:val="00084CE8"/>
    <w:rsid w:val="00093E8B"/>
    <w:rsid w:val="000947B9"/>
    <w:rsid w:val="000A3253"/>
    <w:rsid w:val="000A5510"/>
    <w:rsid w:val="000A5B71"/>
    <w:rsid w:val="000B1F00"/>
    <w:rsid w:val="000B32C1"/>
    <w:rsid w:val="000B7CA0"/>
    <w:rsid w:val="000C1BC9"/>
    <w:rsid w:val="000C5D56"/>
    <w:rsid w:val="000E02E2"/>
    <w:rsid w:val="000E07C4"/>
    <w:rsid w:val="000E1F59"/>
    <w:rsid w:val="000E4606"/>
    <w:rsid w:val="000E7AD7"/>
    <w:rsid w:val="000F0908"/>
    <w:rsid w:val="000F6F9D"/>
    <w:rsid w:val="000F700F"/>
    <w:rsid w:val="0010398C"/>
    <w:rsid w:val="00115F02"/>
    <w:rsid w:val="001278A1"/>
    <w:rsid w:val="00134369"/>
    <w:rsid w:val="00135C2C"/>
    <w:rsid w:val="00146395"/>
    <w:rsid w:val="00146F57"/>
    <w:rsid w:val="0015637F"/>
    <w:rsid w:val="00170517"/>
    <w:rsid w:val="001705E9"/>
    <w:rsid w:val="001740D5"/>
    <w:rsid w:val="0018121E"/>
    <w:rsid w:val="0018334A"/>
    <w:rsid w:val="001A5D03"/>
    <w:rsid w:val="001A7192"/>
    <w:rsid w:val="001C736F"/>
    <w:rsid w:val="001C7978"/>
    <w:rsid w:val="001D04E1"/>
    <w:rsid w:val="001D20C8"/>
    <w:rsid w:val="001D2B92"/>
    <w:rsid w:val="001D36FC"/>
    <w:rsid w:val="001D7D22"/>
    <w:rsid w:val="001E04DC"/>
    <w:rsid w:val="001E136A"/>
    <w:rsid w:val="001E1DD1"/>
    <w:rsid w:val="001E5BF4"/>
    <w:rsid w:val="00205AF6"/>
    <w:rsid w:val="00207687"/>
    <w:rsid w:val="002202CB"/>
    <w:rsid w:val="00236EDB"/>
    <w:rsid w:val="002412E4"/>
    <w:rsid w:val="002514B5"/>
    <w:rsid w:val="00251A34"/>
    <w:rsid w:val="00262B70"/>
    <w:rsid w:val="00264AD1"/>
    <w:rsid w:val="002858A2"/>
    <w:rsid w:val="002936BD"/>
    <w:rsid w:val="002A1739"/>
    <w:rsid w:val="002A1AB9"/>
    <w:rsid w:val="002A3D0D"/>
    <w:rsid w:val="002B7CF7"/>
    <w:rsid w:val="002C6604"/>
    <w:rsid w:val="002D36AE"/>
    <w:rsid w:val="002D42EB"/>
    <w:rsid w:val="002E1277"/>
    <w:rsid w:val="002E4EB7"/>
    <w:rsid w:val="002F0759"/>
    <w:rsid w:val="002F0D97"/>
    <w:rsid w:val="00302987"/>
    <w:rsid w:val="003054ED"/>
    <w:rsid w:val="00312A55"/>
    <w:rsid w:val="00314727"/>
    <w:rsid w:val="00315097"/>
    <w:rsid w:val="00321551"/>
    <w:rsid w:val="00324039"/>
    <w:rsid w:val="003371F8"/>
    <w:rsid w:val="003417E0"/>
    <w:rsid w:val="00342217"/>
    <w:rsid w:val="00355998"/>
    <w:rsid w:val="00366E7E"/>
    <w:rsid w:val="0038340B"/>
    <w:rsid w:val="003843EC"/>
    <w:rsid w:val="003860B3"/>
    <w:rsid w:val="0039356D"/>
    <w:rsid w:val="003B254C"/>
    <w:rsid w:val="003C2028"/>
    <w:rsid w:val="003C371D"/>
    <w:rsid w:val="003C39C9"/>
    <w:rsid w:val="003D6990"/>
    <w:rsid w:val="003E1221"/>
    <w:rsid w:val="003E5310"/>
    <w:rsid w:val="003E5945"/>
    <w:rsid w:val="003E5C4A"/>
    <w:rsid w:val="003E64E2"/>
    <w:rsid w:val="003E7758"/>
    <w:rsid w:val="003F3EAA"/>
    <w:rsid w:val="00422E28"/>
    <w:rsid w:val="00426C86"/>
    <w:rsid w:val="00427865"/>
    <w:rsid w:val="00431365"/>
    <w:rsid w:val="00433BE4"/>
    <w:rsid w:val="004453C4"/>
    <w:rsid w:val="00451C5A"/>
    <w:rsid w:val="00453BD4"/>
    <w:rsid w:val="00455900"/>
    <w:rsid w:val="0045651B"/>
    <w:rsid w:val="00456E8C"/>
    <w:rsid w:val="004773A4"/>
    <w:rsid w:val="004904C0"/>
    <w:rsid w:val="00493469"/>
    <w:rsid w:val="004B1909"/>
    <w:rsid w:val="004C3E7E"/>
    <w:rsid w:val="004E68BD"/>
    <w:rsid w:val="004F2409"/>
    <w:rsid w:val="004F3B8E"/>
    <w:rsid w:val="00502C52"/>
    <w:rsid w:val="00505216"/>
    <w:rsid w:val="00512A76"/>
    <w:rsid w:val="00516FD5"/>
    <w:rsid w:val="005172A4"/>
    <w:rsid w:val="00520C1F"/>
    <w:rsid w:val="005321AA"/>
    <w:rsid w:val="005337C9"/>
    <w:rsid w:val="005427D4"/>
    <w:rsid w:val="005442E2"/>
    <w:rsid w:val="00551CE9"/>
    <w:rsid w:val="00551FCD"/>
    <w:rsid w:val="0056523D"/>
    <w:rsid w:val="00572462"/>
    <w:rsid w:val="00577020"/>
    <w:rsid w:val="005844B0"/>
    <w:rsid w:val="00590D2C"/>
    <w:rsid w:val="00592608"/>
    <w:rsid w:val="005A1481"/>
    <w:rsid w:val="005B25A4"/>
    <w:rsid w:val="005B28EA"/>
    <w:rsid w:val="005B2971"/>
    <w:rsid w:val="005B7FEA"/>
    <w:rsid w:val="005D5D34"/>
    <w:rsid w:val="005E1F34"/>
    <w:rsid w:val="005E3FE6"/>
    <w:rsid w:val="005E6187"/>
    <w:rsid w:val="005F0693"/>
    <w:rsid w:val="00623266"/>
    <w:rsid w:val="00626FB8"/>
    <w:rsid w:val="00632687"/>
    <w:rsid w:val="00644A68"/>
    <w:rsid w:val="0065209C"/>
    <w:rsid w:val="00654B62"/>
    <w:rsid w:val="00655DA7"/>
    <w:rsid w:val="00665357"/>
    <w:rsid w:val="00667C96"/>
    <w:rsid w:val="0068015D"/>
    <w:rsid w:val="006812CF"/>
    <w:rsid w:val="006857A7"/>
    <w:rsid w:val="00687C3E"/>
    <w:rsid w:val="0069039D"/>
    <w:rsid w:val="00693D86"/>
    <w:rsid w:val="006B2297"/>
    <w:rsid w:val="006B2959"/>
    <w:rsid w:val="006B3E9C"/>
    <w:rsid w:val="006E7B85"/>
    <w:rsid w:val="006F1F4F"/>
    <w:rsid w:val="00703854"/>
    <w:rsid w:val="0070522E"/>
    <w:rsid w:val="00707C2D"/>
    <w:rsid w:val="007159C9"/>
    <w:rsid w:val="007438BE"/>
    <w:rsid w:val="007440E3"/>
    <w:rsid w:val="00745151"/>
    <w:rsid w:val="00746F7E"/>
    <w:rsid w:val="00756364"/>
    <w:rsid w:val="007619BE"/>
    <w:rsid w:val="00771EF3"/>
    <w:rsid w:val="00774C43"/>
    <w:rsid w:val="0078306E"/>
    <w:rsid w:val="0079046E"/>
    <w:rsid w:val="00791877"/>
    <w:rsid w:val="00796284"/>
    <w:rsid w:val="007A3F99"/>
    <w:rsid w:val="007A5F6A"/>
    <w:rsid w:val="007D2CF0"/>
    <w:rsid w:val="007E3405"/>
    <w:rsid w:val="007E5228"/>
    <w:rsid w:val="007E646F"/>
    <w:rsid w:val="00803C34"/>
    <w:rsid w:val="00807292"/>
    <w:rsid w:val="00807B6D"/>
    <w:rsid w:val="00813CC2"/>
    <w:rsid w:val="00822E86"/>
    <w:rsid w:val="00824134"/>
    <w:rsid w:val="00826B90"/>
    <w:rsid w:val="00827507"/>
    <w:rsid w:val="008475BA"/>
    <w:rsid w:val="00855F40"/>
    <w:rsid w:val="00867072"/>
    <w:rsid w:val="00890F7B"/>
    <w:rsid w:val="00896379"/>
    <w:rsid w:val="008B0BF2"/>
    <w:rsid w:val="008B20E3"/>
    <w:rsid w:val="008B4812"/>
    <w:rsid w:val="008B4BB0"/>
    <w:rsid w:val="008B4FF6"/>
    <w:rsid w:val="008C5BE0"/>
    <w:rsid w:val="008D0235"/>
    <w:rsid w:val="008D4C89"/>
    <w:rsid w:val="008E1B74"/>
    <w:rsid w:val="008E3904"/>
    <w:rsid w:val="008F5085"/>
    <w:rsid w:val="0090598C"/>
    <w:rsid w:val="00906DA7"/>
    <w:rsid w:val="00913F32"/>
    <w:rsid w:val="0092144B"/>
    <w:rsid w:val="0092478A"/>
    <w:rsid w:val="0092769B"/>
    <w:rsid w:val="0095277E"/>
    <w:rsid w:val="009553C8"/>
    <w:rsid w:val="00956571"/>
    <w:rsid w:val="00956B05"/>
    <w:rsid w:val="009653D6"/>
    <w:rsid w:val="00972AF3"/>
    <w:rsid w:val="00973030"/>
    <w:rsid w:val="00992A5C"/>
    <w:rsid w:val="009A35BD"/>
    <w:rsid w:val="009A7E00"/>
    <w:rsid w:val="009B3E8C"/>
    <w:rsid w:val="009C0F5F"/>
    <w:rsid w:val="009C1137"/>
    <w:rsid w:val="009D4F22"/>
    <w:rsid w:val="009D50B1"/>
    <w:rsid w:val="009F46DD"/>
    <w:rsid w:val="009F7B7E"/>
    <w:rsid w:val="00A020F3"/>
    <w:rsid w:val="00A16819"/>
    <w:rsid w:val="00A21D3D"/>
    <w:rsid w:val="00A24366"/>
    <w:rsid w:val="00A252B9"/>
    <w:rsid w:val="00A37497"/>
    <w:rsid w:val="00A407F3"/>
    <w:rsid w:val="00A4222B"/>
    <w:rsid w:val="00A507C8"/>
    <w:rsid w:val="00A52BA9"/>
    <w:rsid w:val="00A60442"/>
    <w:rsid w:val="00A63288"/>
    <w:rsid w:val="00A63B2A"/>
    <w:rsid w:val="00A66933"/>
    <w:rsid w:val="00A92613"/>
    <w:rsid w:val="00A94ABA"/>
    <w:rsid w:val="00A9570B"/>
    <w:rsid w:val="00A95C05"/>
    <w:rsid w:val="00A96C0E"/>
    <w:rsid w:val="00AB4B06"/>
    <w:rsid w:val="00AC1B57"/>
    <w:rsid w:val="00AC4DB5"/>
    <w:rsid w:val="00AD4B8A"/>
    <w:rsid w:val="00AE0ACE"/>
    <w:rsid w:val="00AE300B"/>
    <w:rsid w:val="00AE42FB"/>
    <w:rsid w:val="00AE63CE"/>
    <w:rsid w:val="00AF263C"/>
    <w:rsid w:val="00AF323B"/>
    <w:rsid w:val="00AF3D78"/>
    <w:rsid w:val="00AF4B47"/>
    <w:rsid w:val="00B05D77"/>
    <w:rsid w:val="00B06140"/>
    <w:rsid w:val="00B12728"/>
    <w:rsid w:val="00B136BB"/>
    <w:rsid w:val="00B22A25"/>
    <w:rsid w:val="00B240E7"/>
    <w:rsid w:val="00B26021"/>
    <w:rsid w:val="00B366A7"/>
    <w:rsid w:val="00B37936"/>
    <w:rsid w:val="00B40C80"/>
    <w:rsid w:val="00B506EE"/>
    <w:rsid w:val="00B5686E"/>
    <w:rsid w:val="00B619FB"/>
    <w:rsid w:val="00B67373"/>
    <w:rsid w:val="00B90D9E"/>
    <w:rsid w:val="00B92495"/>
    <w:rsid w:val="00BE2957"/>
    <w:rsid w:val="00C03D7A"/>
    <w:rsid w:val="00C07D33"/>
    <w:rsid w:val="00C100A8"/>
    <w:rsid w:val="00C13914"/>
    <w:rsid w:val="00C1778F"/>
    <w:rsid w:val="00C22FFD"/>
    <w:rsid w:val="00C235D3"/>
    <w:rsid w:val="00C249B2"/>
    <w:rsid w:val="00C341AF"/>
    <w:rsid w:val="00C37732"/>
    <w:rsid w:val="00C508B1"/>
    <w:rsid w:val="00C56305"/>
    <w:rsid w:val="00C61609"/>
    <w:rsid w:val="00C63459"/>
    <w:rsid w:val="00C83C0A"/>
    <w:rsid w:val="00C94064"/>
    <w:rsid w:val="00CA32BD"/>
    <w:rsid w:val="00CA445B"/>
    <w:rsid w:val="00CA7487"/>
    <w:rsid w:val="00CB0347"/>
    <w:rsid w:val="00CB1AB8"/>
    <w:rsid w:val="00CC0067"/>
    <w:rsid w:val="00CC24DA"/>
    <w:rsid w:val="00CC6971"/>
    <w:rsid w:val="00CE188B"/>
    <w:rsid w:val="00CE4F12"/>
    <w:rsid w:val="00D15097"/>
    <w:rsid w:val="00D218C1"/>
    <w:rsid w:val="00D24A6B"/>
    <w:rsid w:val="00D256CA"/>
    <w:rsid w:val="00D279AB"/>
    <w:rsid w:val="00D32436"/>
    <w:rsid w:val="00D44A30"/>
    <w:rsid w:val="00D45672"/>
    <w:rsid w:val="00D60F94"/>
    <w:rsid w:val="00D63405"/>
    <w:rsid w:val="00D6528E"/>
    <w:rsid w:val="00D653E7"/>
    <w:rsid w:val="00D86BE0"/>
    <w:rsid w:val="00DA0FFC"/>
    <w:rsid w:val="00DA117C"/>
    <w:rsid w:val="00DA333A"/>
    <w:rsid w:val="00DA404D"/>
    <w:rsid w:val="00DB61DE"/>
    <w:rsid w:val="00DB6D55"/>
    <w:rsid w:val="00DC26B3"/>
    <w:rsid w:val="00DC6D42"/>
    <w:rsid w:val="00DC7F01"/>
    <w:rsid w:val="00DD3651"/>
    <w:rsid w:val="00DD7488"/>
    <w:rsid w:val="00DD7B83"/>
    <w:rsid w:val="00DE35BF"/>
    <w:rsid w:val="00DE3C98"/>
    <w:rsid w:val="00DE4F8D"/>
    <w:rsid w:val="00DF60A1"/>
    <w:rsid w:val="00E00957"/>
    <w:rsid w:val="00E104FD"/>
    <w:rsid w:val="00E12FD1"/>
    <w:rsid w:val="00E1789E"/>
    <w:rsid w:val="00E21004"/>
    <w:rsid w:val="00E3537F"/>
    <w:rsid w:val="00E364C2"/>
    <w:rsid w:val="00E502B7"/>
    <w:rsid w:val="00E5144C"/>
    <w:rsid w:val="00E6509C"/>
    <w:rsid w:val="00E73A4B"/>
    <w:rsid w:val="00E81E41"/>
    <w:rsid w:val="00E827C6"/>
    <w:rsid w:val="00EA0F63"/>
    <w:rsid w:val="00EA3189"/>
    <w:rsid w:val="00EA50D1"/>
    <w:rsid w:val="00EA7604"/>
    <w:rsid w:val="00EB023D"/>
    <w:rsid w:val="00EB0C6B"/>
    <w:rsid w:val="00EB1ABB"/>
    <w:rsid w:val="00EB226B"/>
    <w:rsid w:val="00EC3BF3"/>
    <w:rsid w:val="00EC564D"/>
    <w:rsid w:val="00EC7127"/>
    <w:rsid w:val="00ED05FA"/>
    <w:rsid w:val="00ED2E13"/>
    <w:rsid w:val="00EE0DD2"/>
    <w:rsid w:val="00EF0E6A"/>
    <w:rsid w:val="00F17AD2"/>
    <w:rsid w:val="00F23784"/>
    <w:rsid w:val="00F26017"/>
    <w:rsid w:val="00F35026"/>
    <w:rsid w:val="00F532AC"/>
    <w:rsid w:val="00F601CA"/>
    <w:rsid w:val="00F6130C"/>
    <w:rsid w:val="00F72711"/>
    <w:rsid w:val="00F83CD3"/>
    <w:rsid w:val="00F84FF3"/>
    <w:rsid w:val="00F86481"/>
    <w:rsid w:val="00F9512F"/>
    <w:rsid w:val="00FA6F4F"/>
    <w:rsid w:val="00FD0321"/>
    <w:rsid w:val="00FE018C"/>
    <w:rsid w:val="00FE155C"/>
    <w:rsid w:val="00FE70A7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FDE3912-55A3-4988-B70F-03E2195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paragraph" w:styleId="Normlnweb">
    <w:name w:val="Normal (Web)"/>
    <w:basedOn w:val="Normln"/>
    <w:uiPriority w:val="99"/>
    <w:unhideWhenUsed/>
    <w:rsid w:val="0082750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61609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66A2-9ADF-4523-83D7-1DB92CE2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3120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Šlemrová Denisa ()</dc:creator>
  <cp:keywords/>
  <cp:lastModifiedBy>Škréta Martin (MHMP, FON)</cp:lastModifiedBy>
  <cp:revision>27</cp:revision>
  <dcterms:created xsi:type="dcterms:W3CDTF">2016-07-01T06:20:00Z</dcterms:created>
  <dcterms:modified xsi:type="dcterms:W3CDTF">2016-12-08T11:05:00Z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