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40" w:rsidRPr="00E84042" w:rsidRDefault="003F0040" w:rsidP="003F0040">
      <w:pPr>
        <w:pStyle w:val="Standard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bookmarkEnd w:id="0"/>
      <w:r w:rsidRPr="009A7E00">
        <w:rPr>
          <w:rFonts w:ascii="Arial" w:eastAsia="Times New Roman" w:hAnsi="Arial" w:cs="Arial"/>
          <w:b/>
          <w:bCs/>
          <w:color w:val="000000"/>
          <w:lang w:eastAsia="cs-CZ"/>
        </w:rPr>
        <w:t xml:space="preserve">Sada hodnoticích kritérií pro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prioritní osu</w:t>
      </w:r>
      <w:r w:rsidRPr="009A7E00">
        <w:rPr>
          <w:rFonts w:ascii="Arial" w:eastAsia="Times New Roman" w:hAnsi="Arial" w:cs="Arial"/>
          <w:b/>
          <w:bCs/>
          <w:color w:val="000000"/>
          <w:lang w:eastAsia="cs-CZ"/>
        </w:rPr>
        <w:t xml:space="preserve"> 2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OP Praha</w:t>
      </w:r>
      <w:r w:rsidRPr="009A7E00">
        <w:rPr>
          <w:rFonts w:ascii="Arial" w:eastAsia="Times New Roman" w:hAnsi="Arial" w:cs="Arial"/>
          <w:b/>
          <w:bCs/>
          <w:color w:val="000000"/>
          <w:lang w:eastAsia="cs-CZ"/>
        </w:rPr>
        <w:t>, specifický cíl 2.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2</w:t>
      </w:r>
      <w:r w:rsidRPr="009A7E00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Zvyšování atraktivity užívání městské veřejné dopravy, podporovanou aktivitu</w:t>
      </w:r>
      <w:r w:rsidR="00A731BE">
        <w:rPr>
          <w:rFonts w:ascii="Arial" w:eastAsia="Times New Roman" w:hAnsi="Arial" w:cs="Arial"/>
          <w:b/>
          <w:bCs/>
          <w:color w:val="000000"/>
          <w:lang w:eastAsia="cs-CZ"/>
        </w:rPr>
        <w:t xml:space="preserve"> 2.2.1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Realizace záchytných parkovišť systému P+R u stanic a zastávek drážní dopravy </w:t>
      </w:r>
    </w:p>
    <w:p w:rsidR="00DC6D42" w:rsidRDefault="00DC6D42" w:rsidP="00CC5F6C">
      <w:pPr>
        <w:pStyle w:val="Termin"/>
        <w:keepNext/>
        <w:tabs>
          <w:tab w:val="left" w:pos="7230"/>
          <w:tab w:val="left" w:pos="8080"/>
        </w:tabs>
        <w:ind w:left="0" w:firstLine="0"/>
        <w:rPr>
          <w:b/>
          <w:sz w:val="20"/>
        </w:rPr>
      </w:pPr>
    </w:p>
    <w:p w:rsidR="00791877" w:rsidRDefault="00A21D3D">
      <w:pPr>
        <w:pStyle w:val="Termin"/>
        <w:keepNext/>
        <w:tabs>
          <w:tab w:val="left" w:pos="7230"/>
          <w:tab w:val="left" w:pos="8080"/>
        </w:tabs>
        <w:rPr>
          <w:sz w:val="20"/>
        </w:rPr>
      </w:pPr>
      <w:r w:rsidRPr="00DC6D42">
        <w:rPr>
          <w:sz w:val="20"/>
        </w:rPr>
        <w:t>Hodnotitel uvede ke každému kritériu jasné a srozumitelné odůvodnění výsledku hodnocení.</w:t>
      </w:r>
    </w:p>
    <w:p w:rsidR="00D336F5" w:rsidRPr="00DC6D42" w:rsidRDefault="00D336F5">
      <w:pPr>
        <w:pStyle w:val="Termin"/>
        <w:keepNext/>
        <w:tabs>
          <w:tab w:val="left" w:pos="7230"/>
          <w:tab w:val="left" w:pos="8080"/>
        </w:tabs>
      </w:pPr>
      <w:r>
        <w:rPr>
          <w:sz w:val="20"/>
        </w:rPr>
        <w:t xml:space="preserve">Kombinovaná kritéria – </w:t>
      </w:r>
      <w:r w:rsidR="00D00528">
        <w:rPr>
          <w:sz w:val="20"/>
        </w:rPr>
        <w:t>pokud získá projekt v kombinovaném kritériu</w:t>
      </w:r>
      <w:r>
        <w:rPr>
          <w:sz w:val="20"/>
        </w:rPr>
        <w:t xml:space="preserve"> 0 bodů, je projekt ze schvalovacího procesu</w:t>
      </w:r>
      <w:r w:rsidR="00D00528">
        <w:rPr>
          <w:sz w:val="20"/>
        </w:rPr>
        <w:t xml:space="preserve"> vyloučen</w:t>
      </w:r>
    </w:p>
    <w:p w:rsidR="00791877" w:rsidRDefault="00791877">
      <w:pPr>
        <w:pStyle w:val="Termin"/>
        <w:keepNext/>
        <w:tabs>
          <w:tab w:val="left" w:pos="7230"/>
          <w:tab w:val="left" w:pos="8080"/>
        </w:tabs>
        <w:rPr>
          <w:sz w:val="6"/>
        </w:rPr>
      </w:pPr>
    </w:p>
    <w:tbl>
      <w:tblPr>
        <w:tblW w:w="16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4817"/>
        <w:gridCol w:w="1134"/>
        <w:gridCol w:w="1134"/>
        <w:gridCol w:w="3686"/>
        <w:gridCol w:w="1390"/>
        <w:gridCol w:w="28"/>
        <w:gridCol w:w="2067"/>
        <w:gridCol w:w="56"/>
      </w:tblGrid>
      <w:tr w:rsidR="00811EE8" w:rsidTr="00DC31D9">
        <w:trPr>
          <w:gridAfter w:val="1"/>
          <w:wAfter w:w="56" w:type="dxa"/>
          <w:cantSplit/>
          <w:trHeight w:val="716"/>
          <w:jc w:val="center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Popis hodnocení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811EE8" w:rsidRDefault="00811EE8" w:rsidP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za jednotlivá kritéria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C167FD">
            <w:pPr>
              <w:pStyle w:val="Standard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Hodnocení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Zdroj informací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811EE8" w:rsidRPr="00563ADE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Funkce kritéria</w:t>
            </w:r>
          </w:p>
        </w:tc>
        <w:tc>
          <w:tcPr>
            <w:tcW w:w="2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811EE8" w:rsidRPr="00563ADE" w:rsidRDefault="00811EE8" w:rsidP="001D4AC8">
            <w:pPr>
              <w:pStyle w:val="Standard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0"/>
                <w:szCs w:val="20"/>
              </w:rPr>
              <w:t>Příslušný hodnotitel</w:t>
            </w:r>
          </w:p>
        </w:tc>
      </w:tr>
      <w:tr w:rsidR="002E0FE2" w:rsidTr="00DC31D9">
        <w:trPr>
          <w:gridAfter w:val="1"/>
          <w:wAfter w:w="56" w:type="dxa"/>
          <w:trHeight w:val="478"/>
          <w:jc w:val="center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E0FE2" w:rsidRDefault="002E0FE2" w:rsidP="00B05911">
            <w:pPr>
              <w:pStyle w:val="Standard"/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POTŘEBNOST</w:t>
            </w:r>
            <w:r w:rsidRPr="00563ADE">
              <w:rPr>
                <w:b/>
                <w:bCs/>
                <w:szCs w:val="20"/>
              </w:rPr>
              <w:t xml:space="preserve"> </w:t>
            </w:r>
          </w:p>
        </w:tc>
      </w:tr>
      <w:tr w:rsidR="00440A73" w:rsidTr="00DC31D9">
        <w:trPr>
          <w:gridAfter w:val="1"/>
          <w:wAfter w:w="56" w:type="dxa"/>
          <w:trHeight w:val="839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D40E97" w:rsidRDefault="00811EE8" w:rsidP="00563ADE">
            <w:pPr>
              <w:rPr>
                <w:sz w:val="20"/>
              </w:rPr>
            </w:pPr>
            <w:r w:rsidRPr="00D40E97">
              <w:rPr>
                <w:sz w:val="20"/>
              </w:rPr>
              <w:t>1. Potřebnost projektu</w:t>
            </w:r>
          </w:p>
          <w:p w:rsidR="00811EE8" w:rsidRPr="00563ADE" w:rsidRDefault="00811EE8" w:rsidP="00563ADE"/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563ADE" w:rsidRDefault="00811EE8" w:rsidP="006F32DB">
            <w:pPr>
              <w:pStyle w:val="Standard"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Potřeba realizace projektu je prokazatelně doložena zpracovanou analýzou nebo dostatečně podložena statistickými daty. Projekt odráží potřeby obyvatelstva dané lokality/ prokazuje celospolečenské přínosy, které jsou jasně specifikovány. Realizace opatření záchytných parkovišť systémů P+R prokazatelně směřuje ke zvyšování užívání městské veřejné dopravy na úkor vnější automobilové dopravy na území města a současně ke snižování produkce hluku.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BC0D87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10 bodů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jc w:val="center"/>
            </w:pPr>
            <w:r w:rsidRPr="00BC0D87">
              <w:rPr>
                <w:b/>
                <w:bCs/>
                <w:sz w:val="20"/>
              </w:rPr>
              <w:t xml:space="preserve">Max. </w:t>
            </w:r>
            <w:r>
              <w:rPr>
                <w:b/>
                <w:bCs/>
                <w:sz w:val="20"/>
              </w:rPr>
              <w:t xml:space="preserve">10 </w:t>
            </w:r>
            <w:r w:rsidRPr="00BC0D87">
              <w:rPr>
                <w:b/>
                <w:bCs/>
                <w:sz w:val="20"/>
              </w:rPr>
              <w:t>bodů</w:t>
            </w:r>
          </w:p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:rsidR="00811EE8" w:rsidRDefault="00811EE8" w:rsidP="00563ADE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563ADE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Žádost o podporu, studie proveditelnosti                                                                                               </w:t>
            </w:r>
          </w:p>
          <w:p w:rsidR="00811EE8" w:rsidRPr="00563ADE" w:rsidRDefault="00811EE8" w:rsidP="007E6E77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v projektu dostatečně zdůvodn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po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třebnost realizace projektu pro danou oblast,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vysvětl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, proč by měl být projekt realizován, proč vznikl a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kde jsou jeho hlavní přínosy. 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Potřebnost projektu by měla být zároveň dostatečně objektivně doložena např. analýzou lokality,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statistickými daty.</w:t>
            </w:r>
            <w:r>
              <w:rPr>
                <w:sz w:val="20"/>
                <w:szCs w:val="20"/>
              </w:rPr>
              <w:t xml:space="preserve"> 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Bodové ohodnocení je přiděleno s ohledem na kvalitu analýzy a relevanci dat, z nichž vychází.</w:t>
            </w:r>
          </w:p>
        </w:tc>
        <w:tc>
          <w:tcPr>
            <w:tcW w:w="13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  <w:p w:rsidR="00811EE8" w:rsidRPr="00BC0D87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BC0D87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20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Pr="00BC0D87" w:rsidRDefault="00811EE8" w:rsidP="006256F6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811EE8" w:rsidTr="00D81E09">
        <w:trPr>
          <w:gridAfter w:val="1"/>
          <w:wAfter w:w="56" w:type="dxa"/>
          <w:trHeight w:val="825"/>
          <w:jc w:val="center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563ADE">
            <w:pPr>
              <w:pStyle w:val="Standard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563ADE" w:rsidRDefault="00811EE8" w:rsidP="008D5939">
            <w:pPr>
              <w:pStyle w:val="Standard"/>
              <w:spacing w:after="0" w:line="240" w:lineRule="auto"/>
              <w:jc w:val="both"/>
            </w:pPr>
            <w:r w:rsidRPr="00C8064E">
              <w:rPr>
                <w:sz w:val="20"/>
                <w:szCs w:val="20"/>
              </w:rPr>
              <w:t xml:space="preserve">Potřeba realizace projektu je popsána, ale není </w:t>
            </w:r>
            <w:r>
              <w:rPr>
                <w:sz w:val="20"/>
                <w:szCs w:val="20"/>
              </w:rPr>
              <w:t>prokazatelně doložena (nebo pouze částečně) zpracovanou analýzou nebo není dostatečně podložena statistickými údaji</w:t>
            </w:r>
            <w:r w:rsidRPr="00C806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Realizace opatření záchytných parkovišť systému P+R směřuje ke zvyšování užívání městské veřejné dopravy na úkor vnější automobilové dopravy na území města a současně ke snižování produkce hluku.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0B7CA0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5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D80EC4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811EE8" w:rsidRPr="00BC0D87" w:rsidRDefault="00811EE8" w:rsidP="006256F6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A"/>
              <w:right w:val="single" w:sz="4" w:space="0" w:color="auto"/>
            </w:tcBorders>
          </w:tcPr>
          <w:p w:rsidR="00811EE8" w:rsidRPr="00BC0D87" w:rsidRDefault="00811EE8" w:rsidP="006256F6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811EE8" w:rsidTr="00D81E09">
        <w:trPr>
          <w:gridAfter w:val="1"/>
          <w:wAfter w:w="56" w:type="dxa"/>
          <w:trHeight w:val="579"/>
          <w:jc w:val="center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563ADE">
            <w:pPr>
              <w:pStyle w:val="Standard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0A6EE4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Zpracovanou analýzou (doloženými statistickými daty) není prokazatelně doložena potřeba realizace opatření záchytných parkovišť systému P+R.. Projekt dostatečně </w:t>
            </w:r>
            <w:r w:rsidRPr="00E17E76">
              <w:rPr>
                <w:rFonts w:cs="Arial"/>
                <w:color w:val="000000"/>
                <w:sz w:val="20"/>
                <w:szCs w:val="20"/>
              </w:rPr>
              <w:t>nereflektuje potřeby obyvatelstva v dané lokalitě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nebo snižování objemu vnější automobilové dopravy na území města a snižování produkce hluku nebude realizací projektu dosaženo.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0B7CA0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D80EC4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811EE8" w:rsidRPr="00BC0D87" w:rsidRDefault="00811EE8" w:rsidP="006256F6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A"/>
              <w:right w:val="single" w:sz="4" w:space="0" w:color="auto"/>
            </w:tcBorders>
          </w:tcPr>
          <w:p w:rsidR="00811EE8" w:rsidRPr="00BC0D87" w:rsidRDefault="00811EE8" w:rsidP="006256F6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811EE8" w:rsidTr="00D81E09">
        <w:trPr>
          <w:gridAfter w:val="1"/>
          <w:wAfter w:w="56" w:type="dxa"/>
          <w:trHeight w:val="532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563ADE">
            <w:pPr>
              <w:pStyle w:val="Standard"/>
              <w:spacing w:after="0" w:line="240" w:lineRule="auto"/>
            </w:pPr>
            <w:r w:rsidRPr="009A42A1">
              <w:rPr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</w:rPr>
              <w:t xml:space="preserve">Soulad projektu </w:t>
            </w:r>
            <w:r w:rsidRPr="00D34A68">
              <w:rPr>
                <w:sz w:val="20"/>
              </w:rPr>
              <w:t xml:space="preserve">s aktuální </w:t>
            </w:r>
            <w:r>
              <w:rPr>
                <w:sz w:val="20"/>
              </w:rPr>
              <w:t>„</w:t>
            </w:r>
            <w:r w:rsidRPr="00FE3E03">
              <w:rPr>
                <w:i/>
                <w:sz w:val="20"/>
              </w:rPr>
              <w:t>celoměstskou koncepcí nových lokalit P+R“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6E77" w:rsidRDefault="00811EE8" w:rsidP="00563AD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C167FD">
              <w:rPr>
                <w:sz w:val="20"/>
                <w:szCs w:val="20"/>
              </w:rPr>
              <w:t>Projekt je v souladu s aktuální „celoměstskou koncepcí nových lokalit P+R“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E8" w:rsidRDefault="00955E1A" w:rsidP="00D40E97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C167FD" w:rsidRDefault="00811EE8" w:rsidP="00D40E97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Max. 2 body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811EE8" w:rsidRDefault="00811EE8" w:rsidP="00C167FD">
            <w:r>
              <w:rPr>
                <w:i/>
                <w:sz w:val="20"/>
                <w:szCs w:val="20"/>
              </w:rPr>
              <w:t>V rámci příslušné kapitoly SP žadatel dokládá soulad projektu s aktuální celoměstskou koncepcí nových lokalit P+R (dle kapitoly 1.1.1 Programového dokumentu OP PPR)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extDirection w:val="btLr"/>
            <w:vAlign w:val="center"/>
          </w:tcPr>
          <w:p w:rsidR="00811EE8" w:rsidRPr="00BC0D87" w:rsidDel="009D50B1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BC0D87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Pr="00BC0D87" w:rsidRDefault="00811EE8" w:rsidP="00563ADE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811EE8" w:rsidTr="00D81E09">
        <w:trPr>
          <w:gridAfter w:val="1"/>
          <w:wAfter w:w="56" w:type="dxa"/>
          <w:trHeight w:val="97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Del="009D50B1" w:rsidRDefault="00811EE8" w:rsidP="007E6E77">
            <w:pPr>
              <w:pStyle w:val="Standard"/>
              <w:spacing w:after="0" w:line="240" w:lineRule="auto"/>
              <w:rPr>
                <w:rFonts w:cs="Arial"/>
                <w:sz w:val="20"/>
              </w:rPr>
            </w:pPr>
            <w:r w:rsidRPr="00C167FD">
              <w:rPr>
                <w:sz w:val="20"/>
                <w:szCs w:val="20"/>
              </w:rPr>
              <w:t>Projekt není v souladu s</w:t>
            </w:r>
            <w:r>
              <w:rPr>
                <w:sz w:val="20"/>
                <w:szCs w:val="20"/>
              </w:rPr>
              <w:t> </w:t>
            </w:r>
            <w:r w:rsidRPr="00C167FD">
              <w:rPr>
                <w:sz w:val="20"/>
                <w:szCs w:val="20"/>
              </w:rPr>
              <w:t>aktuální</w:t>
            </w:r>
            <w:r>
              <w:rPr>
                <w:sz w:val="20"/>
                <w:szCs w:val="20"/>
              </w:rPr>
              <w:t xml:space="preserve"> </w:t>
            </w:r>
            <w:r w:rsidRPr="00C167FD">
              <w:rPr>
                <w:sz w:val="20"/>
                <w:szCs w:val="20"/>
              </w:rPr>
              <w:t>„Celoměstskou koncepcí nových lokalit P+R“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E8" w:rsidDel="009D50B1" w:rsidRDefault="00955E1A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Del="009D50B1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11EE8" w:rsidRDefault="00811EE8"/>
        </w:tc>
      </w:tr>
      <w:tr w:rsidR="002E0FE2" w:rsidTr="00D81E09">
        <w:trPr>
          <w:gridAfter w:val="1"/>
          <w:wAfter w:w="56" w:type="dxa"/>
          <w:cantSplit/>
          <w:trHeight w:val="304"/>
          <w:jc w:val="center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E0FE2" w:rsidRDefault="002E0FE2" w:rsidP="00626354">
            <w:pPr>
              <w:pStyle w:val="Standard"/>
              <w:spacing w:after="0" w:line="36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ÚČELNOST </w:t>
            </w:r>
          </w:p>
        </w:tc>
      </w:tr>
      <w:tr w:rsidR="00811EE8" w:rsidTr="00D81E09">
        <w:trPr>
          <w:gridAfter w:val="1"/>
          <w:wAfter w:w="56" w:type="dxa"/>
          <w:cantSplit/>
          <w:trHeight w:val="1099"/>
          <w:jc w:val="center"/>
        </w:trPr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276AE4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</w:p>
          <w:p w:rsidR="00811EE8" w:rsidRPr="007E6E77" w:rsidRDefault="00811EE8" w:rsidP="0032743E">
            <w:pPr>
              <w:pStyle w:val="Standard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7E6E77">
              <w:rPr>
                <w:sz w:val="20"/>
              </w:rPr>
              <w:t xml:space="preserve"> Počet vytvořených parkovacích míst</w:t>
            </w:r>
          </w:p>
          <w:p w:rsidR="00811EE8" w:rsidRDefault="00811EE8" w:rsidP="00276AE4">
            <w:pPr>
              <w:pStyle w:val="Standard"/>
              <w:spacing w:after="0" w:line="240" w:lineRule="auto"/>
              <w:rPr>
                <w:i/>
                <w:sz w:val="18"/>
                <w:szCs w:val="20"/>
              </w:rPr>
            </w:pPr>
          </w:p>
          <w:p w:rsidR="00811EE8" w:rsidRPr="00276AE4" w:rsidRDefault="00811EE8" w:rsidP="00276AE4">
            <w:pPr>
              <w:pStyle w:val="Standard"/>
              <w:spacing w:after="0" w:line="240" w:lineRule="auto"/>
              <w:rPr>
                <w:b/>
                <w:i/>
                <w:sz w:val="14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276AE4" w:rsidRDefault="00811EE8" w:rsidP="00626354">
            <w:pPr>
              <w:pStyle w:val="Standard"/>
              <w:spacing w:after="0" w:line="240" w:lineRule="auto"/>
              <w:rPr>
                <w:sz w:val="20"/>
              </w:rPr>
            </w:pPr>
            <w:r w:rsidRPr="00276AE4">
              <w:rPr>
                <w:sz w:val="20"/>
              </w:rPr>
              <w:t xml:space="preserve">Počet vytvořených parkovacích míst je </w:t>
            </w:r>
            <w:r>
              <w:rPr>
                <w:sz w:val="20"/>
              </w:rPr>
              <w:t>250</w:t>
            </w:r>
            <w:r w:rsidRPr="00276AE4">
              <w:rPr>
                <w:sz w:val="20"/>
              </w:rPr>
              <w:t xml:space="preserve">  a</w:t>
            </w:r>
            <w:r>
              <w:rPr>
                <w:sz w:val="20"/>
              </w:rPr>
              <w:t> </w:t>
            </w:r>
            <w:r w:rsidRPr="00276AE4">
              <w:rPr>
                <w:sz w:val="20"/>
              </w:rPr>
              <w:t>více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sz w:val="20"/>
              </w:rPr>
              <w:t>15 bodů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7E561E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</w:p>
          <w:p w:rsidR="00811EE8" w:rsidRPr="007E561E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</w:p>
          <w:p w:rsidR="00811EE8" w:rsidRPr="007E561E" w:rsidRDefault="00811EE8">
            <w:pPr>
              <w:pStyle w:val="Standard"/>
              <w:spacing w:after="0" w:line="240" w:lineRule="auto"/>
              <w:rPr>
                <w:b/>
                <w:bCs/>
                <w:sz w:val="20"/>
                <w:highlight w:val="yellow"/>
              </w:rPr>
            </w:pPr>
          </w:p>
          <w:p w:rsidR="00811EE8" w:rsidRPr="004A1F19" w:rsidRDefault="00811EE8">
            <w:pPr>
              <w:pStyle w:val="Standard"/>
              <w:spacing w:after="0" w:line="240" w:lineRule="auto"/>
              <w:jc w:val="center"/>
            </w:pPr>
            <w:r w:rsidRPr="004A1F19">
              <w:rPr>
                <w:b/>
                <w:bCs/>
                <w:sz w:val="20"/>
              </w:rPr>
              <w:t>Max. 1</w:t>
            </w:r>
            <w:r>
              <w:rPr>
                <w:b/>
                <w:bCs/>
                <w:sz w:val="20"/>
              </w:rPr>
              <w:t xml:space="preserve">5 </w:t>
            </w:r>
            <w:r w:rsidRPr="004A1F19">
              <w:rPr>
                <w:b/>
                <w:bCs/>
                <w:sz w:val="20"/>
              </w:rPr>
              <w:t>bodů</w:t>
            </w:r>
          </w:p>
          <w:p w:rsidR="00811EE8" w:rsidRPr="007E561E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DC6D42" w:rsidRDefault="00811EE8">
            <w:pPr>
              <w:pStyle w:val="Standard"/>
              <w:spacing w:after="0" w:line="240" w:lineRule="auto"/>
            </w:pPr>
            <w:r w:rsidRPr="00DC6D42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811EE8" w:rsidRDefault="00811EE8" w:rsidP="00913F32">
            <w:pPr>
              <w:pStyle w:val="Standard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Jedná se o míru naplnění indikátoru PO2 „7 40 01 - Počet vytvořených parkovacích míst“ </w:t>
            </w:r>
          </w:p>
          <w:p w:rsidR="00811EE8" w:rsidRPr="00D336F5" w:rsidRDefault="00811EE8" w:rsidP="00D336F5">
            <w:pPr>
              <w:pStyle w:val="Standard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DI: </w:t>
            </w:r>
            <w:r w:rsidRPr="00D336F5">
              <w:rPr>
                <w:i/>
                <w:sz w:val="20"/>
                <w:szCs w:val="20"/>
              </w:rPr>
              <w:t xml:space="preserve">Počet nových nebo technicky zhodnocených parkovacích míst v rámci projektů zaměřených na vytváření nových nebo technicky zhodnocených parkovacích domů a parkovišť všech typů. </w:t>
            </w:r>
          </w:p>
          <w:p w:rsidR="00811EE8" w:rsidRDefault="00811EE8" w:rsidP="00D336F5">
            <w:pPr>
              <w:pStyle w:val="Standard"/>
              <w:spacing w:after="0" w:line="240" w:lineRule="auto"/>
              <w:rPr>
                <w:i/>
                <w:sz w:val="20"/>
                <w:szCs w:val="20"/>
              </w:rPr>
            </w:pPr>
            <w:r w:rsidRPr="00D336F5">
              <w:rPr>
                <w:i/>
                <w:sz w:val="20"/>
                <w:szCs w:val="20"/>
              </w:rPr>
              <w:t>Veřejné parkoviště je stavebně a provozně vymezená plocha místní nebo účelové komunikace anebo samostatná místní nebo účelová komunikace určená ke stání silničního motorového vozidla.</w:t>
            </w:r>
          </w:p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Pr="00811EE8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Pr="00DC6D42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1EE8" w:rsidTr="00D81E09">
        <w:trPr>
          <w:gridAfter w:val="1"/>
          <w:wAfter w:w="56" w:type="dxa"/>
          <w:cantSplit/>
          <w:trHeight w:val="599"/>
          <w:jc w:val="center"/>
        </w:trPr>
        <w:tc>
          <w:tcPr>
            <w:tcW w:w="212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276AE4" w:rsidRDefault="00811EE8" w:rsidP="00692536">
            <w:pPr>
              <w:pStyle w:val="Standard"/>
              <w:spacing w:after="0" w:line="240" w:lineRule="auto"/>
              <w:rPr>
                <w:sz w:val="20"/>
              </w:rPr>
            </w:pPr>
            <w:r w:rsidRPr="00276AE4">
              <w:rPr>
                <w:sz w:val="20"/>
              </w:rPr>
              <w:t>Počet vytvořených parkovacích míst je</w:t>
            </w:r>
            <w:r>
              <w:rPr>
                <w:sz w:val="20"/>
              </w:rPr>
              <w:t xml:space="preserve"> 125</w:t>
            </w:r>
            <w:r w:rsidRPr="00276AE4">
              <w:rPr>
                <w:sz w:val="20"/>
              </w:rPr>
              <w:t xml:space="preserve"> (včetně) až </w:t>
            </w:r>
            <w:r>
              <w:rPr>
                <w:sz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</w:rPr>
              <w:t>10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7E561E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 w:val="restart"/>
            <w:tcBorders>
              <w:left w:val="single" w:sz="4" w:space="0" w:color="00000A"/>
              <w:right w:val="single" w:sz="4" w:space="0" w:color="auto"/>
            </w:tcBorders>
            <w:textDirection w:val="btLr"/>
          </w:tcPr>
          <w:p w:rsidR="00811EE8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  <w:p w:rsidR="00811EE8" w:rsidRPr="00811EE8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811EE8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2095" w:type="dxa"/>
            <w:gridSpan w:val="2"/>
            <w:tcBorders>
              <w:left w:val="single" w:sz="4" w:space="0" w:color="00000A"/>
              <w:right w:val="single" w:sz="4" w:space="0" w:color="auto"/>
            </w:tcBorders>
          </w:tcPr>
          <w:p w:rsidR="00811EE8" w:rsidRPr="00343ACD" w:rsidRDefault="00811EE8" w:rsidP="00D87B3B">
            <w:pPr>
              <w:jc w:val="center"/>
              <w:rPr>
                <w:b/>
                <w:sz w:val="18"/>
              </w:rPr>
            </w:pPr>
          </w:p>
        </w:tc>
      </w:tr>
      <w:tr w:rsidR="00811EE8" w:rsidTr="00D81E09">
        <w:trPr>
          <w:gridAfter w:val="1"/>
          <w:wAfter w:w="56" w:type="dxa"/>
          <w:cantSplit/>
          <w:trHeight w:val="300"/>
          <w:jc w:val="center"/>
        </w:trPr>
        <w:tc>
          <w:tcPr>
            <w:tcW w:w="212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276AE4" w:rsidRDefault="00811EE8" w:rsidP="001456D9">
            <w:pPr>
              <w:pStyle w:val="Standard"/>
              <w:spacing w:after="0" w:line="240" w:lineRule="auto"/>
              <w:rPr>
                <w:sz w:val="20"/>
              </w:rPr>
            </w:pPr>
            <w:r w:rsidRPr="00276AE4">
              <w:rPr>
                <w:sz w:val="20"/>
              </w:rPr>
              <w:t>Počet parkovacích míst</w:t>
            </w:r>
            <w:r>
              <w:rPr>
                <w:sz w:val="20"/>
              </w:rPr>
              <w:t xml:space="preserve"> je</w:t>
            </w:r>
            <w:r w:rsidRPr="00276AE4">
              <w:rPr>
                <w:sz w:val="20"/>
              </w:rPr>
              <w:t xml:space="preserve"> </w:t>
            </w:r>
            <w:r>
              <w:rPr>
                <w:sz w:val="20"/>
              </w:rPr>
              <w:t>30 (včetně) až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</w:rPr>
              <w:t>5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7E561E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00000A"/>
              <w:right w:val="single" w:sz="4" w:space="0" w:color="auto"/>
            </w:tcBorders>
          </w:tcPr>
          <w:p w:rsidR="00811EE8" w:rsidRDefault="00811EE8"/>
        </w:tc>
      </w:tr>
      <w:tr w:rsidR="00811EE8" w:rsidTr="00D81E09">
        <w:trPr>
          <w:gridAfter w:val="1"/>
          <w:wAfter w:w="56" w:type="dxa"/>
          <w:cantSplit/>
          <w:trHeight w:val="300"/>
          <w:jc w:val="center"/>
        </w:trPr>
        <w:tc>
          <w:tcPr>
            <w:tcW w:w="212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1456D9">
            <w:pPr>
              <w:pStyle w:val="Standard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Projekt nevytvoří žádná parkovací místa, nebo vytvoří méně než 30 parkovacích míst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7E561E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00000A"/>
              <w:right w:val="single" w:sz="4" w:space="0" w:color="auto"/>
            </w:tcBorders>
          </w:tcPr>
          <w:p w:rsidR="00811EE8" w:rsidRDefault="00811EE8"/>
        </w:tc>
      </w:tr>
      <w:tr w:rsidR="00811EE8" w:rsidTr="00D81E09">
        <w:trPr>
          <w:gridAfter w:val="1"/>
          <w:wAfter w:w="56" w:type="dxa"/>
          <w:cantSplit/>
          <w:trHeight w:val="43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D87B3B" w:rsidRDefault="00811EE8" w:rsidP="00D87B3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</w:t>
            </w:r>
            <w:r w:rsidRPr="00D87B3B">
              <w:rPr>
                <w:sz w:val="20"/>
                <w:szCs w:val="20"/>
              </w:rPr>
              <w:t>Počet vozidel parkujících na novém parkovišti P+R za rok</w:t>
            </w:r>
          </w:p>
          <w:p w:rsidR="00811EE8" w:rsidRDefault="00811EE8" w:rsidP="00D87B3B">
            <w:pPr>
              <w:pStyle w:val="Standard"/>
              <w:spacing w:after="0" w:line="240" w:lineRule="auto"/>
              <w:rPr>
                <w:i/>
                <w:sz w:val="18"/>
                <w:szCs w:val="20"/>
                <w:highlight w:val="yellow"/>
              </w:rPr>
            </w:pPr>
          </w:p>
          <w:p w:rsidR="00811EE8" w:rsidRPr="00D87B3B" w:rsidRDefault="00811EE8" w:rsidP="00B620A4">
            <w:pPr>
              <w:pStyle w:val="Standard"/>
              <w:spacing w:after="0" w:line="240" w:lineRule="auto"/>
              <w:rPr>
                <w:i/>
                <w:sz w:val="18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D87B3B" w:rsidRDefault="00811EE8" w:rsidP="0027699B">
            <w:pPr>
              <w:pStyle w:val="Standard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87B3B">
              <w:rPr>
                <w:sz w:val="20"/>
                <w:szCs w:val="20"/>
              </w:rPr>
              <w:t xml:space="preserve">Počet vozidel za rok </w:t>
            </w:r>
            <w:r>
              <w:rPr>
                <w:sz w:val="20"/>
                <w:szCs w:val="20"/>
              </w:rPr>
              <w:t>70</w:t>
            </w:r>
            <w:r w:rsidRPr="00D87B3B">
              <w:rPr>
                <w:sz w:val="20"/>
                <w:szCs w:val="20"/>
              </w:rPr>
              <w:t> 000 a více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D336F5" w:rsidRDefault="00955E1A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87B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87B3B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D336F5" w:rsidRDefault="00811EE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36F5">
              <w:rPr>
                <w:b/>
                <w:bCs/>
                <w:sz w:val="20"/>
                <w:szCs w:val="20"/>
              </w:rPr>
              <w:t>Max. 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336F5">
              <w:rPr>
                <w:b/>
                <w:bCs/>
                <w:sz w:val="20"/>
                <w:szCs w:val="20"/>
              </w:rPr>
              <w:t xml:space="preserve"> bodů</w:t>
            </w:r>
          </w:p>
          <w:p w:rsidR="00811EE8" w:rsidRPr="007E561E" w:rsidRDefault="00811EE8" w:rsidP="00D87B3B">
            <w:pPr>
              <w:pStyle w:val="Standard"/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D87B3B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87B3B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811EE8" w:rsidRDefault="00811EE8" w:rsidP="0032743E">
            <w:pPr>
              <w:pStyle w:val="Standard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Jedná se o míru naplnění indikátoru PO 2 „</w:t>
            </w:r>
            <w:r w:rsidRPr="006B0A6A">
              <w:rPr>
                <w:i/>
                <w:sz w:val="20"/>
                <w:szCs w:val="20"/>
              </w:rPr>
              <w:t>Počet vozidel parkujících na P+R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9758C">
              <w:rPr>
                <w:i/>
                <w:sz w:val="20"/>
                <w:szCs w:val="20"/>
              </w:rPr>
              <w:t>v rámci podpořeného projektu</w:t>
            </w:r>
            <w:r w:rsidRPr="006B0A6A">
              <w:rPr>
                <w:i/>
                <w:sz w:val="20"/>
                <w:szCs w:val="20"/>
              </w:rPr>
              <w:t>“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811EE8" w:rsidRDefault="00811EE8" w:rsidP="0032743E">
            <w:pPr>
              <w:pStyle w:val="Standard"/>
              <w:spacing w:after="0" w:line="240" w:lineRule="auto"/>
              <w:rPr>
                <w:i/>
                <w:sz w:val="20"/>
                <w:szCs w:val="20"/>
              </w:rPr>
            </w:pPr>
          </w:p>
          <w:p w:rsidR="00811EE8" w:rsidRDefault="00811EE8" w:rsidP="006B0A6A">
            <w:pPr>
              <w:pStyle w:val="Standard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DI: Počet vozidel, která </w:t>
            </w:r>
            <w:r w:rsidRPr="006A3348">
              <w:rPr>
                <w:i/>
                <w:sz w:val="20"/>
                <w:szCs w:val="20"/>
              </w:rPr>
              <w:t>zaparkují na záchytném parkovišti P+R, které je sledováno v rámci rea</w:t>
            </w:r>
            <w:r>
              <w:rPr>
                <w:i/>
                <w:sz w:val="20"/>
                <w:szCs w:val="20"/>
              </w:rPr>
              <w:t xml:space="preserve">lizace projektu za </w:t>
            </w:r>
            <w:r>
              <w:rPr>
                <w:i/>
                <w:sz w:val="20"/>
                <w:szCs w:val="20"/>
              </w:rPr>
              <w:lastRenderedPageBreak/>
              <w:t>rok. Jedná se</w:t>
            </w:r>
            <w:r w:rsidRPr="006A3348">
              <w:rPr>
                <w:i/>
                <w:sz w:val="20"/>
                <w:szCs w:val="20"/>
              </w:rPr>
              <w:t xml:space="preserve"> o počty vozidel, které v daném roce využily P+R</w:t>
            </w:r>
            <w:r>
              <w:rPr>
                <w:i/>
                <w:sz w:val="20"/>
                <w:szCs w:val="20"/>
              </w:rPr>
              <w:t>.</w:t>
            </w:r>
          </w:p>
          <w:p w:rsidR="00811EE8" w:rsidRDefault="00811EE8" w:rsidP="003155E0">
            <w:pPr>
              <w:pStyle w:val="Standard"/>
              <w:spacing w:after="0" w:line="240" w:lineRule="auto"/>
              <w:rPr>
                <w:i/>
                <w:color w:val="1F497D"/>
                <w:sz w:val="20"/>
              </w:rPr>
            </w:pPr>
          </w:p>
          <w:p w:rsidR="00811EE8" w:rsidRDefault="00811EE8" w:rsidP="003155E0">
            <w:pPr>
              <w:pStyle w:val="Standard"/>
              <w:spacing w:after="0" w:line="240" w:lineRule="auto"/>
              <w:rPr>
                <w:i/>
                <w:sz w:val="20"/>
              </w:rPr>
            </w:pPr>
            <w:r w:rsidRPr="00434C3C">
              <w:rPr>
                <w:i/>
                <w:sz w:val="20"/>
              </w:rPr>
              <w:t>Počet vozidel parkujících na novém parkovišti P+R bude prokazován pomocí v Praze na P+R běžně instalovaného robotického systému, ze kterého lze stahovat mimo jiné i data o počtu vozidel.</w:t>
            </w:r>
          </w:p>
          <w:p w:rsidR="00811EE8" w:rsidRDefault="00811EE8" w:rsidP="003155E0">
            <w:pPr>
              <w:pStyle w:val="Standard"/>
              <w:spacing w:after="0" w:line="240" w:lineRule="auto"/>
              <w:rPr>
                <w:i/>
                <w:sz w:val="20"/>
              </w:rPr>
            </w:pPr>
          </w:p>
          <w:p w:rsidR="00811EE8" w:rsidRPr="00434C3C" w:rsidRDefault="00811EE8" w:rsidP="008C3194">
            <w:pPr>
              <w:pStyle w:val="Standard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1F497D"/>
                <w:sz w:val="20"/>
              </w:rPr>
              <w:t>Pozn. ŘO: Kritérium bude hodnoceno na základě stanovené celkové hodnoty indikátoru pro pětiletou udržitelnost projektu, ke které se žadatel realizací projektu zaváže a naplní do konce udržitelnosti projektu.</w:t>
            </w:r>
          </w:p>
        </w:tc>
        <w:tc>
          <w:tcPr>
            <w:tcW w:w="139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1EE8" w:rsidRPr="00343ACD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3ACD">
              <w:rPr>
                <w:b/>
                <w:sz w:val="18"/>
              </w:rPr>
              <w:lastRenderedPageBreak/>
              <w:t>Kombinované</w:t>
            </w:r>
          </w:p>
        </w:tc>
        <w:tc>
          <w:tcPr>
            <w:tcW w:w="2095" w:type="dxa"/>
            <w:gridSpan w:val="2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:rsidR="00811EE8" w:rsidRPr="00343ACD" w:rsidRDefault="00811EE8" w:rsidP="00D87B3B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811EE8" w:rsidTr="00D81E09">
        <w:trPr>
          <w:gridAfter w:val="1"/>
          <w:wAfter w:w="56" w:type="dxa"/>
          <w:cantSplit/>
          <w:trHeight w:val="408"/>
          <w:jc w:val="center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D87B3B" w:rsidRDefault="00811EE8" w:rsidP="00D87B3B">
            <w:pPr>
              <w:pStyle w:val="Standard"/>
              <w:spacing w:after="0" w:line="240" w:lineRule="auto"/>
              <w:rPr>
                <w:sz w:val="20"/>
                <w:highlight w:val="yellow"/>
              </w:rPr>
            </w:pPr>
            <w:r w:rsidRPr="00D87B3B">
              <w:rPr>
                <w:sz w:val="20"/>
              </w:rPr>
              <w:t xml:space="preserve">Počet vozidel za rok </w:t>
            </w:r>
            <w:r>
              <w:rPr>
                <w:sz w:val="20"/>
              </w:rPr>
              <w:t>35</w:t>
            </w:r>
            <w:r w:rsidRPr="00D87B3B">
              <w:rPr>
                <w:sz w:val="20"/>
              </w:rPr>
              <w:t xml:space="preserve"> 000 (včetně) až </w:t>
            </w:r>
            <w:r>
              <w:rPr>
                <w:sz w:val="20"/>
              </w:rPr>
              <w:t>70</w:t>
            </w:r>
            <w:r w:rsidRPr="00D87B3B">
              <w:rPr>
                <w:sz w:val="20"/>
              </w:rPr>
              <w:t> 000 (mimo)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</w:rPr>
              <w:t>10</w:t>
            </w:r>
            <w:r w:rsidRPr="00D87B3B">
              <w:rPr>
                <w:sz w:val="20"/>
              </w:rPr>
              <w:t xml:space="preserve">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Default="00811EE8"/>
        </w:tc>
      </w:tr>
      <w:tr w:rsidR="00811EE8" w:rsidTr="00D81E09">
        <w:trPr>
          <w:gridAfter w:val="1"/>
          <w:wAfter w:w="56" w:type="dxa"/>
          <w:cantSplit/>
          <w:trHeight w:val="460"/>
          <w:jc w:val="center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D87B3B" w:rsidRDefault="00811EE8" w:rsidP="008E3299">
            <w:pPr>
              <w:pStyle w:val="Standard"/>
              <w:spacing w:after="0" w:line="240" w:lineRule="auto"/>
              <w:rPr>
                <w:sz w:val="20"/>
                <w:highlight w:val="yellow"/>
              </w:rPr>
            </w:pPr>
            <w:r w:rsidRPr="00D87B3B">
              <w:rPr>
                <w:sz w:val="20"/>
              </w:rPr>
              <w:t xml:space="preserve">Počet vozidel za rok </w:t>
            </w:r>
            <w:r>
              <w:rPr>
                <w:sz w:val="20"/>
              </w:rPr>
              <w:t>8 000 (včetně) až 35 000 (mimo)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</w:rPr>
              <w:t>5</w:t>
            </w:r>
            <w:r w:rsidRPr="00D87B3B">
              <w:rPr>
                <w:sz w:val="20"/>
              </w:rPr>
              <w:t xml:space="preserve"> bod</w:t>
            </w:r>
            <w:r>
              <w:rPr>
                <w:sz w:val="20"/>
              </w:rPr>
              <w:t>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</w:tr>
      <w:tr w:rsidR="00811EE8" w:rsidTr="00D81E09">
        <w:trPr>
          <w:gridAfter w:val="1"/>
          <w:wAfter w:w="56" w:type="dxa"/>
          <w:cantSplit/>
          <w:trHeight w:val="551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D87B3B" w:rsidRDefault="00811EE8" w:rsidP="00D87B3B">
            <w:pPr>
              <w:pStyle w:val="Standard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Počet vozidel za rok menší než 8 000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1EE8" w:rsidRDefault="00811EE8"/>
        </w:tc>
      </w:tr>
      <w:tr w:rsidR="00440A73" w:rsidTr="00DC31D9">
        <w:trPr>
          <w:gridAfter w:val="1"/>
          <w:wAfter w:w="56" w:type="dxa"/>
          <w:cantSplit/>
          <w:trHeight w:val="1134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sz w:val="20"/>
              </w:rPr>
            </w:pPr>
          </w:p>
          <w:p w:rsidR="00811EE8" w:rsidRPr="00D87B3B" w:rsidRDefault="00811EE8" w:rsidP="004A1ADA">
            <w:pPr>
              <w:pStyle w:val="Standard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5.</w:t>
            </w:r>
            <w:r w:rsidRPr="00D87B3B">
              <w:rPr>
                <w:sz w:val="20"/>
              </w:rPr>
              <w:t xml:space="preserve"> Počet zařízení a služeb pro řízení dopravy</w:t>
            </w:r>
            <w:r>
              <w:rPr>
                <w:sz w:val="20"/>
              </w:rPr>
              <w:t xml:space="preserve"> </w:t>
            </w:r>
            <w:r w:rsidRPr="00D87B3B">
              <w:rPr>
                <w:sz w:val="20"/>
              </w:rPr>
              <w:t>(ks)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48347E" w:rsidRDefault="00811EE8" w:rsidP="00C31900">
            <w:pPr>
              <w:pStyle w:val="Standard"/>
              <w:spacing w:after="0" w:line="240" w:lineRule="auto"/>
            </w:pPr>
            <w:r w:rsidRPr="0048347E">
              <w:rPr>
                <w:bCs/>
                <w:sz w:val="20"/>
              </w:rPr>
              <w:t xml:space="preserve">Počet implementovaných nebo optimalizovaných zařízení je </w:t>
            </w:r>
            <w:r>
              <w:rPr>
                <w:bCs/>
                <w:sz w:val="20"/>
              </w:rPr>
              <w:t>2</w:t>
            </w:r>
            <w:r w:rsidRPr="0048347E">
              <w:rPr>
                <w:bCs/>
                <w:sz w:val="20"/>
              </w:rPr>
              <w:t xml:space="preserve"> a více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D336F5" w:rsidRDefault="00955E1A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8347E">
              <w:rPr>
                <w:bCs/>
                <w:sz w:val="20"/>
              </w:rPr>
              <w:t>6 bodů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 w:rsidP="00D80EC4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  <w:r w:rsidRPr="00D336F5">
              <w:rPr>
                <w:b/>
                <w:bCs/>
                <w:sz w:val="20"/>
              </w:rPr>
              <w:t>Max. 6 bodů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DC6D42" w:rsidRDefault="00811EE8">
            <w:pPr>
              <w:pStyle w:val="Standard"/>
              <w:spacing w:after="0" w:line="240" w:lineRule="auto"/>
            </w:pPr>
            <w:r w:rsidRPr="00DC6D42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Jedná se o míru naplnění indikátoru PO 2 „7 04 01 – Počet zařízení a služeb pro řízení dopravy“</w:t>
            </w:r>
          </w:p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DI: </w:t>
            </w:r>
            <w:r w:rsidRPr="007B07F6">
              <w:rPr>
                <w:bCs/>
                <w:i/>
                <w:sz w:val="20"/>
              </w:rPr>
              <w:t>Počet implementovaných nebo optimalizovaných zařízení / systémů / služeb (např. zabezpečovací, řídicí, odbavovací nebo informační) městské, příměstské a veřejné hromadné dopravy.</w:t>
            </w:r>
            <w:r>
              <w:rPr>
                <w:bCs/>
                <w:i/>
                <w:sz w:val="20"/>
              </w:rPr>
              <w:t xml:space="preserve"> </w:t>
            </w:r>
          </w:p>
          <w:p w:rsidR="00811EE8" w:rsidRDefault="00811EE8" w:rsidP="00D87B3B">
            <w:pPr>
              <w:pStyle w:val="Standard"/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Pr="00DC6D42" w:rsidRDefault="00811EE8" w:rsidP="00DC31D9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Pr="00DC6D42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0A73" w:rsidTr="00DC31D9">
        <w:trPr>
          <w:gridAfter w:val="1"/>
          <w:wAfter w:w="56" w:type="dxa"/>
          <w:cantSplit/>
          <w:trHeight w:val="1134"/>
          <w:jc w:val="center"/>
        </w:trPr>
        <w:tc>
          <w:tcPr>
            <w:tcW w:w="21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C119DD"/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48347E" w:rsidRDefault="00811EE8" w:rsidP="00C31900">
            <w:pPr>
              <w:pStyle w:val="Standard"/>
              <w:spacing w:after="0" w:line="240" w:lineRule="auto"/>
            </w:pPr>
            <w:r w:rsidRPr="0048347E">
              <w:rPr>
                <w:bCs/>
                <w:sz w:val="20"/>
              </w:rPr>
              <w:t>Počet implementovaných nebo optimalizovaných zařízení je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Default="00955E1A" w:rsidP="007C53FF">
            <w:pPr>
              <w:jc w:val="center"/>
            </w:pPr>
            <w:r>
              <w:rPr>
                <w:bCs/>
                <w:sz w:val="20"/>
              </w:rPr>
              <w:t>3</w:t>
            </w:r>
            <w:r w:rsidRPr="0048347E">
              <w:rPr>
                <w:bCs/>
                <w:sz w:val="20"/>
              </w:rPr>
              <w:t xml:space="preserve"> body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tcBorders>
              <w:left w:val="single" w:sz="4" w:space="0" w:color="00000A"/>
              <w:right w:val="single" w:sz="4" w:space="0" w:color="auto"/>
            </w:tcBorders>
          </w:tcPr>
          <w:p w:rsidR="00811EE8" w:rsidRPr="00811EE8" w:rsidRDefault="00811EE8" w:rsidP="00DC31D9">
            <w:pPr>
              <w:pStyle w:val="Standard"/>
              <w:spacing w:after="0" w:line="240" w:lineRule="auto"/>
              <w:jc w:val="center"/>
              <w:rPr>
                <w:sz w:val="18"/>
              </w:rPr>
            </w:pPr>
          </w:p>
          <w:p w:rsidR="00811EE8" w:rsidRPr="00811EE8" w:rsidRDefault="00811EE8" w:rsidP="00DC31D9">
            <w:pPr>
              <w:pStyle w:val="Standard"/>
              <w:spacing w:after="0" w:line="240" w:lineRule="auto"/>
              <w:jc w:val="center"/>
              <w:rPr>
                <w:sz w:val="18"/>
              </w:rPr>
            </w:pPr>
            <w:r w:rsidRPr="00811EE8">
              <w:rPr>
                <w:sz w:val="18"/>
              </w:rPr>
              <w:t>Hodnoticí</w:t>
            </w:r>
          </w:p>
        </w:tc>
        <w:tc>
          <w:tcPr>
            <w:tcW w:w="2095" w:type="dxa"/>
            <w:gridSpan w:val="2"/>
            <w:tcBorders>
              <w:left w:val="single" w:sz="4" w:space="0" w:color="00000A"/>
              <w:right w:val="single" w:sz="4" w:space="0" w:color="auto"/>
            </w:tcBorders>
          </w:tcPr>
          <w:p w:rsidR="00811EE8" w:rsidRDefault="00811EE8" w:rsidP="00D87B3B">
            <w:pPr>
              <w:jc w:val="center"/>
              <w:rPr>
                <w:sz w:val="18"/>
              </w:rPr>
            </w:pPr>
          </w:p>
        </w:tc>
      </w:tr>
      <w:tr w:rsidR="00811EE8" w:rsidTr="007D6D34">
        <w:trPr>
          <w:gridAfter w:val="1"/>
          <w:wAfter w:w="56" w:type="dxa"/>
          <w:cantSplit/>
          <w:trHeight w:val="510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48347E" w:rsidRDefault="00811EE8" w:rsidP="0048347E">
            <w:pPr>
              <w:pStyle w:val="Standard"/>
              <w:spacing w:after="0" w:line="240" w:lineRule="auto"/>
            </w:pPr>
            <w:r w:rsidRPr="0048347E">
              <w:rPr>
                <w:bCs/>
                <w:sz w:val="20"/>
              </w:rPr>
              <w:t>Počet implementovaných nebo optimalizovaných zařízení je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Default="00955E1A" w:rsidP="007C53FF">
            <w:pPr>
              <w:jc w:val="center"/>
            </w:pPr>
            <w:r w:rsidRPr="0048347E">
              <w:rPr>
                <w:bCs/>
                <w:sz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11EE8" w:rsidRPr="00811EE8" w:rsidRDefault="00811EE8" w:rsidP="00DC31D9">
            <w:pPr>
              <w:pStyle w:val="Standard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11EE8" w:rsidRDefault="00811EE8"/>
        </w:tc>
      </w:tr>
      <w:tr w:rsidR="00811EE8" w:rsidTr="007D6D34">
        <w:trPr>
          <w:gridAfter w:val="1"/>
          <w:wAfter w:w="56" w:type="dxa"/>
          <w:cantSplit/>
          <w:trHeight w:val="70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1D04E1" w:rsidRDefault="00811EE8" w:rsidP="004A1ADA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 Plusové kritérium - Vytvořená parkovací místa pro jízdní kola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552F46" w:rsidRDefault="00811EE8" w:rsidP="007B07F6">
            <w:pPr>
              <w:pStyle w:val="Standard"/>
              <w:spacing w:after="0" w:line="240" w:lineRule="auto"/>
              <w:rPr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V</w:t>
            </w:r>
            <w:r w:rsidRPr="00552F46">
              <w:rPr>
                <w:sz w:val="20"/>
                <w:szCs w:val="20"/>
              </w:rPr>
              <w:t xml:space="preserve"> rámci </w:t>
            </w:r>
            <w:r>
              <w:rPr>
                <w:sz w:val="20"/>
                <w:szCs w:val="20"/>
              </w:rPr>
              <w:t>projektu realizace záchytného</w:t>
            </w:r>
            <w:r w:rsidRPr="00552F46">
              <w:rPr>
                <w:sz w:val="20"/>
                <w:szCs w:val="20"/>
              </w:rPr>
              <w:t xml:space="preserve"> parkoviš</w:t>
            </w:r>
            <w:r>
              <w:rPr>
                <w:sz w:val="20"/>
                <w:szCs w:val="20"/>
              </w:rPr>
              <w:t>tě P+</w:t>
            </w:r>
            <w:r w:rsidRPr="00552F46">
              <w:rPr>
                <w:sz w:val="20"/>
                <w:szCs w:val="20"/>
              </w:rPr>
              <w:t>R vzniknou</w:t>
            </w:r>
            <w:r>
              <w:rPr>
                <w:sz w:val="20"/>
                <w:szCs w:val="20"/>
              </w:rPr>
              <w:t xml:space="preserve"> </w:t>
            </w:r>
            <w:r w:rsidRPr="00552F46">
              <w:rPr>
                <w:sz w:val="20"/>
                <w:szCs w:val="20"/>
              </w:rPr>
              <w:t>parkovací místa pro jízdní 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EE8" w:rsidRPr="007B07F6" w:rsidRDefault="00955E1A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2F46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 w:rsidP="00BC013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07F6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B07F6">
              <w:rPr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961949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C6D42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811EE8" w:rsidRPr="00961949" w:rsidRDefault="00811EE8" w:rsidP="00961949">
            <w:pPr>
              <w:pStyle w:val="Standard"/>
              <w:spacing w:after="0" w:line="240" w:lineRule="auto"/>
              <w:rPr>
                <w:i/>
                <w:sz w:val="20"/>
              </w:rPr>
            </w:pPr>
            <w:r w:rsidRPr="00961949">
              <w:rPr>
                <w:i/>
                <w:sz w:val="20"/>
              </w:rPr>
              <w:t>Jedná se o zařízení určená k parkování (krátkodobému, střednědobému a dlouhodobému) - např. Bike &amp; Ride. Měrnou jednotkou jsou jednotlivá parkovací místa zajištěná např. formou stojanů.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811EE8" w:rsidRPr="00961949" w:rsidRDefault="00811EE8" w:rsidP="00961949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Default="00811EE8" w:rsidP="00961949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cantSplit/>
          <w:trHeight w:val="520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23603A" w:rsidRDefault="00811EE8" w:rsidP="00C17098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552F46" w:rsidRDefault="00811EE8" w:rsidP="00AA1975">
            <w:pPr>
              <w:pStyle w:val="Standard"/>
              <w:spacing w:after="0" w:line="240" w:lineRule="auto"/>
              <w:rPr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  <w:r w:rsidRPr="00552F46">
              <w:rPr>
                <w:sz w:val="20"/>
                <w:szCs w:val="20"/>
              </w:rPr>
              <w:t xml:space="preserve"> realizace </w:t>
            </w:r>
            <w:r>
              <w:rPr>
                <w:sz w:val="20"/>
                <w:szCs w:val="20"/>
              </w:rPr>
              <w:t>záchytného parkoviště</w:t>
            </w:r>
            <w:r w:rsidRPr="00552F46">
              <w:rPr>
                <w:sz w:val="20"/>
                <w:szCs w:val="20"/>
              </w:rPr>
              <w:t xml:space="preserve">  P+R </w:t>
            </w:r>
            <w:r>
              <w:rPr>
                <w:sz w:val="20"/>
                <w:szCs w:val="20"/>
              </w:rPr>
              <w:t>neřeší</w:t>
            </w:r>
            <w:r w:rsidRPr="00552F46">
              <w:rPr>
                <w:sz w:val="20"/>
                <w:szCs w:val="20"/>
              </w:rPr>
              <w:t xml:space="preserve"> parkovací místa pro jízdní kola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52F46"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11EE8" w:rsidRDefault="00811EE8" w:rsidP="0096194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11EE8" w:rsidRDefault="00811EE8" w:rsidP="0096194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cantSplit/>
          <w:trHeight w:val="36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7. Plusové  kritérium - Vytvořená</w:t>
            </w:r>
            <w:r w:rsidRPr="0023603A">
              <w:rPr>
                <w:bCs/>
                <w:sz w:val="20"/>
                <w:szCs w:val="20"/>
              </w:rPr>
              <w:t xml:space="preserve"> parkovací míst</w:t>
            </w:r>
            <w:r>
              <w:rPr>
                <w:bCs/>
                <w:sz w:val="20"/>
                <w:szCs w:val="20"/>
              </w:rPr>
              <w:t>a</w:t>
            </w:r>
            <w:r w:rsidRPr="0023603A">
              <w:rPr>
                <w:bCs/>
                <w:sz w:val="20"/>
                <w:szCs w:val="20"/>
              </w:rPr>
              <w:t xml:space="preserve"> vybaven</w:t>
            </w:r>
            <w:r>
              <w:rPr>
                <w:bCs/>
                <w:sz w:val="20"/>
                <w:szCs w:val="20"/>
              </w:rPr>
              <w:t>á</w:t>
            </w:r>
            <w:r w:rsidRPr="0023603A">
              <w:rPr>
                <w:bCs/>
                <w:sz w:val="20"/>
                <w:szCs w:val="20"/>
              </w:rPr>
              <w:t xml:space="preserve"> pro dobíjení elektromobilů</w:t>
            </w:r>
          </w:p>
          <w:p w:rsidR="00811EE8" w:rsidRPr="002C36F7" w:rsidRDefault="00811EE8">
            <w:pPr>
              <w:pStyle w:val="Standard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7B07F6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552F46">
              <w:rPr>
                <w:sz w:val="20"/>
                <w:szCs w:val="20"/>
              </w:rPr>
              <w:t xml:space="preserve"> rámci </w:t>
            </w:r>
            <w:r>
              <w:rPr>
                <w:sz w:val="20"/>
                <w:szCs w:val="20"/>
              </w:rPr>
              <w:t>projektu realizace záchytného</w:t>
            </w:r>
            <w:r w:rsidRPr="00552F46">
              <w:rPr>
                <w:sz w:val="20"/>
                <w:szCs w:val="20"/>
              </w:rPr>
              <w:t xml:space="preserve"> parkoviš</w:t>
            </w:r>
            <w:r>
              <w:rPr>
                <w:sz w:val="20"/>
                <w:szCs w:val="20"/>
              </w:rPr>
              <w:t>tě P+</w:t>
            </w:r>
            <w:r w:rsidRPr="00552F46">
              <w:rPr>
                <w:sz w:val="20"/>
                <w:szCs w:val="20"/>
              </w:rPr>
              <w:t>R vzniknou</w:t>
            </w:r>
            <w:r>
              <w:rPr>
                <w:sz w:val="20"/>
                <w:szCs w:val="20"/>
              </w:rPr>
              <w:t xml:space="preserve"> </w:t>
            </w:r>
            <w:r w:rsidRPr="00552F46">
              <w:rPr>
                <w:sz w:val="20"/>
                <w:szCs w:val="20"/>
              </w:rPr>
              <w:t xml:space="preserve">parkovací místa </w:t>
            </w:r>
            <w:r>
              <w:rPr>
                <w:sz w:val="20"/>
                <w:szCs w:val="20"/>
              </w:rPr>
              <w:t>vybavená pro dobíjení elektromobilů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B07F6" w:rsidRDefault="00955E1A" w:rsidP="00BC013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2F46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 w:rsidP="00BC013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07F6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 w:rsidRPr="007B07F6"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961949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C6D42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811EE8" w:rsidRDefault="00811EE8" w:rsidP="003C3012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7B07F6">
              <w:rPr>
                <w:bCs/>
                <w:i/>
                <w:iCs/>
                <w:sz w:val="20"/>
                <w:szCs w:val="20"/>
              </w:rPr>
              <w:t>Jedná se o nová parkovací místa vybavená pro dobíjení elektromobilů použitelná pro běžný unifikovaný typ zástrček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EE8" w:rsidRPr="00811EE8" w:rsidRDefault="00811EE8" w:rsidP="00DC31D9">
            <w:pPr>
              <w:pStyle w:val="Standard"/>
              <w:spacing w:after="0" w:line="240" w:lineRule="auto"/>
              <w:jc w:val="center"/>
              <w:rPr>
                <w:sz w:val="18"/>
              </w:rPr>
            </w:pPr>
            <w:r w:rsidRPr="00811EE8">
              <w:rPr>
                <w:sz w:val="18"/>
              </w:rPr>
              <w:t>Hodnoticí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Pr="00961949" w:rsidRDefault="00811EE8" w:rsidP="00961949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cantSplit/>
          <w:trHeight w:val="360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23603A" w:rsidRDefault="00811EE8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7B07F6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realizace záchytného parkoviště</w:t>
            </w:r>
            <w:r w:rsidRPr="00552F46">
              <w:rPr>
                <w:sz w:val="20"/>
                <w:szCs w:val="20"/>
              </w:rPr>
              <w:t xml:space="preserve">  P+R ne</w:t>
            </w:r>
            <w:r>
              <w:rPr>
                <w:sz w:val="20"/>
                <w:szCs w:val="20"/>
              </w:rPr>
              <w:t>řeší</w:t>
            </w:r>
            <w:r w:rsidRPr="00552F46">
              <w:rPr>
                <w:sz w:val="20"/>
                <w:szCs w:val="20"/>
              </w:rPr>
              <w:t xml:space="preserve"> parkovací místa </w:t>
            </w:r>
            <w:r>
              <w:rPr>
                <w:sz w:val="20"/>
                <w:szCs w:val="20"/>
              </w:rPr>
              <w:t>vybavená pro dobíjení elektromobilů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E561E" w:rsidRDefault="00955E1A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52F46"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cantSplit/>
          <w:trHeight w:val="1134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350B21" w:rsidRDefault="00811EE8">
            <w:pPr>
              <w:pStyle w:val="Standard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8. Plusové kritérium - </w:t>
            </w:r>
            <w:r w:rsidRPr="00C02DCF">
              <w:rPr>
                <w:bCs/>
                <w:sz w:val="20"/>
              </w:rPr>
              <w:t>Bezbariérový přístup</w:t>
            </w:r>
            <w:r>
              <w:rPr>
                <w:bCs/>
                <w:sz w:val="20"/>
              </w:rPr>
              <w:t xml:space="preserve"> nový (případně upravený) od parkoviště P+R k návazné drážní dopravě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3C3012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 rámci projektu realizace záchytných parkovišť P+R vznikne nový (případně upravený) bezbariérový přístup od parkoviště P+R k návazné drážní dopravě </w:t>
            </w:r>
          </w:p>
          <w:p w:rsidR="00811EE8" w:rsidRDefault="00811EE8" w:rsidP="003C3012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B07F6" w:rsidRDefault="00955E1A" w:rsidP="00BC013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body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7E561E" w:rsidRDefault="00811EE8" w:rsidP="00BC0139">
            <w:pPr>
              <w:pStyle w:val="Standard"/>
              <w:spacing w:after="0" w:line="240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7B07F6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B07F6">
              <w:rPr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194DA3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94DA3">
              <w:rPr>
                <w:b/>
                <w:bCs/>
                <w:i/>
                <w:iCs/>
                <w:sz w:val="20"/>
                <w:szCs w:val="20"/>
              </w:rPr>
              <w:t>Žádost o podporu</w:t>
            </w:r>
            <w:r>
              <w:rPr>
                <w:b/>
                <w:bCs/>
                <w:i/>
                <w:iCs/>
                <w:sz w:val="20"/>
                <w:szCs w:val="20"/>
              </w:rPr>
              <w:t>, studie proveditelnosti</w:t>
            </w:r>
          </w:p>
          <w:p w:rsidR="00811EE8" w:rsidRDefault="00811EE8" w:rsidP="0028393E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Jedná se o nový (případně upravený) pěší přístup od realizovaného parkoviště P+R k návazné drážní </w:t>
            </w:r>
            <w:r w:rsidRPr="0028393E">
              <w:rPr>
                <w:bCs/>
                <w:i/>
                <w:iCs/>
                <w:sz w:val="20"/>
                <w:szCs w:val="20"/>
              </w:rPr>
              <w:t>dopravě (tj. ke vstupu do stanice metra, ke vstupu do železniční stanice, k železniční nebo tramvajové zastávce)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811EE8" w:rsidRDefault="00811EE8" w:rsidP="007B07F6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811EE8" w:rsidRPr="00811EE8" w:rsidRDefault="00811EE8" w:rsidP="00DC31D9">
            <w:pPr>
              <w:pStyle w:val="Standard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cantSplit/>
          <w:trHeight w:val="1134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C02DCF" w:rsidRDefault="00811EE8">
            <w:pPr>
              <w:pStyle w:val="Standard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B177BA">
            <w:pPr>
              <w:pStyle w:val="Standard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 realizace záchytných parkovišť P+R neřeší bezbariérový přístup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AA1975" w:rsidRDefault="00955E1A">
            <w:pPr>
              <w:pStyle w:val="Standard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AA1975" w:rsidRDefault="00811EE8">
            <w:pPr>
              <w:pStyle w:val="Standard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1EE8" w:rsidRDefault="00811EE8" w:rsidP="00DC31D9">
            <w:pPr>
              <w:pStyle w:val="Standard"/>
              <w:spacing w:after="0" w:line="240" w:lineRule="auto"/>
              <w:jc w:val="center"/>
              <w:rPr>
                <w:sz w:val="18"/>
              </w:rPr>
            </w:pPr>
          </w:p>
          <w:p w:rsidR="00811EE8" w:rsidRPr="00811EE8" w:rsidRDefault="00811EE8" w:rsidP="00DC31D9">
            <w:pPr>
              <w:pStyle w:val="Standard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11EE8">
              <w:rPr>
                <w:sz w:val="18"/>
              </w:rPr>
              <w:t>Hodnoticí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1EE8" w:rsidRPr="00961949" w:rsidRDefault="00811EE8" w:rsidP="00B05911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E0FE2" w:rsidTr="007D6D34">
        <w:trPr>
          <w:gridAfter w:val="1"/>
          <w:wAfter w:w="56" w:type="dxa"/>
          <w:cantSplit/>
          <w:trHeight w:val="344"/>
          <w:jc w:val="center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E0FE2" w:rsidRDefault="002E0FE2" w:rsidP="00350B21">
            <w:pPr>
              <w:pStyle w:val="Standard"/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EFEKTIVNOST</w:t>
            </w:r>
            <w:r w:rsidRPr="008D0A84">
              <w:rPr>
                <w:b/>
                <w:bCs/>
                <w:szCs w:val="20"/>
              </w:rPr>
              <w:t xml:space="preserve">  </w:t>
            </w:r>
          </w:p>
        </w:tc>
      </w:tr>
      <w:tr w:rsidR="00811EE8" w:rsidTr="007D6D34">
        <w:trPr>
          <w:gridAfter w:val="1"/>
          <w:wAfter w:w="56" w:type="dxa"/>
          <w:cantSplit/>
          <w:trHeight w:val="788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jc w:val="center"/>
            </w:pPr>
          </w:p>
          <w:p w:rsidR="00811EE8" w:rsidRDefault="00811EE8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>
              <w:rPr>
                <w:sz w:val="20"/>
                <w:szCs w:val="20"/>
              </w:rPr>
              <w:t>Rozpočet projektu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B0591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  <w:p w:rsidR="00811EE8" w:rsidRPr="00B05911" w:rsidRDefault="00811EE8" w:rsidP="00B0591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Rozpočet projektu obsahuje jasný a podrobný přehled všech výdajů projektu. Položky rozpočtu jsou odůvodněné v podrobném komentáři. Výdaje projektu jsou nezbytné pro jeho realizaci 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odpovídají jednotlivým aktivitám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projektu. Žadatel identifikuje způsobilé i nezpůsobilé výdaje.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1EE8" w:rsidRDefault="00955E1A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body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</w:p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:rsidR="00811EE8" w:rsidRDefault="00811EE8">
            <w:pPr>
              <w:pStyle w:val="Standard"/>
              <w:spacing w:after="0" w:line="240" w:lineRule="auto"/>
              <w:jc w:val="center"/>
            </w:pPr>
            <w:r w:rsidRPr="003A2878">
              <w:rPr>
                <w:b/>
                <w:bCs/>
                <w:sz w:val="20"/>
              </w:rPr>
              <w:t>Max. 4 body</w:t>
            </w:r>
          </w:p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Rozpočet + zdůvodnění položek rozpočtu v příslušné kapitole SP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 xml:space="preserve"> Žadatel vyplní rozpočet dle struktury rozpočtu v žádosti/položkového rozpočtu, ke každé položce rozpočtu bude náležet příslušný komentář v příslušné kapitole studie proveditelnosti.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EE8" w:rsidRDefault="00811EE8" w:rsidP="00DC31D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D1A5C">
              <w:rPr>
                <w:b/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  <w:p w:rsidR="00811EE8" w:rsidRPr="009D1A5C" w:rsidRDefault="00811EE8" w:rsidP="00B05911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cantSplit/>
          <w:trHeight w:val="462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B0591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  <w:p w:rsidR="00811EE8" w:rsidRPr="00B05911" w:rsidRDefault="00811EE8" w:rsidP="00B0591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Rozpočet projektu obsahuje jasný a podrobný přehled všech výdajů projektu. Náklady jsou účelné. Položky rozpočtu však nejsou odůvodněné v podrobném komentáři nebo výdaje projektu neodpovídají jeho aktivitám nebo žadatel neidentifikoval způsobilé a nezpůsobilé výdaje.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1EE8" w:rsidRDefault="00955E1A" w:rsidP="007C53FF">
            <w:pPr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</w:tr>
      <w:tr w:rsidR="00811EE8" w:rsidTr="007D6D34">
        <w:trPr>
          <w:gridAfter w:val="1"/>
          <w:wAfter w:w="56" w:type="dxa"/>
          <w:cantSplit/>
          <w:trHeight w:val="1221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B0591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Rozpočet projektu neobsahuje jasný a podrobný přehled všech výdajů projektu. 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Účelnost nákladů není zřejmá. Rozpočet postrádá podrobný komentář a vysvětlení. Nejsou identifikovány způsobilé a nezpůsobilé výdaje</w:t>
            </w:r>
          </w:p>
          <w:p w:rsidR="00811EE8" w:rsidRPr="00B05911" w:rsidRDefault="00811EE8" w:rsidP="00B0591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811EE8" w:rsidRDefault="000614D2" w:rsidP="007C53FF">
            <w:pPr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E8" w:rsidRDefault="00811EE8"/>
        </w:tc>
      </w:tr>
      <w:tr w:rsidR="00811EE8" w:rsidTr="007D6D34">
        <w:trPr>
          <w:gridAfter w:val="1"/>
          <w:wAfter w:w="56" w:type="dxa"/>
          <w:cantSplit/>
          <w:trHeight w:val="1524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B05911" w:rsidRDefault="00811EE8">
            <w:pPr>
              <w:pStyle w:val="Standard"/>
              <w:spacing w:after="0" w:line="240" w:lineRule="auto"/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 10. Efektivnost projektu</w:t>
            </w:r>
          </w:p>
          <w:p w:rsidR="00811EE8" w:rsidRDefault="00811EE8" w:rsidP="00C103B6">
            <w:pPr>
              <w:pStyle w:val="Standard"/>
              <w:spacing w:after="0" w:line="240" w:lineRule="auto"/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6236E3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  <w:p w:rsidR="006236E3" w:rsidRPr="006236E3" w:rsidRDefault="006236E3" w:rsidP="006236E3">
            <w:pPr>
              <w:widowControl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236E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vyplývá efektivní vynaložení prostředků s ohledem na přínosy realizace projektu (tj. posouzení efektivity výdajů v poměru k velikosti projektu a projektovým aktivitám). Kalkulace příjmů a výdajů projektu v realizační a provozní fázi projektu jsou metodicky správně zpracovány, u použitých dat je doložena jejich průkaznost. Přínosy investice jsou dostatečně okomentovány/ohodnoceny a odpovídají charakteru a velikosti projektu. Projekt je z finančního a ekonomického hlediska přijatelný.</w:t>
            </w:r>
          </w:p>
          <w:p w:rsidR="006236E3" w:rsidRPr="0070522E" w:rsidRDefault="006236E3" w:rsidP="00857BF3">
            <w:pPr>
              <w:pStyle w:val="Standard"/>
              <w:spacing w:after="0" w:line="240" w:lineRule="auto"/>
              <w:rPr>
                <w:highlight w:val="cyan"/>
              </w:rPr>
            </w:pPr>
            <w:r w:rsidRPr="006236E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U projektů se zpracovanou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analýzou</w:t>
            </w:r>
            <w:r w:rsidRPr="006236E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(hodnocení návratnosti investic pro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Pr="006236E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ukazatel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ekonomická</w:t>
            </w:r>
            <w:r w:rsidRPr="006236E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čistá současná hodnota vyšší než nula), všechny použité vstupy jsou dostatečně zdůvodněny a jeví se jako reálné.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Default="006236E3" w:rsidP="007C53FF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  <w:r w:rsidR="00955E1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bodů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Default="00811EE8" w:rsidP="00960D74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  <w:p w:rsidR="00811EE8" w:rsidRPr="00175497" w:rsidRDefault="00811EE8" w:rsidP="006236E3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CF1522">
              <w:rPr>
                <w:b/>
                <w:sz w:val="20"/>
              </w:rPr>
              <w:t xml:space="preserve">Max. </w:t>
            </w:r>
            <w:r w:rsidR="006236E3">
              <w:rPr>
                <w:b/>
                <w:sz w:val="20"/>
              </w:rPr>
              <w:t>9</w:t>
            </w:r>
            <w:r w:rsidR="006236E3" w:rsidRPr="00CF1522">
              <w:rPr>
                <w:b/>
                <w:sz w:val="20"/>
              </w:rPr>
              <w:t xml:space="preserve"> </w:t>
            </w:r>
            <w:r w:rsidRPr="00CF1522">
              <w:rPr>
                <w:b/>
                <w:sz w:val="20"/>
              </w:rPr>
              <w:t>bodů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Pr="00AB45BA" w:rsidRDefault="00811EE8">
            <w:pPr>
              <w:pStyle w:val="Standard"/>
              <w:spacing w:after="0" w:line="240" w:lineRule="auto"/>
            </w:pPr>
            <w:r w:rsidRPr="00AB45BA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CBA</w:t>
            </w:r>
            <w:r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, resp. studie proveditelnosti, žádost o podporu</w:t>
            </w:r>
          </w:p>
          <w:p w:rsidR="00811EE8" w:rsidRPr="00AB45BA" w:rsidRDefault="00811EE8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45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Žadatel prokáže finanční a ekonomickou bonitu projektu. K tomu použije hodnotící ukazatele, které napomohou k zobrazení celkové rentability projektu. Cílem je dokázat efektivnost projektu z finančního a ekonomického hlediska. </w:t>
            </w:r>
          </w:p>
          <w:p w:rsidR="00811EE8" w:rsidRDefault="00811EE8" w:rsidP="00AB45BA">
            <w:pPr>
              <w:pStyle w:val="Standard"/>
              <w:spacing w:after="0" w:line="240" w:lineRule="auto"/>
            </w:pPr>
            <w:r w:rsidRPr="00AB45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rovněž prokáže efektivnost cílových hodnot zvolených indikátorů ve vazbě na finanční náklady projektu.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811EE8" w:rsidRPr="00584342" w:rsidDel="00A63288" w:rsidRDefault="00811EE8">
            <w:pPr>
              <w:pStyle w:val="Standard"/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  <w:p w:rsidR="00811EE8" w:rsidRPr="00584342" w:rsidDel="00A63288" w:rsidRDefault="00811EE8">
            <w:pPr>
              <w:pStyle w:val="Standard"/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</w:tr>
      <w:tr w:rsidR="00440A73" w:rsidTr="00DC31D9">
        <w:trPr>
          <w:gridAfter w:val="1"/>
          <w:wAfter w:w="56" w:type="dxa"/>
          <w:cantSplit/>
          <w:trHeight w:val="1134"/>
          <w:jc w:val="center"/>
        </w:trPr>
        <w:tc>
          <w:tcPr>
            <w:tcW w:w="212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F35026" w:rsidRDefault="00811EE8" w:rsidP="00C103B6">
            <w:pPr>
              <w:pStyle w:val="Standard"/>
              <w:spacing w:after="0" w:line="240" w:lineRule="auto"/>
              <w:rPr>
                <w:highlight w:val="cyan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6236E3">
            <w:pPr>
              <w:pStyle w:val="Standard"/>
              <w:spacing w:after="0" w:line="240" w:lineRule="auto"/>
              <w:rPr>
                <w:sz w:val="20"/>
              </w:rPr>
            </w:pPr>
          </w:p>
          <w:p w:rsidR="006236E3" w:rsidRPr="00A02D39" w:rsidRDefault="006236E3" w:rsidP="006236E3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vyplývá efektivní vynaložení prostředků s ohledem na přínosy realizace projektu (tj. posouzení efektivity výdajů v poměru k velikosti projektu a projektovým aktivitám). Kalkulace příjmů a výdajů projektu v realizační a provozní fázi projektu jsou metodicky správně zpracovány, u použitých dat je částečně doložena jejich průkaznost. Žadatel zohlednil klíčové faktory vstupující do finanční analýzy a socioekonomické analýzy, dostatečně okomentoval vstupní hodnoty/výsledky finanční a příp. ekonomické analýzy a zároveň tyto hodnoty nejsou nadhodnocené, a odpovídají charakteru a velikosti projektu.</w:t>
            </w:r>
          </w:p>
          <w:p w:rsidR="006236E3" w:rsidRPr="00071E19" w:rsidRDefault="006236E3" w:rsidP="006236E3">
            <w:pPr>
              <w:pStyle w:val="Standard"/>
              <w:spacing w:after="0" w:line="240" w:lineRule="auto"/>
              <w:rPr>
                <w:sz w:val="20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U projektů se zpracovanou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analýzou</w:t>
            </w:r>
            <w:r w:rsidR="00857BF3"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jsou doloženy kladné výsledky (hodnocení návratnosti investic pro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, ukazatel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ekonomická</w:t>
            </w:r>
            <w:r w:rsidR="00857BF3" w:rsidRPr="006236E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čistá současná hodnota vyšší než nula), zdůvodnění vstupů ale není úplné a jednoznačně průkazné.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F35026" w:rsidRDefault="006236E3" w:rsidP="007C53FF">
            <w:pPr>
              <w:pStyle w:val="Standard"/>
              <w:spacing w:after="0" w:line="240" w:lineRule="auto"/>
              <w:jc w:val="center"/>
              <w:rPr>
                <w:highlight w:val="cyan"/>
              </w:rPr>
            </w:pPr>
            <w:r>
              <w:rPr>
                <w:sz w:val="20"/>
              </w:rPr>
              <w:t>6</w:t>
            </w:r>
            <w:r w:rsidR="00955E1A">
              <w:rPr>
                <w:sz w:val="20"/>
              </w:rPr>
              <w:t xml:space="preserve">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EE8" w:rsidRPr="00F35026" w:rsidRDefault="00811EE8" w:rsidP="00C119DD">
            <w:pPr>
              <w:pStyle w:val="Standard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tcBorders>
              <w:left w:val="single" w:sz="4" w:space="0" w:color="auto"/>
              <w:right w:val="single" w:sz="4" w:space="0" w:color="00000A"/>
            </w:tcBorders>
          </w:tcPr>
          <w:p w:rsidR="00955E1A" w:rsidRDefault="00955E1A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811EE8" w:rsidRPr="00343ACD" w:rsidRDefault="00811EE8" w:rsidP="00DC31D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955E1A">
              <w:rPr>
                <w:b/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:rsidR="00811EE8" w:rsidRPr="00343ACD" w:rsidRDefault="00811EE8" w:rsidP="00175497">
            <w:pPr>
              <w:jc w:val="center"/>
              <w:rPr>
                <w:b/>
                <w:sz w:val="18"/>
              </w:rPr>
            </w:pPr>
          </w:p>
        </w:tc>
      </w:tr>
      <w:tr w:rsidR="006236E3" w:rsidTr="00D81E09">
        <w:trPr>
          <w:gridAfter w:val="1"/>
          <w:wAfter w:w="56" w:type="dxa"/>
          <w:cantSplit/>
          <w:trHeight w:val="1221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E3" w:rsidRPr="00ED2E13" w:rsidRDefault="006236E3">
            <w:pPr>
              <w:pStyle w:val="Standard"/>
              <w:spacing w:after="0" w:line="240" w:lineRule="auto"/>
              <w:rPr>
                <w:highlight w:val="yellow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6E3" w:rsidRPr="00A02D39" w:rsidRDefault="006236E3" w:rsidP="006236E3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nevyplývá efektivní vynaložení prostředků s ohledem na přínosy realizace projektu. Žadatel nedostatečně okomentoval vstupní hodnoty/výsledky finanční a příp. ekonomické analýzy (či nezohlednil některé faktory vstupující do finanční nebo socioekonomické analýzy) nebo vstupní hodnoty pro hodnocení efektivnosti jsou nadhodnocené nebo podhodnocené. Efektivnost výdajů v poměru k velikosti projektu, socioekonomickým přínosům projektu a cílovým hodnotám zvolených indikátorů je přesto ještě přijatelná.</w:t>
            </w:r>
          </w:p>
          <w:p w:rsidR="006236E3" w:rsidRPr="00071E19" w:rsidDel="00955E1A" w:rsidRDefault="006236E3" w:rsidP="006236E3">
            <w:pPr>
              <w:pStyle w:val="Standard"/>
              <w:spacing w:after="0" w:line="240" w:lineRule="auto"/>
              <w:rPr>
                <w:sz w:val="20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U projektů se zpracovanou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analýzou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(hodnocení návratnosti investic pro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, ukazatel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ekonomická</w:t>
            </w:r>
            <w:r w:rsidR="00857BF3" w:rsidRPr="006236E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čistá současná hodnota vyšší než nula), použité vstupy jsou nadhodnoceny nebo podhodnoceny, případně nejsou řádně zdůvodněny.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6236E3" w:rsidRPr="00071E19" w:rsidRDefault="006236E3" w:rsidP="007C53FF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 body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E3" w:rsidRPr="0070522E" w:rsidRDefault="006236E3">
            <w:pPr>
              <w:pStyle w:val="Standard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6E3" w:rsidRDefault="006236E3"/>
        </w:tc>
        <w:tc>
          <w:tcPr>
            <w:tcW w:w="1390" w:type="dxa"/>
            <w:tcBorders>
              <w:left w:val="single" w:sz="4" w:space="0" w:color="auto"/>
              <w:right w:val="single" w:sz="4" w:space="0" w:color="00000A"/>
            </w:tcBorders>
          </w:tcPr>
          <w:p w:rsidR="006236E3" w:rsidRPr="00343ACD" w:rsidRDefault="006236E3">
            <w:pPr>
              <w:rPr>
                <w:b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:rsidR="006236E3" w:rsidRPr="00343ACD" w:rsidRDefault="006236E3">
            <w:pPr>
              <w:rPr>
                <w:b/>
              </w:rPr>
            </w:pPr>
          </w:p>
        </w:tc>
      </w:tr>
      <w:tr w:rsidR="00811EE8" w:rsidTr="00D81E09">
        <w:trPr>
          <w:gridAfter w:val="1"/>
          <w:wAfter w:w="56" w:type="dxa"/>
          <w:cantSplit/>
          <w:trHeight w:val="1221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ED2E13" w:rsidRDefault="00811EE8">
            <w:pPr>
              <w:pStyle w:val="Standard"/>
              <w:spacing w:after="0" w:line="240" w:lineRule="auto"/>
              <w:rPr>
                <w:highlight w:val="yellow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6236E3">
            <w:pPr>
              <w:pStyle w:val="Standard"/>
              <w:spacing w:after="0" w:line="240" w:lineRule="auto"/>
              <w:rPr>
                <w:sz w:val="20"/>
              </w:rPr>
            </w:pPr>
          </w:p>
          <w:p w:rsidR="006236E3" w:rsidRPr="00071E19" w:rsidRDefault="006236E3" w:rsidP="006236E3">
            <w:pPr>
              <w:pStyle w:val="Standard"/>
              <w:spacing w:after="0" w:line="240" w:lineRule="auto"/>
              <w:rPr>
                <w:sz w:val="20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Projekt neprokazuje efektivní vynaložení prostředků.  Kvalita vstupních dat pro posouzení efektivnosti projektu není dostatečná a/či přínosy realizace projektu nebyly prokázány. Žadatel neokomentoval vstupní hodnoty/výsledky finanční a příp. ekonomické analýzy. U projektů se zpracovanou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analýzou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záporné výsledky (hodnocení návratnosti investic pro 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ukazatel</w:t>
            </w:r>
            <w:r w:rsidR="00857B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ekonomická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čistá současná hodnota projektu je záporný) nebo vstupy do ekonomického hodnocení žádosti jsou nedostatečně zdůvodněny a jeví se jako nereálné (významně nadhodnocené nebo podhodnocené), případně ekonomické hodnocení je metodicky chybně zpracováno.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0522E" w:rsidRDefault="00955E1A" w:rsidP="007C53FF">
            <w:pPr>
              <w:pStyle w:val="Standard"/>
              <w:spacing w:after="0" w:line="240" w:lineRule="auto"/>
              <w:jc w:val="center"/>
              <w:rPr>
                <w:highlight w:val="cyan"/>
              </w:rPr>
            </w:pPr>
            <w:r w:rsidRPr="00071E19">
              <w:rPr>
                <w:sz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E8" w:rsidRPr="0070522E" w:rsidRDefault="00811EE8">
            <w:pPr>
              <w:pStyle w:val="Standard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tcBorders>
              <w:left w:val="single" w:sz="4" w:space="0" w:color="auto"/>
              <w:right w:val="single" w:sz="4" w:space="0" w:color="00000A"/>
            </w:tcBorders>
          </w:tcPr>
          <w:p w:rsidR="00811EE8" w:rsidRPr="00343ACD" w:rsidRDefault="00811EE8">
            <w:pPr>
              <w:rPr>
                <w:b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:rsidR="00811EE8" w:rsidRPr="00343ACD" w:rsidRDefault="00811EE8">
            <w:pPr>
              <w:rPr>
                <w:b/>
              </w:rPr>
            </w:pPr>
          </w:p>
        </w:tc>
      </w:tr>
      <w:tr w:rsidR="002E0FE2" w:rsidTr="00D81E09">
        <w:trPr>
          <w:gridAfter w:val="1"/>
          <w:wAfter w:w="56" w:type="dxa"/>
          <w:trHeight w:val="424"/>
          <w:jc w:val="center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E0FE2" w:rsidRDefault="002E0FE2" w:rsidP="00350B21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  <w:tr w:rsidR="00440A73" w:rsidTr="00D81E09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551"/>
          <w:jc w:val="center"/>
        </w:trPr>
        <w:tc>
          <w:tcPr>
            <w:tcW w:w="21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6E3" w:rsidDel="00392D80" w:rsidRDefault="00DE0E98" w:rsidP="00616B0B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11</w:t>
            </w:r>
            <w:r w:rsidR="006236E3">
              <w:rPr>
                <w:rFonts w:cs="Arial"/>
                <w:color w:val="000000"/>
                <w:sz w:val="20"/>
                <w:szCs w:val="20"/>
              </w:rPr>
              <w:t xml:space="preserve">. Ověření potřeby </w:t>
            </w:r>
            <w:r w:rsidR="006236E3" w:rsidRPr="008628BA">
              <w:rPr>
                <w:rFonts w:cs="Arial"/>
                <w:color w:val="000000"/>
                <w:sz w:val="20"/>
                <w:szCs w:val="20"/>
              </w:rPr>
              <w:t>financování</w:t>
            </w:r>
            <w:r w:rsidR="006236E3">
              <w:rPr>
                <w:rFonts w:cs="Arial"/>
                <w:color w:val="000000"/>
                <w:sz w:val="20"/>
                <w:szCs w:val="20"/>
              </w:rPr>
              <w:t xml:space="preserve"> z veřejných zdrojů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6E3" w:rsidRDefault="006236E3" w:rsidP="004A57BD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Byla ověřena potřeba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 projektu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předpokládaný zisk z projektu neumožňuje návratnost vložených prostředků. V případě řádně zpracované finanční analýzy lze prokázat zápornou hodnotou ukazatele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14AB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finanční čistá současná hodnota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>
              <w:t xml:space="preserve">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E3" w:rsidRDefault="006236E3" w:rsidP="004A57BD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6E3" w:rsidRDefault="006236E3" w:rsidP="004A5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Max. 1 bod</w:t>
            </w:r>
          </w:p>
        </w:tc>
        <w:tc>
          <w:tcPr>
            <w:tcW w:w="3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E3" w:rsidRPr="008628BA" w:rsidRDefault="006236E3" w:rsidP="004A57BD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628BA">
              <w:rPr>
                <w:b/>
                <w:bCs/>
                <w:i/>
                <w:iCs/>
                <w:sz w:val="20"/>
                <w:szCs w:val="20"/>
              </w:rPr>
              <w:t xml:space="preserve">CBA, studie proveditelnosti, žádost </w:t>
            </w:r>
            <w:r>
              <w:rPr>
                <w:b/>
                <w:bCs/>
                <w:i/>
                <w:iCs/>
                <w:sz w:val="20"/>
                <w:szCs w:val="20"/>
              </w:rPr>
              <w:t>o podporu</w:t>
            </w:r>
          </w:p>
          <w:p w:rsidR="006236E3" w:rsidRDefault="006236E3" w:rsidP="004A57BD">
            <w:r w:rsidRPr="008628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 zpracované finanční analýzy je ověřována relevance a přiměřenost vstupů vzhledem k charakteru a rozsahu projektu a odpovídající hodnoty výsledků (neziskový charakter </w:t>
            </w:r>
            <w:r w:rsidRPr="007D2CF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projektu). U projektů se způsobilými výdaji do 5 mil. Kč, které nemají zpracovanou finanční analýzu, je ověřována potřeba spolufinancování na základě posouzení rozpočtu</w:t>
            </w:r>
            <w:r w:rsidRPr="008628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projektu a předpokládaných výdajů a příjmů v provozní fázi projektu (v průběhu referenčního období).</w:t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:rsidR="006236E3" w:rsidRPr="00090C29" w:rsidRDefault="006236E3" w:rsidP="00DC31D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8628BA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212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6E3" w:rsidRDefault="006236E3" w:rsidP="004A57BD">
            <w:pPr>
              <w:rPr>
                <w:bCs/>
                <w:i/>
                <w:iCs/>
                <w:sz w:val="20"/>
                <w:szCs w:val="20"/>
              </w:rPr>
            </w:pPr>
            <w:r w:rsidRPr="006F7BAB">
              <w:rPr>
                <w:bCs/>
                <w:i/>
                <w:iCs/>
                <w:sz w:val="20"/>
                <w:szCs w:val="20"/>
              </w:rPr>
              <w:t>Hodno</w:t>
            </w:r>
            <w:r>
              <w:rPr>
                <w:bCs/>
                <w:i/>
                <w:iCs/>
                <w:sz w:val="20"/>
                <w:szCs w:val="20"/>
              </w:rPr>
              <w:t xml:space="preserve">titel specifických požadavků </w:t>
            </w:r>
            <w:r w:rsidRPr="006F7BAB">
              <w:rPr>
                <w:bCs/>
                <w:i/>
                <w:iCs/>
                <w:sz w:val="20"/>
                <w:szCs w:val="20"/>
              </w:rPr>
              <w:t>B</w:t>
            </w:r>
          </w:p>
        </w:tc>
      </w:tr>
      <w:tr w:rsidR="00440A73" w:rsidTr="00D81E09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551"/>
          <w:jc w:val="center"/>
        </w:trPr>
        <w:tc>
          <w:tcPr>
            <w:tcW w:w="21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E3" w:rsidDel="00392D80" w:rsidRDefault="006236E3" w:rsidP="004A57BD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6E3" w:rsidRDefault="006236E3" w:rsidP="004A57BD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Prostředky vložené do projektu jsou v průběhu referenč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ního období návratné i bez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 projektu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zdrojů. Projekt nepotřebuje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>
              <w:t xml:space="preserve">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E3" w:rsidRDefault="006236E3" w:rsidP="004A57BD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E3" w:rsidRDefault="006236E3" w:rsidP="004A5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E3" w:rsidRDefault="006236E3" w:rsidP="004A57BD"/>
        </w:tc>
        <w:tc>
          <w:tcPr>
            <w:tcW w:w="1418" w:type="dxa"/>
            <w:gridSpan w:val="2"/>
            <w:vMerge/>
            <w:textDirection w:val="btLr"/>
            <w:vAlign w:val="center"/>
          </w:tcPr>
          <w:p w:rsidR="006236E3" w:rsidRPr="00090C29" w:rsidRDefault="006236E3" w:rsidP="00DC31D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6E3" w:rsidRDefault="006236E3" w:rsidP="004A57BD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E0FE2" w:rsidTr="00D81E09">
        <w:trPr>
          <w:gridAfter w:val="1"/>
          <w:wAfter w:w="56" w:type="dxa"/>
          <w:trHeight w:val="424"/>
          <w:jc w:val="center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E0FE2" w:rsidRDefault="002E0FE2" w:rsidP="00350B21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HOSPODÁRNOST</w:t>
            </w:r>
            <w:r w:rsidRPr="009A42A1">
              <w:t xml:space="preserve"> </w:t>
            </w:r>
          </w:p>
        </w:tc>
      </w:tr>
      <w:tr w:rsidR="00440A73" w:rsidTr="00DC31D9">
        <w:trPr>
          <w:gridAfter w:val="1"/>
          <w:wAfter w:w="56" w:type="dxa"/>
          <w:trHeight w:val="375"/>
          <w:jc w:val="center"/>
        </w:trPr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955E1A" w:rsidP="00955E1A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12</w:t>
            </w:r>
            <w:r w:rsidR="00811EE8">
              <w:rPr>
                <w:sz w:val="20"/>
                <w:szCs w:val="20"/>
              </w:rPr>
              <w:t>. Hospodárnost výdajů projektu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7D19D7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Výdaje v rozpočtu projektu odpovídají cenám obvyklým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C53FF" w:rsidRDefault="00955E1A" w:rsidP="009A42A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bodů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3F1ECE" w:rsidRDefault="00811EE8" w:rsidP="009A42A1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3F1ECE">
              <w:rPr>
                <w:b/>
                <w:sz w:val="20"/>
              </w:rPr>
              <w:t>Max.</w:t>
            </w:r>
          </w:p>
          <w:p w:rsidR="00811EE8" w:rsidRPr="00CC5F6C" w:rsidRDefault="00811EE8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CC5F6C">
              <w:rPr>
                <w:b/>
                <w:sz w:val="20"/>
              </w:rPr>
              <w:t>5 bodů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Rozpočet projektu</w:t>
            </w:r>
          </w:p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45112D">
              <w:rPr>
                <w:bCs/>
                <w:i/>
                <w:iCs/>
                <w:sz w:val="20"/>
                <w:szCs w:val="20"/>
              </w:rPr>
              <w:t>Každá položka rozpočtu je hodnocena z pohledu její přiměřenosti k cenám na trhu, tj. zda odpovídá cenám obvyklým.</w:t>
            </w:r>
          </w:p>
          <w:p w:rsidR="00811EE8" w:rsidRDefault="00811EE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  <w:p w:rsidR="00811EE8" w:rsidRPr="0045112D" w:rsidRDefault="00811EE8" w:rsidP="00385C7D">
            <w:pPr>
              <w:pStyle w:val="Standard"/>
              <w:spacing w:after="0" w:line="240" w:lineRule="auto"/>
            </w:pPr>
            <w:r w:rsidRPr="008F2BAC">
              <w:rPr>
                <w:i/>
                <w:sz w:val="20"/>
                <w:szCs w:val="20"/>
              </w:rPr>
              <w:t>Pozn. ŘO</w:t>
            </w:r>
            <w:r>
              <w:rPr>
                <w:i/>
                <w:sz w:val="20"/>
                <w:szCs w:val="20"/>
              </w:rPr>
              <w:t xml:space="preserve"> OP PPR</w:t>
            </w:r>
            <w:r w:rsidRPr="008F2BAC">
              <w:rPr>
                <w:i/>
                <w:sz w:val="20"/>
                <w:szCs w:val="20"/>
              </w:rPr>
              <w:t>: V případě pochybností o způsobilosti výdajů</w:t>
            </w:r>
            <w:r>
              <w:rPr>
                <w:i/>
                <w:sz w:val="20"/>
                <w:szCs w:val="20"/>
              </w:rPr>
              <w:t>, potřeby ověření jejich přiměřenosti</w:t>
            </w:r>
            <w:r w:rsidRPr="008F2BAC">
              <w:rPr>
                <w:i/>
                <w:sz w:val="20"/>
                <w:szCs w:val="20"/>
              </w:rPr>
              <w:t xml:space="preserve"> nebo v případě, kdy jsou doporučení hodnotitelů vzájemně v rozporu, si může finanční manažer vyžádat posudek nezávislého externího odborníka. V případě, kdy je hodnotiteli udělen počet bodů 0, je posudek nezávislého </w:t>
            </w:r>
            <w:r>
              <w:rPr>
                <w:i/>
                <w:sz w:val="20"/>
                <w:szCs w:val="20"/>
              </w:rPr>
              <w:t xml:space="preserve">externího </w:t>
            </w:r>
            <w:r w:rsidRPr="008F2BAC">
              <w:rPr>
                <w:i/>
                <w:sz w:val="20"/>
                <w:szCs w:val="20"/>
              </w:rPr>
              <w:t>odborníka povinností.</w:t>
            </w:r>
          </w:p>
        </w:tc>
        <w:tc>
          <w:tcPr>
            <w:tcW w:w="13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1EE8" w:rsidRPr="00194DA3" w:rsidRDefault="00811EE8" w:rsidP="00DC31D9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194DA3">
              <w:rPr>
                <w:bCs/>
                <w:iCs/>
                <w:sz w:val="18"/>
                <w:szCs w:val="20"/>
              </w:rPr>
              <w:t>H</w:t>
            </w:r>
            <w:r w:rsidRPr="00955E1A">
              <w:rPr>
                <w:bCs/>
                <w:iCs/>
                <w:sz w:val="20"/>
                <w:szCs w:val="20"/>
              </w:rPr>
              <w:t>odnoticí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  <w:p w:rsidR="00811EE8" w:rsidRPr="00194DA3" w:rsidRDefault="00811EE8" w:rsidP="003F1ECE">
            <w:pPr>
              <w:pStyle w:val="Standard"/>
              <w:spacing w:after="0" w:line="240" w:lineRule="auto"/>
              <w:jc w:val="center"/>
              <w:rPr>
                <w:bCs/>
                <w:iCs/>
                <w:sz w:val="18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trHeight w:val="375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 (převyšují ceny obvyklé), jejich výše je však odůvodněna navrženým řešením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7C53FF" w:rsidRDefault="00955E1A" w:rsidP="009A42A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3F1ECE" w:rsidRDefault="00811EE8" w:rsidP="009A42A1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trHeight w:val="375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obvyklým, jejich výše není odůvodněna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1EE8" w:rsidRPr="007C53FF" w:rsidRDefault="007C53FF" w:rsidP="009A42A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3F1ECE" w:rsidRDefault="00811EE8" w:rsidP="009A42A1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0FE2" w:rsidTr="007D6D34">
        <w:trPr>
          <w:gridAfter w:val="1"/>
          <w:wAfter w:w="56" w:type="dxa"/>
          <w:trHeight w:val="418"/>
          <w:jc w:val="center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E0FE2" w:rsidRDefault="002E0FE2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PROVEDITELNOST</w:t>
            </w:r>
            <w:r w:rsidRPr="009A42A1">
              <w:rPr>
                <w:b/>
                <w:bCs/>
                <w:i/>
              </w:rPr>
              <w:t xml:space="preserve"> </w:t>
            </w:r>
          </w:p>
        </w:tc>
      </w:tr>
      <w:tr w:rsidR="00811EE8" w:rsidTr="007D6D34">
        <w:trPr>
          <w:gridAfter w:val="1"/>
          <w:wAfter w:w="56" w:type="dxa"/>
          <w:trHeight w:val="39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11EE8" w:rsidRDefault="007C53FF" w:rsidP="007C53FF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13</w:t>
            </w:r>
            <w:r w:rsidR="00811EE8">
              <w:rPr>
                <w:sz w:val="20"/>
                <w:szCs w:val="20"/>
              </w:rPr>
              <w:t>.</w:t>
            </w:r>
            <w:r w:rsidR="00811EE8">
              <w:t xml:space="preserve"> </w:t>
            </w:r>
            <w:r w:rsidR="00811EE8">
              <w:rPr>
                <w:sz w:val="20"/>
                <w:szCs w:val="20"/>
              </w:rPr>
              <w:t>Organizační a odborné zajištění projektu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9A42A1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Žadatel doložil organizační zajištění realizace projektu pro předinvestiční (přípravnou), investiční a provozní fázi projektu s jasným vymezením kompetencí jednotlivých členů týmu. Členové realizačního týmu mají zkušenosti s realizací projektů (investičních, příp. neinvestičních) a jejich účast na projektech je jasně popsána a podložena minimálně 3 referenčními projekty.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3B135F" w:rsidRDefault="007C53FF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>
            <w:pPr>
              <w:pStyle w:val="Standard"/>
              <w:spacing w:after="0" w:line="240" w:lineRule="auto"/>
              <w:jc w:val="center"/>
              <w:rPr>
                <w:highlight w:val="yellow"/>
              </w:rPr>
            </w:pPr>
            <w:r w:rsidRPr="003B135F">
              <w:rPr>
                <w:b/>
                <w:bCs/>
                <w:sz w:val="20"/>
              </w:rPr>
              <w:t>Max. 2 body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071E19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studie proveditelnosti, žádost o podporu</w:t>
            </w:r>
            <w:r w:rsidDel="00071E1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955E1A">
              <w:rPr>
                <w:i/>
                <w:iCs/>
                <w:sz w:val="20"/>
                <w:szCs w:val="20"/>
              </w:rPr>
              <w:t>Žadatel má vytvořen projektový tým pro všechny fáze projektu (předinvestiční - přípravná, investiční a provozní fáze) s jasným vymezením pozice a aktivit s tím spojených  včetně odpovědnosti za splnění těchto aktivit. Při hodnocení se zohlední i vytvoření administrativních, technických a finančních podmínek pro činnost projektového týmu. V  případě, že bude projektový tým složen jen z interních zdrojů je hodnoceno, zda-li dokáže žadatel s vlastními zdroji zabezpečit všechny činnosti potřebné pro přípravu a realizaci projektu a srozumitelně popíše celou organizaci jednotlivých činností.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EE8" w:rsidRPr="009A42A1" w:rsidRDefault="00811EE8" w:rsidP="00DC31D9">
            <w:pPr>
              <w:pStyle w:val="Standard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  <w:r w:rsidRPr="009A42A1">
              <w:rPr>
                <w:bCs/>
                <w:iCs/>
                <w:sz w:val="18"/>
                <w:szCs w:val="18"/>
              </w:rPr>
              <w:t>Hodnoticí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Pr="009A42A1" w:rsidRDefault="00811EE8" w:rsidP="009A42A1">
            <w:pPr>
              <w:pStyle w:val="Standard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811EE8" w:rsidTr="007D6D34">
        <w:trPr>
          <w:gridAfter w:val="1"/>
          <w:wAfter w:w="56" w:type="dxa"/>
          <w:trHeight w:val="85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Žadatel uvedl seznam členů projektového týmu ve všech fázích bez bližšího nastavení kompetencí, nebo jsou nastaveny kompetence, ale chybí popis členů týmu. Členové realizačního týmu však mají prokazatelně doložené zkušenosti s realizací projektů (investičních, příp. neinvestičních) referenčními projekty.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0B7CA0" w:rsidRDefault="007C53FF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1 bod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</w:tr>
      <w:tr w:rsidR="00811EE8" w:rsidTr="007D6D34">
        <w:trPr>
          <w:gridAfter w:val="1"/>
          <w:wAfter w:w="56" w:type="dxa"/>
          <w:trHeight w:val="85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Žadatel uvedl seznam členů projektového týmu ve všech fázích bez bližšího nastavení kompetencí, nebo jsou nastaveny kompetence, ale chybí popis členů týmu. Členové realizačního týmu nemají prokazatelně doložené zkušenosti s realizací projektů (investičních, příp. neinvestičních) referenčními projekty.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1EE8" w:rsidRPr="000B7CA0" w:rsidRDefault="007C53FF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11EE8" w:rsidRDefault="00811EE8"/>
        </w:tc>
      </w:tr>
      <w:tr w:rsidR="00811EE8" w:rsidTr="007D6D34">
        <w:trPr>
          <w:gridAfter w:val="1"/>
          <w:wAfter w:w="56" w:type="dxa"/>
          <w:trHeight w:val="1259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7C53FF" w:rsidP="007C53FF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14</w:t>
            </w:r>
            <w:r w:rsidR="00811EE8">
              <w:rPr>
                <w:sz w:val="20"/>
                <w:szCs w:val="20"/>
              </w:rPr>
              <w:t>.</w:t>
            </w:r>
            <w:r w:rsidR="00811EE8">
              <w:t xml:space="preserve"> </w:t>
            </w:r>
            <w:r w:rsidR="00811EE8">
              <w:rPr>
                <w:sz w:val="20"/>
                <w:szCs w:val="20"/>
              </w:rPr>
              <w:t>Technická proveditelnost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popisu a předložené dokumentace jasně vyplývá, že žadatel zvolil nejvhodnější možné technické řešení. Klíčové aktivity projektu jsou podrobně popsány, postup přípravných i investičních akcí je logický, odpovídají cíli investiční akce. Variantní řešení je uvedeno.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1EE8" w:rsidRPr="003B135F" w:rsidRDefault="002E3E3D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  <w:r w:rsidR="007C53F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bodů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3B135F" w:rsidRDefault="00811EE8">
            <w:pPr>
              <w:pStyle w:val="Standard"/>
              <w:spacing w:after="0" w:line="240" w:lineRule="auto"/>
              <w:jc w:val="center"/>
            </w:pPr>
            <w:r w:rsidRPr="003B135F">
              <w:rPr>
                <w:b/>
                <w:bCs/>
                <w:sz w:val="20"/>
              </w:rPr>
              <w:t xml:space="preserve">Max. </w:t>
            </w:r>
            <w:r w:rsidR="002E3E3D">
              <w:rPr>
                <w:b/>
                <w:bCs/>
                <w:sz w:val="20"/>
              </w:rPr>
              <w:t>8</w:t>
            </w:r>
            <w:r w:rsidR="002E3E3D" w:rsidRPr="003B135F">
              <w:rPr>
                <w:b/>
                <w:bCs/>
                <w:sz w:val="20"/>
              </w:rPr>
              <w:t xml:space="preserve"> </w:t>
            </w:r>
            <w:r w:rsidRPr="003B135F">
              <w:rPr>
                <w:b/>
                <w:bCs/>
                <w:sz w:val="20"/>
              </w:rPr>
              <w:t>bod</w:t>
            </w:r>
            <w:r>
              <w:rPr>
                <w:b/>
                <w:bCs/>
                <w:sz w:val="20"/>
              </w:rPr>
              <w:t>ů</w:t>
            </w:r>
          </w:p>
          <w:p w:rsidR="00811EE8" w:rsidRPr="000B7CA0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955E1A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="00811EE8">
              <w:rPr>
                <w:b/>
                <w:bCs/>
                <w:i/>
                <w:iCs/>
                <w:sz w:val="20"/>
                <w:szCs w:val="20"/>
              </w:rPr>
              <w:t>tudie proveditelnosti, projektová dokumentace</w:t>
            </w:r>
          </w:p>
          <w:p w:rsidR="00811EE8" w:rsidRPr="00955E1A" w:rsidRDefault="00811EE8" w:rsidP="00955E1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Žadatel vzhledem k charakteru projektu vysvětlí, proč zvolil navrhovaný postup/variantní řešení a prokáže využití nejlepší dostupné techniky/technologie.</w:t>
            </w:r>
          </w:p>
          <w:p w:rsidR="00811EE8" w:rsidRDefault="00811EE8" w:rsidP="00955E1A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 xml:space="preserve">Žadatel doložil dokumentaci (Studie, projektová dokumentace, technická dokumentace), ze které je možné posoudit celkový projektový záměr/projektový </w:t>
            </w:r>
            <w:r>
              <w:rPr>
                <w:i/>
                <w:iCs/>
                <w:sz w:val="20"/>
                <w:szCs w:val="20"/>
              </w:rPr>
              <w:lastRenderedPageBreak/>
              <w:t>záměr. Předložená dokumentace splňuje základní požadavky vzhledem k charakteru záměru (stavba - projektová dokumentace, technická specifikace, studie, apod.).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1EE8" w:rsidTr="00D81E09">
        <w:trPr>
          <w:gridAfter w:val="1"/>
          <w:wAfter w:w="56" w:type="dxa"/>
          <w:cantSplit/>
          <w:trHeight w:val="1134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Žadatel jasně popsal technologické řešení, zvolené technologické řešení je vhodné pro daný typ projektu avšak chybí variantní řešení nebo není žadatelem dostatečně popsáno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811EE8" w:rsidRDefault="002E3E3D" w:rsidP="007C53FF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7C53FF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tcBorders>
              <w:left w:val="single" w:sz="4" w:space="0" w:color="00000A"/>
              <w:right w:val="single" w:sz="4" w:space="0" w:color="auto"/>
            </w:tcBorders>
            <w:textDirection w:val="btLr"/>
          </w:tcPr>
          <w:p w:rsidR="00811EE8" w:rsidRPr="00955E1A" w:rsidRDefault="007D6D34" w:rsidP="00DC31D9">
            <w:pPr>
              <w:pStyle w:val="Standard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</w:t>
            </w:r>
            <w:r w:rsidR="00955E1A" w:rsidRPr="00955E1A">
              <w:rPr>
                <w:b/>
                <w:bCs/>
                <w:iCs/>
                <w:sz w:val="20"/>
                <w:szCs w:val="20"/>
              </w:rPr>
              <w:t>Kombinovan</w:t>
            </w:r>
            <w:r w:rsidR="00811EE8" w:rsidRPr="00955E1A">
              <w:rPr>
                <w:b/>
                <w:bCs/>
                <w:iCs/>
                <w:sz w:val="20"/>
                <w:szCs w:val="20"/>
              </w:rPr>
              <w:t>é</w:t>
            </w:r>
          </w:p>
        </w:tc>
        <w:tc>
          <w:tcPr>
            <w:tcW w:w="2095" w:type="dxa"/>
            <w:gridSpan w:val="2"/>
            <w:tcBorders>
              <w:left w:val="single" w:sz="4" w:space="0" w:color="00000A"/>
              <w:right w:val="single" w:sz="4" w:space="0" w:color="auto"/>
            </w:tcBorders>
          </w:tcPr>
          <w:p w:rsidR="00811EE8" w:rsidRPr="00343ACD" w:rsidRDefault="00811EE8" w:rsidP="009A42A1">
            <w:pPr>
              <w:jc w:val="center"/>
              <w:rPr>
                <w:b/>
                <w:sz w:val="18"/>
              </w:rPr>
            </w:pPr>
          </w:p>
        </w:tc>
      </w:tr>
      <w:tr w:rsidR="00811EE8" w:rsidTr="007D6D34">
        <w:trPr>
          <w:gridAfter w:val="1"/>
          <w:wAfter w:w="56" w:type="dxa"/>
          <w:trHeight w:val="991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popisu a předložené dokumentace e</w:t>
            </w:r>
            <w:r w:rsidRPr="00317FC3">
              <w:rPr>
                <w:sz w:val="20"/>
                <w:szCs w:val="20"/>
              </w:rPr>
              <w:t>xistuje pochybnost o vhodnosti zvoleného technologického řešení</w:t>
            </w:r>
            <w:r>
              <w:rPr>
                <w:sz w:val="20"/>
                <w:szCs w:val="20"/>
              </w:rPr>
              <w:t xml:space="preserve"> nebo technologické řešení není žadatelem jasně popsáno. Klíčové aktivity projektu nejsou podrobně popsány nebo neodpovídají cíli investiční akce. Chybí variantní řešení.</w:t>
            </w:r>
          </w:p>
          <w:p w:rsidR="00811EE8" w:rsidRDefault="00811EE8" w:rsidP="009A42A1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811EE8" w:rsidRDefault="007C53FF" w:rsidP="007C53FF">
            <w:pPr>
              <w:jc w:val="center"/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11EE8" w:rsidRPr="00955E1A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11EE8" w:rsidRDefault="00811EE8"/>
        </w:tc>
      </w:tr>
      <w:tr w:rsidR="00440A73" w:rsidTr="00DC31D9">
        <w:trPr>
          <w:gridAfter w:val="1"/>
          <w:wAfter w:w="56" w:type="dxa"/>
          <w:trHeight w:val="765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7C53FF" w:rsidP="007C53FF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15</w:t>
            </w:r>
            <w:r w:rsidR="00811EE8">
              <w:rPr>
                <w:sz w:val="20"/>
                <w:szCs w:val="20"/>
              </w:rPr>
              <w:t>.</w:t>
            </w:r>
            <w:r w:rsidR="00811EE8">
              <w:t xml:space="preserve"> </w:t>
            </w:r>
            <w:r w:rsidR="00811EE8">
              <w:rPr>
                <w:sz w:val="20"/>
                <w:szCs w:val="20"/>
              </w:rPr>
              <w:t>Reálnost harmonogramu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Harmonogram je reálný a odpovídá charakteru jednotlivých aktivit, jednotlivé etapy na sebe logicky navazují.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3B135F" w:rsidRDefault="007C53FF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 w:rsidP="00BC0139">
            <w:pPr>
              <w:pStyle w:val="Standard"/>
              <w:spacing w:after="0" w:line="240" w:lineRule="auto"/>
              <w:jc w:val="center"/>
              <w:rPr>
                <w:highlight w:val="yellow"/>
              </w:rPr>
            </w:pPr>
            <w:r w:rsidRPr="003B135F">
              <w:rPr>
                <w:b/>
                <w:bCs/>
                <w:sz w:val="20"/>
              </w:rPr>
              <w:t xml:space="preserve">Max. </w:t>
            </w:r>
            <w:r>
              <w:rPr>
                <w:b/>
                <w:bCs/>
                <w:sz w:val="20"/>
              </w:rPr>
              <w:t>2 body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9A42A1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Žádost o podporu, studie proveditelnosti</w:t>
            </w:r>
          </w:p>
          <w:p w:rsidR="00811EE8" w:rsidRDefault="00811EE8" w:rsidP="009A42A1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Žadatel dokládá/vysvětluje reálnost harmonogramu vzhledem k sezónnosti prací, dodržení zákonných lhůt (např. výběrové řízení, vydání kolaudačního rozhodnutí) a lhůt na jednotlivé činnosti, časovou provázanost aktivit v rámci realizace projektu.</w:t>
            </w:r>
          </w:p>
        </w:tc>
        <w:tc>
          <w:tcPr>
            <w:tcW w:w="13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vAlign w:val="center"/>
          </w:tcPr>
          <w:p w:rsidR="00811EE8" w:rsidRPr="009A42A1" w:rsidRDefault="00811EE8" w:rsidP="00DC31D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20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Default="00811EE8" w:rsidP="009A42A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40A73" w:rsidTr="00DC31D9">
        <w:trPr>
          <w:gridAfter w:val="1"/>
          <w:wAfter w:w="56" w:type="dxa"/>
          <w:trHeight w:val="765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361A1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není reální, neodpovídá charakteru jednotlivých aktivit, jednotlivé etapy v harmonogramu netvoří logický celek.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3B135F" w:rsidRDefault="007C53FF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3B135F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9A42A1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811EE8" w:rsidRDefault="00811EE8" w:rsidP="009A42A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11EE8" w:rsidRDefault="00811EE8" w:rsidP="009A42A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trHeight w:val="480"/>
          <w:jc w:val="center"/>
        </w:trPr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560BCE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</w:t>
            </w:r>
            <w:r w:rsidR="007C53F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</w:rPr>
              <w:t xml:space="preserve">Zajištění </w:t>
            </w:r>
            <w:r>
              <w:rPr>
                <w:sz w:val="20"/>
                <w:szCs w:val="20"/>
              </w:rPr>
              <w:t>udržitelnosti projektu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Žadatel prokazuje celkovou udržitelnost projektu a jeho výstupů/výsledků. Provozní výdaje projektu jsou reálné a ufinancovatelné, žadatel má zajištěny zdroje financování po celou dobu udržitelnosti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Default="007C53FF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8 bodů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>
            <w:pPr>
              <w:pStyle w:val="Standard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b/>
                <w:bCs/>
                <w:sz w:val="20"/>
              </w:rPr>
              <w:t>Max. 8</w:t>
            </w:r>
            <w:r w:rsidRPr="00361A14">
              <w:rPr>
                <w:b/>
                <w:bCs/>
                <w:sz w:val="20"/>
              </w:rPr>
              <w:t xml:space="preserve"> bod</w:t>
            </w:r>
            <w:r>
              <w:rPr>
                <w:b/>
                <w:bCs/>
                <w:sz w:val="20"/>
              </w:rPr>
              <w:t>ů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811EE8" w:rsidRDefault="00811EE8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Žadatel podrobně popíše, jak bude projekt pokračovat (realizovat výstupy a výsledky projektu) po dobu udržitelnosti a jakým způsobem bude financován po celé sledované období (žadatel doloží zdroje financování). Posuzována bude udržitelnost institucionální, administrativní a finanční.</w:t>
            </w:r>
          </w:p>
          <w:p w:rsidR="00811EE8" w:rsidRPr="0045112D" w:rsidRDefault="00811E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Žadatel popíše, jakým způsobem bude projekt financován po celé sledované období udržitelnosti (žadatel doloží zdroje financování).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811EE8" w:rsidRDefault="00811EE8" w:rsidP="00DC31D9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7D6D34" w:rsidRDefault="007D6D34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  <w:p w:rsidR="007D6D34" w:rsidRDefault="007D6D34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  <w:p w:rsidR="007D6D34" w:rsidRDefault="007D6D34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  <w:p w:rsidR="007D6D34" w:rsidRDefault="007D6D34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  <w:p w:rsidR="007D6D34" w:rsidRDefault="007D6D34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  <w:p w:rsidR="007D6D34" w:rsidRDefault="007D6D34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</w:p>
          <w:p w:rsidR="00811EE8" w:rsidRPr="00194DA3" w:rsidRDefault="007D6D34" w:rsidP="007D6D34">
            <w:pPr>
              <w:pStyle w:val="Standard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 xml:space="preserve">    </w:t>
            </w:r>
            <w:r w:rsidR="00811EE8" w:rsidRPr="00194DA3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  <w:p w:rsidR="00811EE8" w:rsidRDefault="00811EE8" w:rsidP="00175497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trHeight w:val="608"/>
          <w:jc w:val="center"/>
        </w:trPr>
        <w:tc>
          <w:tcPr>
            <w:tcW w:w="212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udržitelnost projektu, jeho výstupů/výsledků není jasně prokázána. Žadatel zajištění zdrojů financování po dobu udržitelnosti projektu zcela neprokázal nebo provozní výdaje projektu nejsou zcela reálné a ufinancovatelné.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Default="007C53FF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4 body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A"/>
              <w:right w:val="single" w:sz="4" w:space="0" w:color="auto"/>
            </w:tcBorders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trHeight w:val="1857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9A42A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neprokázal celkovou udržitelnost projektu a jeho výstupů/výsledků. Provozní výdaje projektu nejsou reálné a ufinancovatelné, žadatel neprokázal zajištění zdrojů financování po dobu udržitelnosti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Default="007C53FF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A"/>
              <w:bottom w:val="nil"/>
              <w:right w:val="single" w:sz="4" w:space="0" w:color="auto"/>
            </w:tcBorders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A"/>
              <w:bottom w:val="nil"/>
              <w:right w:val="single" w:sz="4" w:space="0" w:color="auto"/>
            </w:tcBorders>
          </w:tcPr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trHeight w:val="993"/>
          <w:jc w:val="center"/>
        </w:trPr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 w:rsidP="00640AED">
            <w:pPr>
              <w:pStyle w:val="Standard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11EE8" w:rsidRDefault="00811EE8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</w:t>
            </w:r>
            <w:r w:rsidR="007C53F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811EE8" w:rsidRDefault="00811EE8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Finanční a ekonomická rizika projektu</w:t>
            </w:r>
          </w:p>
          <w:p w:rsidR="00811EE8" w:rsidRDefault="00811EE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823F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všechna klíčová rizika (zejm. ekonomická, finanční a provozní),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  <w:p w:rsidR="00811EE8" w:rsidRDefault="00811EE8" w:rsidP="007E561E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1EE8" w:rsidRPr="00361A14" w:rsidRDefault="002E3E3D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2</w:t>
            </w:r>
            <w:r w:rsidR="007C53FF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 w:rsidP="007C53FF">
            <w:pPr>
              <w:pStyle w:val="Standard"/>
              <w:spacing w:after="0" w:line="240" w:lineRule="auto"/>
              <w:jc w:val="center"/>
              <w:rPr>
                <w:highlight w:val="yellow"/>
              </w:rPr>
            </w:pPr>
            <w:r w:rsidRPr="00361A14">
              <w:rPr>
                <w:b/>
                <w:bCs/>
                <w:sz w:val="20"/>
              </w:rPr>
              <w:t>Max. 2</w:t>
            </w:r>
            <w:r>
              <w:rPr>
                <w:b/>
                <w:bCs/>
                <w:sz w:val="20"/>
              </w:rPr>
              <w:t xml:space="preserve"> </w:t>
            </w:r>
            <w:r w:rsidRPr="00361A14">
              <w:rPr>
                <w:b/>
                <w:bCs/>
                <w:sz w:val="20"/>
              </w:rPr>
              <w:t>body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1A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811EE8" w:rsidRDefault="00955E1A">
            <w:pPr>
              <w:pStyle w:val="Standard"/>
              <w:spacing w:after="0" w:line="240" w:lineRule="auto"/>
            </w:pPr>
            <w:r w:rsidRPr="00955E1A">
              <w:rPr>
                <w:bCs/>
                <w:i/>
                <w:iCs/>
                <w:sz w:val="20"/>
                <w:szCs w:val="20"/>
              </w:rPr>
              <w:t>P</w:t>
            </w:r>
            <w:r w:rsidR="00811EE8">
              <w:rPr>
                <w:i/>
                <w:iCs/>
                <w:sz w:val="20"/>
                <w:szCs w:val="20"/>
              </w:rPr>
              <w:t>ozornost se soustředí na popis klíčových rizik a předpokladů úspěšné realizace projektu a řešení k odstranění nebo minimalizaci rizik. Jedná se zejména o rizika ekonomická, finanční a provozní a příp. další relevantní rizika (např. podnikatelská, tržní, logistická, marketingová, apod.)</w:t>
            </w:r>
          </w:p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E8" w:rsidRDefault="00811EE8" w:rsidP="00DC31D9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811EE8" w:rsidRPr="00CC5F6C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5F6C">
              <w:rPr>
                <w:b/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  <w:p w:rsidR="00811EE8" w:rsidRDefault="00811EE8" w:rsidP="00343ACD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11EE8" w:rsidTr="007D6D34">
        <w:trPr>
          <w:gridAfter w:val="1"/>
          <w:wAfter w:w="56" w:type="dxa"/>
          <w:trHeight w:val="708"/>
          <w:jc w:val="center"/>
        </w:trPr>
        <w:tc>
          <w:tcPr>
            <w:tcW w:w="21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823F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část klíčových rizik (zejm. ekonomická, finanční a provozní),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  <w:p w:rsidR="00811EE8" w:rsidRPr="007E561E" w:rsidRDefault="00811EE8" w:rsidP="007E561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1EE8" w:rsidRPr="000B7CA0" w:rsidRDefault="007C53FF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1 bod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EE8" w:rsidRDefault="00811EE8"/>
        </w:tc>
      </w:tr>
      <w:tr w:rsidR="00811EE8" w:rsidTr="007D6D34">
        <w:trPr>
          <w:gridAfter w:val="1"/>
          <w:wAfter w:w="56" w:type="dxa"/>
          <w:trHeight w:val="977"/>
          <w:jc w:val="center"/>
        </w:trPr>
        <w:tc>
          <w:tcPr>
            <w:tcW w:w="21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823F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neidentifikoval všechna klíčová rizika (zejm. ekonomická, finanční a provozní).Projekt obsahuje závažné riziko (příp. více závažných rizik), které žadatel neidentifikoval nebo nenavrhl adekvátní způsob vedoucí k jejich odstranění nebo omezení.</w:t>
            </w:r>
          </w:p>
          <w:p w:rsidR="00811EE8" w:rsidRPr="007E561E" w:rsidRDefault="00811EE8" w:rsidP="007E561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811EE8" w:rsidRPr="000B7CA0" w:rsidRDefault="007C53FF" w:rsidP="007C53FF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>
            <w:pPr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E8" w:rsidRDefault="00811EE8"/>
        </w:tc>
      </w:tr>
      <w:tr w:rsidR="00440A73" w:rsidTr="00DC31D9">
        <w:trPr>
          <w:gridAfter w:val="1"/>
          <w:wAfter w:w="56" w:type="dxa"/>
          <w:cantSplit/>
          <w:trHeight w:val="1134"/>
          <w:jc w:val="center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</w:t>
            </w:r>
            <w:r w:rsidR="007C53F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  <w:p w:rsidR="00811EE8" w:rsidRDefault="00811EE8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Ostatní rizika projektu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823F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všechna klíčová rizika (zejm. (technická a technologická, projektová, časová, organizační, legislativní).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  <w:p w:rsidR="00811EE8" w:rsidRDefault="00811EE8" w:rsidP="007E561E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Pr="00361A14" w:rsidRDefault="007C53FF" w:rsidP="007C53F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Pr="000B7CA0" w:rsidRDefault="00811EE8" w:rsidP="00361A14">
            <w:pPr>
              <w:pStyle w:val="Standard"/>
              <w:spacing w:after="0" w:line="240" w:lineRule="auto"/>
              <w:jc w:val="center"/>
              <w:rPr>
                <w:highlight w:val="yellow"/>
              </w:rPr>
            </w:pPr>
            <w:r w:rsidRPr="00361A14">
              <w:rPr>
                <w:b/>
                <w:bCs/>
                <w:sz w:val="20"/>
              </w:rPr>
              <w:t>Max. 2 body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3F0040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811EE8" w:rsidRDefault="00811EE8" w:rsidP="003F0040">
            <w:pPr>
              <w:pStyle w:val="Standard"/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Pozornost se soustředí na popis klíčových rizik a předpokladů úspěšné realizace projektu a řešení k odstranění nebo minimalizaci rizik. Jedná se zejména o rizika technická a technologická, projektová, časová, organizační a legislativní a příp. další relevantní rizika (informační, sociální, ekologická, bezpečnostní, živelná a přírodní, politická, apod.)</w:t>
            </w:r>
          </w:p>
          <w:p w:rsidR="00811EE8" w:rsidRDefault="00811EE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955E1A" w:rsidRDefault="00955E1A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811EE8" w:rsidRPr="00CC5F6C" w:rsidRDefault="00811EE8" w:rsidP="00DC31D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5F6C">
              <w:rPr>
                <w:b/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811EE8" w:rsidRDefault="00811EE8" w:rsidP="001D4AC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811EE8" w:rsidRDefault="00811EE8" w:rsidP="00343ACD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40A73" w:rsidTr="00DC31D9">
        <w:trPr>
          <w:gridAfter w:val="1"/>
          <w:wAfter w:w="56" w:type="dxa"/>
          <w:trHeight w:val="1035"/>
          <w:jc w:val="center"/>
        </w:trPr>
        <w:tc>
          <w:tcPr>
            <w:tcW w:w="21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823F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část klíčových rizik (zejm. technická a technologická, projektová, časová, organizační, legislativní). Reálně zhodnotí pravděpodobnost jejich výskytu, míru jejich negativního dopadu na projekt a uvede adekvátní způsoby vedoucí k odstranění nebo omezení následků všech klíčových rizikových oblastí Projekt neobsahuje závažná rizika, která mohou ohrozit realizaci a udržitelnost projektu.</w:t>
            </w:r>
          </w:p>
          <w:p w:rsidR="00811EE8" w:rsidRDefault="00811EE8" w:rsidP="007E561E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Default="007C53FF" w:rsidP="007C53FF">
            <w:pPr>
              <w:jc w:val="center"/>
            </w:pPr>
            <w:r>
              <w:rPr>
                <w:sz w:val="20"/>
                <w:szCs w:val="20"/>
              </w:rPr>
              <w:t>1 bod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3686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tcBorders>
              <w:left w:val="single" w:sz="4" w:space="0" w:color="auto"/>
              <w:right w:val="single" w:sz="4" w:space="0" w:color="00000A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:rsidR="00811EE8" w:rsidRDefault="00811EE8"/>
        </w:tc>
      </w:tr>
      <w:tr w:rsidR="00440A73" w:rsidTr="00DC31D9">
        <w:trPr>
          <w:gridAfter w:val="1"/>
          <w:wAfter w:w="56" w:type="dxa"/>
          <w:trHeight w:val="1035"/>
          <w:jc w:val="center"/>
        </w:trPr>
        <w:tc>
          <w:tcPr>
            <w:tcW w:w="212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 w:rsidP="00823F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neidentifikoval všechna klíčová rizika (zejm. technická a technologická, projektová, časová, organizační, legislativní). Projekt obsahuje závažné riziko (příp. více závažných rizik), které žadatel neidentifikoval nebo nenavrhl adekvátní způsob vedoucí k jejich odstranění nebo omezení.</w:t>
            </w:r>
          </w:p>
          <w:p w:rsidR="00811EE8" w:rsidRPr="00361A14" w:rsidRDefault="00811EE8" w:rsidP="007E561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E8" w:rsidRDefault="007C53FF" w:rsidP="007C53FF">
            <w:pPr>
              <w:jc w:val="center"/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EE8" w:rsidRDefault="00811EE8"/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EE8" w:rsidRDefault="00811EE8"/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11EE8" w:rsidRDefault="00811EE8"/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11EE8" w:rsidRDefault="00811EE8"/>
        </w:tc>
      </w:tr>
      <w:tr w:rsidR="002E0FE2" w:rsidTr="00DC31D9">
        <w:trPr>
          <w:gridAfter w:val="1"/>
          <w:wAfter w:w="56" w:type="dxa"/>
          <w:cantSplit/>
          <w:trHeight w:val="278"/>
          <w:jc w:val="center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E0FE2" w:rsidRDefault="002E0FE2">
            <w:pPr>
              <w:pStyle w:val="Standard"/>
              <w:spacing w:after="0" w:line="240" w:lineRule="auto"/>
            </w:pPr>
            <w:r w:rsidRPr="00361A14">
              <w:rPr>
                <w:b/>
              </w:rPr>
              <w:t>Součet bodů celkem = 100 bodů</w:t>
            </w:r>
          </w:p>
        </w:tc>
      </w:tr>
    </w:tbl>
    <w:p w:rsidR="00791877" w:rsidRDefault="00791877">
      <w:pPr>
        <w:pStyle w:val="Standard"/>
      </w:pPr>
    </w:p>
    <w:sectPr w:rsidR="00791877">
      <w:headerReference w:type="default" r:id="rId8"/>
      <w:footerReference w:type="default" r:id="rId9"/>
      <w:pgSz w:w="16838" w:h="11906" w:orient="landscape"/>
      <w:pgMar w:top="766" w:right="720" w:bottom="766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51" w:rsidRDefault="00434251">
      <w:pPr>
        <w:spacing w:after="0" w:line="240" w:lineRule="auto"/>
      </w:pPr>
      <w:r>
        <w:separator/>
      </w:r>
    </w:p>
  </w:endnote>
  <w:endnote w:type="continuationSeparator" w:id="0">
    <w:p w:rsidR="00434251" w:rsidRDefault="0043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3D" w:rsidRDefault="00A21D3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D81E09">
      <w:rPr>
        <w:noProof/>
      </w:rPr>
      <w:t>2</w:t>
    </w:r>
    <w:r>
      <w:fldChar w:fldCharType="end"/>
    </w:r>
  </w:p>
  <w:p w:rsidR="00811EE8" w:rsidRDefault="00811EE8">
    <w:pPr>
      <w:pStyle w:val="Zpat"/>
    </w:pPr>
    <w:r>
      <w:t>verze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51" w:rsidRDefault="004342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4251" w:rsidRDefault="0043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3D" w:rsidRDefault="00E26E54">
    <w:pPr>
      <w:pStyle w:val="Standard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8712200</wp:posOffset>
          </wp:positionH>
          <wp:positionV relativeFrom="paragraph">
            <wp:posOffset>-164465</wp:posOffset>
          </wp:positionV>
          <wp:extent cx="657860" cy="657860"/>
          <wp:effectExtent l="0" t="0" r="0" b="0"/>
          <wp:wrapTight wrapText="bothSides">
            <wp:wrapPolygon edited="0">
              <wp:start x="0" y="0"/>
              <wp:lineTo x="0" y="21266"/>
              <wp:lineTo x="21266" y="21266"/>
              <wp:lineTo x="2126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352425</wp:posOffset>
          </wp:positionV>
          <wp:extent cx="3272790" cy="654685"/>
          <wp:effectExtent l="0" t="0" r="0" b="0"/>
          <wp:wrapSquare wrapText="bothSides"/>
          <wp:docPr id="3" name="logo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703"/>
    <w:multiLevelType w:val="multilevel"/>
    <w:tmpl w:val="98FECCFC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266055"/>
    <w:multiLevelType w:val="multilevel"/>
    <w:tmpl w:val="CBDC37AA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A82BAD"/>
    <w:multiLevelType w:val="multilevel"/>
    <w:tmpl w:val="96DE2B9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85D0FE5"/>
    <w:multiLevelType w:val="multilevel"/>
    <w:tmpl w:val="07B4F6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EF79D8"/>
    <w:multiLevelType w:val="multilevel"/>
    <w:tmpl w:val="44A84F52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8F55742"/>
    <w:multiLevelType w:val="multilevel"/>
    <w:tmpl w:val="B32AD23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555EB"/>
    <w:multiLevelType w:val="multilevel"/>
    <w:tmpl w:val="AB7C699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DD31BC0"/>
    <w:multiLevelType w:val="multilevel"/>
    <w:tmpl w:val="800605BE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4739FB"/>
    <w:multiLevelType w:val="multilevel"/>
    <w:tmpl w:val="23BE902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15E73C2"/>
    <w:multiLevelType w:val="multilevel"/>
    <w:tmpl w:val="5BF2CCEA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2C82747"/>
    <w:multiLevelType w:val="multilevel"/>
    <w:tmpl w:val="02304826"/>
    <w:styleLink w:val="WWOutlineListStyle"/>
    <w:lvl w:ilvl="0">
      <w:start w:val="1"/>
      <w:numFmt w:val="decimal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4832A9F"/>
    <w:multiLevelType w:val="multilevel"/>
    <w:tmpl w:val="BFE2DE7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62703A3"/>
    <w:multiLevelType w:val="multilevel"/>
    <w:tmpl w:val="585296C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8B4717C"/>
    <w:multiLevelType w:val="multilevel"/>
    <w:tmpl w:val="DEA03EF2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3F94CBF"/>
    <w:multiLevelType w:val="multilevel"/>
    <w:tmpl w:val="15F26C7A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42E3FEF"/>
    <w:multiLevelType w:val="hybridMultilevel"/>
    <w:tmpl w:val="BC6E539A"/>
    <w:lvl w:ilvl="0" w:tplc="C750E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35241"/>
    <w:multiLevelType w:val="multilevel"/>
    <w:tmpl w:val="7AB85C8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B192178"/>
    <w:multiLevelType w:val="multilevel"/>
    <w:tmpl w:val="765C4D40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B1E5EAF"/>
    <w:multiLevelType w:val="multilevel"/>
    <w:tmpl w:val="588200C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5302A80"/>
    <w:multiLevelType w:val="multilevel"/>
    <w:tmpl w:val="4A064B00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55947DB"/>
    <w:multiLevelType w:val="multilevel"/>
    <w:tmpl w:val="9B546E0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8473ED2"/>
    <w:multiLevelType w:val="multilevel"/>
    <w:tmpl w:val="6AD4DE0E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1116A49"/>
    <w:multiLevelType w:val="multilevel"/>
    <w:tmpl w:val="977C14DE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27832F4"/>
    <w:multiLevelType w:val="multilevel"/>
    <w:tmpl w:val="DC8C96EE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8FC2AB9"/>
    <w:multiLevelType w:val="multilevel"/>
    <w:tmpl w:val="75048856"/>
    <w:styleLink w:val="WW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91278D2"/>
    <w:multiLevelType w:val="multilevel"/>
    <w:tmpl w:val="BFFA4AD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D975B78"/>
    <w:multiLevelType w:val="multilevel"/>
    <w:tmpl w:val="97401BAC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22E67E1"/>
    <w:multiLevelType w:val="multilevel"/>
    <w:tmpl w:val="E59072B0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4BC6961"/>
    <w:multiLevelType w:val="multilevel"/>
    <w:tmpl w:val="192AB3C2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5EE545D"/>
    <w:multiLevelType w:val="multilevel"/>
    <w:tmpl w:val="96BACFA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6A13791"/>
    <w:multiLevelType w:val="multilevel"/>
    <w:tmpl w:val="0C3A6A0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8905C1E"/>
    <w:multiLevelType w:val="multilevel"/>
    <w:tmpl w:val="762861B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9240D9A"/>
    <w:multiLevelType w:val="multilevel"/>
    <w:tmpl w:val="0CBE471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F5B6AE7"/>
    <w:multiLevelType w:val="multilevel"/>
    <w:tmpl w:val="F146A37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FE40665"/>
    <w:multiLevelType w:val="multilevel"/>
    <w:tmpl w:val="12C6A9C6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FEE6B4E"/>
    <w:multiLevelType w:val="multilevel"/>
    <w:tmpl w:val="97C4A35C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06E36F6"/>
    <w:multiLevelType w:val="multilevel"/>
    <w:tmpl w:val="82AA563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15B2FB6"/>
    <w:multiLevelType w:val="multilevel"/>
    <w:tmpl w:val="0BCC0F1C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548391F"/>
    <w:multiLevelType w:val="multilevel"/>
    <w:tmpl w:val="4D5C1AB6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B7244B7"/>
    <w:multiLevelType w:val="multilevel"/>
    <w:tmpl w:val="E7A6495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2B7862"/>
    <w:multiLevelType w:val="multilevel"/>
    <w:tmpl w:val="158E57B8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1BB64D8"/>
    <w:multiLevelType w:val="multilevel"/>
    <w:tmpl w:val="F5D47DF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3752D32"/>
    <w:multiLevelType w:val="multilevel"/>
    <w:tmpl w:val="1D02576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5690098"/>
    <w:multiLevelType w:val="multilevel"/>
    <w:tmpl w:val="DCAA1E6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6D87DED"/>
    <w:multiLevelType w:val="multilevel"/>
    <w:tmpl w:val="969A39A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AF312CF"/>
    <w:multiLevelType w:val="multilevel"/>
    <w:tmpl w:val="6432440E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E47319A"/>
    <w:multiLevelType w:val="multilevel"/>
    <w:tmpl w:val="27F41E3A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12"/>
  </w:num>
  <w:num w:numId="3">
    <w:abstractNumId w:val="31"/>
  </w:num>
  <w:num w:numId="4">
    <w:abstractNumId w:val="33"/>
  </w:num>
  <w:num w:numId="5">
    <w:abstractNumId w:val="39"/>
  </w:num>
  <w:num w:numId="6">
    <w:abstractNumId w:val="29"/>
  </w:num>
  <w:num w:numId="7">
    <w:abstractNumId w:val="42"/>
  </w:num>
  <w:num w:numId="8">
    <w:abstractNumId w:val="30"/>
  </w:num>
  <w:num w:numId="9">
    <w:abstractNumId w:val="18"/>
  </w:num>
  <w:num w:numId="10">
    <w:abstractNumId w:val="2"/>
  </w:num>
  <w:num w:numId="11">
    <w:abstractNumId w:val="5"/>
  </w:num>
  <w:num w:numId="12">
    <w:abstractNumId w:val="7"/>
  </w:num>
  <w:num w:numId="13">
    <w:abstractNumId w:val="25"/>
  </w:num>
  <w:num w:numId="14">
    <w:abstractNumId w:val="45"/>
  </w:num>
  <w:num w:numId="15">
    <w:abstractNumId w:val="11"/>
  </w:num>
  <w:num w:numId="16">
    <w:abstractNumId w:val="3"/>
  </w:num>
  <w:num w:numId="17">
    <w:abstractNumId w:val="36"/>
  </w:num>
  <w:num w:numId="18">
    <w:abstractNumId w:val="34"/>
  </w:num>
  <w:num w:numId="19">
    <w:abstractNumId w:val="22"/>
  </w:num>
  <w:num w:numId="20">
    <w:abstractNumId w:val="46"/>
  </w:num>
  <w:num w:numId="21">
    <w:abstractNumId w:val="0"/>
  </w:num>
  <w:num w:numId="22">
    <w:abstractNumId w:val="23"/>
  </w:num>
  <w:num w:numId="23">
    <w:abstractNumId w:val="37"/>
  </w:num>
  <w:num w:numId="24">
    <w:abstractNumId w:val="43"/>
  </w:num>
  <w:num w:numId="25">
    <w:abstractNumId w:val="16"/>
  </w:num>
  <w:num w:numId="26">
    <w:abstractNumId w:val="13"/>
  </w:num>
  <w:num w:numId="27">
    <w:abstractNumId w:val="6"/>
  </w:num>
  <w:num w:numId="28">
    <w:abstractNumId w:val="44"/>
  </w:num>
  <w:num w:numId="29">
    <w:abstractNumId w:val="17"/>
  </w:num>
  <w:num w:numId="30">
    <w:abstractNumId w:val="8"/>
  </w:num>
  <w:num w:numId="31">
    <w:abstractNumId w:val="32"/>
  </w:num>
  <w:num w:numId="32">
    <w:abstractNumId w:val="21"/>
  </w:num>
  <w:num w:numId="33">
    <w:abstractNumId w:val="14"/>
  </w:num>
  <w:num w:numId="34">
    <w:abstractNumId w:val="40"/>
  </w:num>
  <w:num w:numId="35">
    <w:abstractNumId w:val="28"/>
  </w:num>
  <w:num w:numId="36">
    <w:abstractNumId w:val="27"/>
  </w:num>
  <w:num w:numId="37">
    <w:abstractNumId w:val="9"/>
  </w:num>
  <w:num w:numId="38">
    <w:abstractNumId w:val="38"/>
  </w:num>
  <w:num w:numId="39">
    <w:abstractNumId w:val="1"/>
  </w:num>
  <w:num w:numId="40">
    <w:abstractNumId w:val="41"/>
  </w:num>
  <w:num w:numId="41">
    <w:abstractNumId w:val="26"/>
  </w:num>
  <w:num w:numId="42">
    <w:abstractNumId w:val="4"/>
  </w:num>
  <w:num w:numId="43">
    <w:abstractNumId w:val="19"/>
  </w:num>
  <w:num w:numId="44">
    <w:abstractNumId w:val="35"/>
  </w:num>
  <w:num w:numId="45">
    <w:abstractNumId w:val="20"/>
  </w:num>
  <w:num w:numId="46">
    <w:abstractNumId w:val="2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77"/>
    <w:rsid w:val="00003C58"/>
    <w:rsid w:val="000040E2"/>
    <w:rsid w:val="0001747F"/>
    <w:rsid w:val="0002425A"/>
    <w:rsid w:val="000431AD"/>
    <w:rsid w:val="000614D2"/>
    <w:rsid w:val="00071E19"/>
    <w:rsid w:val="00085C75"/>
    <w:rsid w:val="000902E5"/>
    <w:rsid w:val="000A5B71"/>
    <w:rsid w:val="000A6EE4"/>
    <w:rsid w:val="000B32C1"/>
    <w:rsid w:val="000B3B32"/>
    <w:rsid w:val="000B7CA0"/>
    <w:rsid w:val="000D28A0"/>
    <w:rsid w:val="000E2503"/>
    <w:rsid w:val="000E2D64"/>
    <w:rsid w:val="000E4606"/>
    <w:rsid w:val="000E69E0"/>
    <w:rsid w:val="000F1279"/>
    <w:rsid w:val="000F6F9D"/>
    <w:rsid w:val="00102972"/>
    <w:rsid w:val="0011174E"/>
    <w:rsid w:val="001234B4"/>
    <w:rsid w:val="001238A9"/>
    <w:rsid w:val="001245A5"/>
    <w:rsid w:val="00134369"/>
    <w:rsid w:val="001456D9"/>
    <w:rsid w:val="0015391F"/>
    <w:rsid w:val="00170517"/>
    <w:rsid w:val="00175497"/>
    <w:rsid w:val="00186D34"/>
    <w:rsid w:val="00194DA3"/>
    <w:rsid w:val="001A7192"/>
    <w:rsid w:val="001B261B"/>
    <w:rsid w:val="001D04E1"/>
    <w:rsid w:val="001D4AC8"/>
    <w:rsid w:val="00205AF6"/>
    <w:rsid w:val="00207687"/>
    <w:rsid w:val="002202CB"/>
    <w:rsid w:val="002318F6"/>
    <w:rsid w:val="00232E83"/>
    <w:rsid w:val="002331C3"/>
    <w:rsid w:val="0023603A"/>
    <w:rsid w:val="00241A0B"/>
    <w:rsid w:val="00266F88"/>
    <w:rsid w:val="002708D2"/>
    <w:rsid w:val="0027699B"/>
    <w:rsid w:val="00276AE4"/>
    <w:rsid w:val="0028393E"/>
    <w:rsid w:val="00290040"/>
    <w:rsid w:val="002B1D7E"/>
    <w:rsid w:val="002C07A3"/>
    <w:rsid w:val="002C36F7"/>
    <w:rsid w:val="002C6604"/>
    <w:rsid w:val="002E0FE2"/>
    <w:rsid w:val="002E39AD"/>
    <w:rsid w:val="002E3E3D"/>
    <w:rsid w:val="00300826"/>
    <w:rsid w:val="003054ED"/>
    <w:rsid w:val="003155E0"/>
    <w:rsid w:val="003203DD"/>
    <w:rsid w:val="00326F89"/>
    <w:rsid w:val="0032743E"/>
    <w:rsid w:val="00331B2E"/>
    <w:rsid w:val="00343ACD"/>
    <w:rsid w:val="00350B21"/>
    <w:rsid w:val="003568A9"/>
    <w:rsid w:val="00361586"/>
    <w:rsid w:val="00361742"/>
    <w:rsid w:val="00361A14"/>
    <w:rsid w:val="00366E7E"/>
    <w:rsid w:val="0038186F"/>
    <w:rsid w:val="00385C7D"/>
    <w:rsid w:val="00390E47"/>
    <w:rsid w:val="00391229"/>
    <w:rsid w:val="003A2878"/>
    <w:rsid w:val="003A4CA0"/>
    <w:rsid w:val="003B135F"/>
    <w:rsid w:val="003C3012"/>
    <w:rsid w:val="003C4840"/>
    <w:rsid w:val="003D6990"/>
    <w:rsid w:val="003E2795"/>
    <w:rsid w:val="003E5310"/>
    <w:rsid w:val="003F0040"/>
    <w:rsid w:val="003F1ECE"/>
    <w:rsid w:val="003F7EFC"/>
    <w:rsid w:val="0040667C"/>
    <w:rsid w:val="00411BCC"/>
    <w:rsid w:val="00422F64"/>
    <w:rsid w:val="00434251"/>
    <w:rsid w:val="00434C3C"/>
    <w:rsid w:val="00440A73"/>
    <w:rsid w:val="0045112D"/>
    <w:rsid w:val="00451C5A"/>
    <w:rsid w:val="0045651B"/>
    <w:rsid w:val="00481173"/>
    <w:rsid w:val="0048347E"/>
    <w:rsid w:val="004A1ADA"/>
    <w:rsid w:val="004A1F19"/>
    <w:rsid w:val="004A4C16"/>
    <w:rsid w:val="004B116F"/>
    <w:rsid w:val="004B694A"/>
    <w:rsid w:val="004D0266"/>
    <w:rsid w:val="004D1A6B"/>
    <w:rsid w:val="004F398A"/>
    <w:rsid w:val="0050573C"/>
    <w:rsid w:val="005103C1"/>
    <w:rsid w:val="00512A76"/>
    <w:rsid w:val="005143AD"/>
    <w:rsid w:val="00540A27"/>
    <w:rsid w:val="00545A5A"/>
    <w:rsid w:val="005522E7"/>
    <w:rsid w:val="00552F46"/>
    <w:rsid w:val="00553F6B"/>
    <w:rsid w:val="00560BCE"/>
    <w:rsid w:val="005616E0"/>
    <w:rsid w:val="00561BC4"/>
    <w:rsid w:val="00563ADE"/>
    <w:rsid w:val="00565708"/>
    <w:rsid w:val="005663D3"/>
    <w:rsid w:val="005720CC"/>
    <w:rsid w:val="00584342"/>
    <w:rsid w:val="005A092C"/>
    <w:rsid w:val="005A1481"/>
    <w:rsid w:val="005D23EE"/>
    <w:rsid w:val="005E1F34"/>
    <w:rsid w:val="005F2913"/>
    <w:rsid w:val="005F4F5E"/>
    <w:rsid w:val="00614986"/>
    <w:rsid w:val="00616B0B"/>
    <w:rsid w:val="006236E3"/>
    <w:rsid w:val="006256F6"/>
    <w:rsid w:val="00626354"/>
    <w:rsid w:val="00640AED"/>
    <w:rsid w:val="00644A68"/>
    <w:rsid w:val="00645BBB"/>
    <w:rsid w:val="0065209C"/>
    <w:rsid w:val="00672484"/>
    <w:rsid w:val="0067470F"/>
    <w:rsid w:val="006812CF"/>
    <w:rsid w:val="00692536"/>
    <w:rsid w:val="00693EF7"/>
    <w:rsid w:val="006970A8"/>
    <w:rsid w:val="006B0812"/>
    <w:rsid w:val="006B0A6A"/>
    <w:rsid w:val="006B2297"/>
    <w:rsid w:val="006B2959"/>
    <w:rsid w:val="006F143A"/>
    <w:rsid w:val="006F32DB"/>
    <w:rsid w:val="0070522E"/>
    <w:rsid w:val="00712D93"/>
    <w:rsid w:val="00717331"/>
    <w:rsid w:val="00741FA3"/>
    <w:rsid w:val="007440E3"/>
    <w:rsid w:val="007447D1"/>
    <w:rsid w:val="00746F7E"/>
    <w:rsid w:val="00760579"/>
    <w:rsid w:val="00766D1E"/>
    <w:rsid w:val="007814D6"/>
    <w:rsid w:val="0078306E"/>
    <w:rsid w:val="00791877"/>
    <w:rsid w:val="007B07F6"/>
    <w:rsid w:val="007B3595"/>
    <w:rsid w:val="007B4D21"/>
    <w:rsid w:val="007C53FF"/>
    <w:rsid w:val="007D19D7"/>
    <w:rsid w:val="007D6D34"/>
    <w:rsid w:val="007E3B37"/>
    <w:rsid w:val="007E561E"/>
    <w:rsid w:val="007E63EE"/>
    <w:rsid w:val="007E646F"/>
    <w:rsid w:val="007E6E77"/>
    <w:rsid w:val="007F32D6"/>
    <w:rsid w:val="00803C34"/>
    <w:rsid w:val="00811EBE"/>
    <w:rsid w:val="00811EE8"/>
    <w:rsid w:val="00813032"/>
    <w:rsid w:val="008148FC"/>
    <w:rsid w:val="0082291E"/>
    <w:rsid w:val="00823F77"/>
    <w:rsid w:val="00826B90"/>
    <w:rsid w:val="00827AFB"/>
    <w:rsid w:val="0085411C"/>
    <w:rsid w:val="00855F40"/>
    <w:rsid w:val="00857BF3"/>
    <w:rsid w:val="008642B6"/>
    <w:rsid w:val="00865639"/>
    <w:rsid w:val="008750F7"/>
    <w:rsid w:val="00894687"/>
    <w:rsid w:val="008A27D9"/>
    <w:rsid w:val="008B4FF6"/>
    <w:rsid w:val="008C3194"/>
    <w:rsid w:val="008C76EE"/>
    <w:rsid w:val="008D0235"/>
    <w:rsid w:val="008D0A84"/>
    <w:rsid w:val="008D5939"/>
    <w:rsid w:val="008E3299"/>
    <w:rsid w:val="008F1CE6"/>
    <w:rsid w:val="008F5085"/>
    <w:rsid w:val="0090598C"/>
    <w:rsid w:val="00906DA7"/>
    <w:rsid w:val="00913F32"/>
    <w:rsid w:val="00915908"/>
    <w:rsid w:val="00915F41"/>
    <w:rsid w:val="0092030B"/>
    <w:rsid w:val="009465E3"/>
    <w:rsid w:val="0095277E"/>
    <w:rsid w:val="0095331A"/>
    <w:rsid w:val="00953E2E"/>
    <w:rsid w:val="00955E1A"/>
    <w:rsid w:val="00956571"/>
    <w:rsid w:val="00960D74"/>
    <w:rsid w:val="00961949"/>
    <w:rsid w:val="00990D02"/>
    <w:rsid w:val="009A42A1"/>
    <w:rsid w:val="009A7E00"/>
    <w:rsid w:val="009D194F"/>
    <w:rsid w:val="009D1A5C"/>
    <w:rsid w:val="009D4F22"/>
    <w:rsid w:val="009D50B1"/>
    <w:rsid w:val="009E4ACA"/>
    <w:rsid w:val="009F310A"/>
    <w:rsid w:val="00A03C67"/>
    <w:rsid w:val="00A03D3D"/>
    <w:rsid w:val="00A21D3D"/>
    <w:rsid w:val="00A40670"/>
    <w:rsid w:val="00A4204B"/>
    <w:rsid w:val="00A42F9D"/>
    <w:rsid w:val="00A52BA9"/>
    <w:rsid w:val="00A54323"/>
    <w:rsid w:val="00A604D5"/>
    <w:rsid w:val="00A63288"/>
    <w:rsid w:val="00A63C4D"/>
    <w:rsid w:val="00A66933"/>
    <w:rsid w:val="00A731BE"/>
    <w:rsid w:val="00A9570B"/>
    <w:rsid w:val="00A96C0E"/>
    <w:rsid w:val="00AA1975"/>
    <w:rsid w:val="00AB45BA"/>
    <w:rsid w:val="00AC1B3D"/>
    <w:rsid w:val="00AC212A"/>
    <w:rsid w:val="00AD4B8A"/>
    <w:rsid w:val="00B004D1"/>
    <w:rsid w:val="00B01696"/>
    <w:rsid w:val="00B035E4"/>
    <w:rsid w:val="00B05911"/>
    <w:rsid w:val="00B05D77"/>
    <w:rsid w:val="00B109CF"/>
    <w:rsid w:val="00B177BA"/>
    <w:rsid w:val="00B2230D"/>
    <w:rsid w:val="00B22A25"/>
    <w:rsid w:val="00B470CC"/>
    <w:rsid w:val="00B50683"/>
    <w:rsid w:val="00B5686E"/>
    <w:rsid w:val="00B620A4"/>
    <w:rsid w:val="00B82CC9"/>
    <w:rsid w:val="00B84DEA"/>
    <w:rsid w:val="00B9758C"/>
    <w:rsid w:val="00BA4154"/>
    <w:rsid w:val="00BA6ACA"/>
    <w:rsid w:val="00BB7669"/>
    <w:rsid w:val="00BC0139"/>
    <w:rsid w:val="00BC0D87"/>
    <w:rsid w:val="00C100A8"/>
    <w:rsid w:val="00C103B6"/>
    <w:rsid w:val="00C119DD"/>
    <w:rsid w:val="00C141B2"/>
    <w:rsid w:val="00C167FD"/>
    <w:rsid w:val="00C17098"/>
    <w:rsid w:val="00C249B2"/>
    <w:rsid w:val="00C31006"/>
    <w:rsid w:val="00C31900"/>
    <w:rsid w:val="00C32F46"/>
    <w:rsid w:val="00C70AA1"/>
    <w:rsid w:val="00C74ABE"/>
    <w:rsid w:val="00C8064E"/>
    <w:rsid w:val="00C86A7F"/>
    <w:rsid w:val="00CB0347"/>
    <w:rsid w:val="00CB3873"/>
    <w:rsid w:val="00CC0067"/>
    <w:rsid w:val="00CC5F6C"/>
    <w:rsid w:val="00CD0CF1"/>
    <w:rsid w:val="00CD22F9"/>
    <w:rsid w:val="00CD5023"/>
    <w:rsid w:val="00CE4A44"/>
    <w:rsid w:val="00CF1522"/>
    <w:rsid w:val="00CF72E4"/>
    <w:rsid w:val="00D00528"/>
    <w:rsid w:val="00D1390C"/>
    <w:rsid w:val="00D336F5"/>
    <w:rsid w:val="00D40E97"/>
    <w:rsid w:val="00D44A30"/>
    <w:rsid w:val="00D55628"/>
    <w:rsid w:val="00D60F94"/>
    <w:rsid w:val="00D61E0B"/>
    <w:rsid w:val="00D75AC8"/>
    <w:rsid w:val="00D80EC4"/>
    <w:rsid w:val="00D81E09"/>
    <w:rsid w:val="00D876C1"/>
    <w:rsid w:val="00D87B3B"/>
    <w:rsid w:val="00D908F4"/>
    <w:rsid w:val="00DA333A"/>
    <w:rsid w:val="00DC0798"/>
    <w:rsid w:val="00DC31D9"/>
    <w:rsid w:val="00DC6D42"/>
    <w:rsid w:val="00DC78B6"/>
    <w:rsid w:val="00DC7F01"/>
    <w:rsid w:val="00DE0E98"/>
    <w:rsid w:val="00DE2F61"/>
    <w:rsid w:val="00E17E76"/>
    <w:rsid w:val="00E25CFF"/>
    <w:rsid w:val="00E26E54"/>
    <w:rsid w:val="00E5144C"/>
    <w:rsid w:val="00E64034"/>
    <w:rsid w:val="00E81AFD"/>
    <w:rsid w:val="00E84042"/>
    <w:rsid w:val="00EA0F63"/>
    <w:rsid w:val="00EA7604"/>
    <w:rsid w:val="00EB023D"/>
    <w:rsid w:val="00EB34EA"/>
    <w:rsid w:val="00EC1651"/>
    <w:rsid w:val="00EC3EAA"/>
    <w:rsid w:val="00EC7127"/>
    <w:rsid w:val="00ED2E13"/>
    <w:rsid w:val="00F04CB2"/>
    <w:rsid w:val="00F17DC9"/>
    <w:rsid w:val="00F26017"/>
    <w:rsid w:val="00F34A01"/>
    <w:rsid w:val="00F35026"/>
    <w:rsid w:val="00F3657E"/>
    <w:rsid w:val="00F55812"/>
    <w:rsid w:val="00F712FF"/>
    <w:rsid w:val="00F72711"/>
    <w:rsid w:val="00F73814"/>
    <w:rsid w:val="00F936B6"/>
    <w:rsid w:val="00FC78AA"/>
    <w:rsid w:val="00FD1047"/>
    <w:rsid w:val="00FE27F8"/>
    <w:rsid w:val="00FF07D7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D7FFFFD4-E0F7-4986-BF75-4B8D804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omente">
    <w:name w:val="annotation text"/>
    <w:basedOn w:val="Standard"/>
    <w:uiPriority w:val="9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act">
    <w:name w:val="Contact"/>
    <w:basedOn w:val="Standar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Standard"/>
    <w:p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773"/>
      </w:tabs>
      <w:spacing w:before="240" w:after="120" w:line="240" w:lineRule="auto"/>
      <w:ind w:left="1132"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rmin">
    <w:name w:val="Termin"/>
    <w:basedOn w:val="Standard"/>
    <w:pPr>
      <w:spacing w:before="60" w:after="60" w:line="240" w:lineRule="auto"/>
      <w:ind w:left="709" w:hanging="709"/>
      <w:jc w:val="both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Nadpis1Char">
    <w:name w:val="Nadpis 1 Char"/>
    <w:rPr>
      <w:rFonts w:ascii="Cambria" w:hAnsi="Cambria" w:cs="F"/>
      <w:b/>
      <w:bCs/>
      <w:color w:val="365F91"/>
      <w:sz w:val="28"/>
      <w:szCs w:val="28"/>
    </w:rPr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4FB4-4C18-49F9-9842-295212AD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3196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Šlemrová Denisa ()</dc:creator>
  <cp:keywords/>
  <cp:lastModifiedBy>Škréta Martin (MHMP, FON)</cp:lastModifiedBy>
  <cp:revision>13</cp:revision>
  <dcterms:created xsi:type="dcterms:W3CDTF">2016-07-01T06:20:00Z</dcterms:created>
  <dcterms:modified xsi:type="dcterms:W3CDTF">2016-12-08T11:07:00Z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