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F0" w:rsidRDefault="00A855F0" w:rsidP="00314992">
      <w:pPr>
        <w:pStyle w:val="Termin"/>
        <w:keepNext/>
        <w:tabs>
          <w:tab w:val="left" w:pos="7230"/>
          <w:tab w:val="left" w:pos="8080"/>
        </w:tabs>
        <w:ind w:left="0" w:firstLine="0"/>
        <w:rPr>
          <w:b/>
          <w:sz w:val="20"/>
          <w:szCs w:val="20"/>
        </w:rPr>
      </w:pPr>
      <w:bookmarkStart w:id="0" w:name="_GoBack"/>
      <w:bookmarkEnd w:id="0"/>
    </w:p>
    <w:p w:rsidR="00DC6D42" w:rsidRPr="00DC6D42" w:rsidRDefault="00A855F0" w:rsidP="00314992">
      <w:pPr>
        <w:pStyle w:val="Termin"/>
        <w:keepNext/>
        <w:tabs>
          <w:tab w:val="left" w:pos="7230"/>
          <w:tab w:val="left" w:pos="8080"/>
        </w:tabs>
        <w:ind w:left="0" w:firstLine="0"/>
        <w:rPr>
          <w:sz w:val="20"/>
        </w:rPr>
      </w:pPr>
      <w:r w:rsidRPr="0065177A">
        <w:rPr>
          <w:b/>
          <w:sz w:val="20"/>
          <w:szCs w:val="20"/>
        </w:rPr>
        <w:t>Hodnotitel uvede ke každému kritériu jasné a srozumitelné odů</w:t>
      </w:r>
      <w:r>
        <w:rPr>
          <w:b/>
          <w:sz w:val="20"/>
          <w:szCs w:val="20"/>
        </w:rPr>
        <w:t>vodnění výsledku hodnocení.</w:t>
      </w:r>
    </w:p>
    <w:p w:rsidR="0065177A" w:rsidRPr="0065177A" w:rsidRDefault="008B4812" w:rsidP="00A855F0">
      <w:pPr>
        <w:pStyle w:val="Termin"/>
        <w:keepNext/>
        <w:tabs>
          <w:tab w:val="left" w:pos="7230"/>
          <w:tab w:val="left" w:pos="8080"/>
        </w:tabs>
        <w:rPr>
          <w:b/>
          <w:sz w:val="20"/>
          <w:szCs w:val="20"/>
        </w:rPr>
      </w:pPr>
      <w:r w:rsidRPr="0065177A">
        <w:rPr>
          <w:b/>
          <w:sz w:val="20"/>
          <w:szCs w:val="20"/>
        </w:rPr>
        <w:t>Kombinovaná kritéria – pokud získá projekt v kombinovaném kritériu 0 bodů, je projekt ze schvalovacího procesu vyloučen</w:t>
      </w:r>
    </w:p>
    <w:tbl>
      <w:tblPr>
        <w:tblW w:w="160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379"/>
        <w:gridCol w:w="1134"/>
        <w:gridCol w:w="992"/>
        <w:gridCol w:w="4252"/>
        <w:gridCol w:w="709"/>
        <w:gridCol w:w="1026"/>
      </w:tblGrid>
      <w:tr w:rsidR="00447769" w:rsidTr="00420C6B">
        <w:trPr>
          <w:cantSplit/>
          <w:trHeight w:val="716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Default="00447769" w:rsidP="0044776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Popis hodnocení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176985">
              <w:rPr>
                <w:b/>
                <w:bCs/>
                <w:sz w:val="20"/>
                <w:szCs w:val="20"/>
              </w:rPr>
              <w:t>Body za jedn</w:t>
            </w:r>
            <w:r>
              <w:rPr>
                <w:b/>
                <w:bCs/>
                <w:sz w:val="20"/>
                <w:szCs w:val="20"/>
              </w:rPr>
              <w:t xml:space="preserve">otlivá </w:t>
            </w:r>
            <w:r w:rsidRPr="00176985">
              <w:rPr>
                <w:b/>
                <w:bCs/>
                <w:sz w:val="20"/>
                <w:szCs w:val="20"/>
              </w:rPr>
              <w:t>kritéria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47769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Způsob</w:t>
            </w:r>
            <w:r>
              <w:rPr>
                <w:b/>
                <w:bCs/>
                <w:sz w:val="20"/>
                <w:szCs w:val="20"/>
              </w:rPr>
              <w:br/>
              <w:t>hodnocení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Zdroj informací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47769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Funkce </w:t>
            </w:r>
          </w:p>
          <w:p w:rsidR="00447769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kritéria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47769" w:rsidRDefault="00447769" w:rsidP="005C63F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Příslušný hodnotitel</w:t>
            </w:r>
          </w:p>
        </w:tc>
      </w:tr>
      <w:tr w:rsidR="009278AF" w:rsidTr="003302E9">
        <w:trPr>
          <w:cantSplit/>
          <w:trHeight w:val="454"/>
        </w:trPr>
        <w:tc>
          <w:tcPr>
            <w:tcW w:w="160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AF" w:rsidRDefault="009278AF" w:rsidP="00314992">
            <w:pPr>
              <w:pStyle w:val="Standard"/>
              <w:tabs>
                <w:tab w:val="left" w:pos="7230"/>
              </w:tabs>
              <w:spacing w:after="0" w:line="240" w:lineRule="auto"/>
              <w:ind w:right="27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POTŘEBNOST</w:t>
            </w:r>
          </w:p>
        </w:tc>
      </w:tr>
      <w:tr w:rsidR="007C6298" w:rsidRPr="00890F7B" w:rsidTr="000C5408">
        <w:trPr>
          <w:trHeight w:val="21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Pr="00D40E97" w:rsidRDefault="007C6298" w:rsidP="000C5408">
            <w:pPr>
              <w:tabs>
                <w:tab w:val="left" w:pos="7230"/>
              </w:tabs>
              <w:rPr>
                <w:sz w:val="20"/>
              </w:rPr>
            </w:pPr>
            <w:r w:rsidRPr="00D40E97">
              <w:rPr>
                <w:sz w:val="20"/>
              </w:rPr>
              <w:t>1. Potřebnost projektu</w:t>
            </w:r>
          </w:p>
          <w:p w:rsidR="007C6298" w:rsidRPr="00890F7B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Potřeba realizace projektu je prokazatelně doložena</w:t>
            </w:r>
            <w:r>
              <w:rPr>
                <w:sz w:val="20"/>
                <w:szCs w:val="20"/>
              </w:rPr>
              <w:t xml:space="preserve"> zpracovanou analýzou výchozí situace školy či vzdělávacího zařízení. Byl prokázán nedostatek potřebné infrastruktury a požadovaného vybavení školy/škol/vzdělávacího zařízení.  Projekt jednoznačně přispívá k zajištění rovného přístupu ke kvalitní vzdělávací infrastruktuře a k rovnoměrnému rozvoji mateřských, základních a středních škol v Praze. Projekt je v souladu se strategickými dokumenty v oblasti vzdělávání (např. </w:t>
            </w:r>
            <w:r w:rsidRPr="000628C8">
              <w:rPr>
                <w:sz w:val="20"/>
                <w:szCs w:val="20"/>
              </w:rPr>
              <w:t>Dlouhodobým záměrem vzdělávání a rozvoje vzdělávací soustavy ČR na období 2015-2020</w:t>
            </w:r>
            <w:r>
              <w:rPr>
                <w:sz w:val="20"/>
                <w:szCs w:val="20"/>
              </w:rPr>
              <w:t xml:space="preserve">, </w:t>
            </w:r>
            <w:r w:rsidRPr="000628C8">
              <w:rPr>
                <w:sz w:val="20"/>
                <w:szCs w:val="20"/>
              </w:rPr>
              <w:t>Akčním plánem inkluzivního vzdělávání na roky 2016-2018</w:t>
            </w:r>
            <w:r>
              <w:rPr>
                <w:sz w:val="20"/>
                <w:szCs w:val="20"/>
              </w:rPr>
              <w:t>, dlouhodobým záměrem rozvoje městské části aj.).</w:t>
            </w:r>
          </w:p>
          <w:p w:rsidR="007C6298" w:rsidRPr="00FD0321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36E54">
              <w:rPr>
                <w:sz w:val="20"/>
                <w:szCs w:val="20"/>
              </w:rPr>
              <w:t>Zdůvodnění potřebnosti projektu je v souladu s identifikovanými potřebami a přínosy pro cílovou skupinu.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Pr="006D06FE" w:rsidRDefault="007C6298" w:rsidP="00536E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D06FE">
              <w:rPr>
                <w:bCs/>
                <w:sz w:val="20"/>
                <w:szCs w:val="20"/>
              </w:rPr>
              <w:t>1</w:t>
            </w:r>
            <w:r w:rsidR="00536E54">
              <w:rPr>
                <w:bCs/>
                <w:sz w:val="20"/>
                <w:szCs w:val="20"/>
              </w:rPr>
              <w:t>5</w:t>
            </w:r>
            <w:r w:rsidRPr="006D06FE">
              <w:rPr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C6298" w:rsidRPr="00890F7B" w:rsidRDefault="007C6298" w:rsidP="00536E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E68BD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36E54">
              <w:rPr>
                <w:b/>
                <w:bCs/>
                <w:sz w:val="20"/>
                <w:szCs w:val="20"/>
              </w:rPr>
              <w:t>5</w:t>
            </w:r>
            <w:r w:rsidRPr="004E68BD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Žádost o podporu, studie proveditelnosti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Žadatel v projektu dostatečně zdůvodní potřebnost realizace projektu, vysvětlí, proč by měl být projekt realizován, proč vznikl a kde jsou jeho hlavní přínosy. Ověření uvedení projektu v seznamu investic Strategického rámce Místního akčního plánu, či Krajského akčního plánu je provedeno v rámci kontroly formálních náležitostí a přijatelnosti. Zároveň by měla být doložena potřebnost projektu na základě dostupnosti infrastruktury na dané škole, případně v okolních školách, s ohledem na plán výuky a intenzitu využití infrastruktury. </w:t>
            </w:r>
          </w:p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Bodové ohodnocení je přiděleno s ohledem na kvalitu analýzy a relevanci dat, z nichž vychází.</w:t>
            </w:r>
          </w:p>
          <w:p w:rsidR="007C6298" w:rsidRDefault="007C6298" w:rsidP="000C5408">
            <w:pPr>
              <w:pStyle w:val="Standard"/>
              <w:spacing w:after="0" w:line="240" w:lineRule="auto"/>
            </w:pPr>
          </w:p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7C6298" w:rsidRPr="00890F7B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C6298" w:rsidRPr="00C37699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7699">
              <w:rPr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C6298" w:rsidRDefault="007C6298" w:rsidP="000C5408">
            <w:pPr>
              <w:pStyle w:val="Standard"/>
              <w:spacing w:after="0" w:line="240" w:lineRule="auto"/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7C6298" w:rsidRPr="00890F7B" w:rsidTr="00C43A16">
        <w:trPr>
          <w:trHeight w:val="8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Pr="00D40E97" w:rsidRDefault="007C6298" w:rsidP="000C5408">
            <w:pPr>
              <w:tabs>
                <w:tab w:val="left" w:pos="7230"/>
              </w:tabs>
              <w:rPr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 xml:space="preserve">Potřeba realizace projektu je </w:t>
            </w:r>
            <w:r>
              <w:rPr>
                <w:sz w:val="20"/>
                <w:szCs w:val="20"/>
              </w:rPr>
              <w:t xml:space="preserve">částečně </w:t>
            </w:r>
            <w:r w:rsidRPr="00890F7B">
              <w:rPr>
                <w:sz w:val="20"/>
                <w:szCs w:val="20"/>
              </w:rPr>
              <w:t>doložena</w:t>
            </w:r>
            <w:r>
              <w:rPr>
                <w:sz w:val="20"/>
                <w:szCs w:val="20"/>
              </w:rPr>
              <w:t xml:space="preserve"> zpracovanou analýzou výchozí situace školy či vzdělávacího zařízení.  Byl prokázán nedostatek potřebné infrastruktury a požadovaného vybavení školy/škol/vzdělávacího zařízení. Projekt je vhodným příspěvkem k zajištění rovného přístupu ke kvalitní vzdělávací infrastruktuře a k rovnoměrnému rozvoji mateřských, základních a středních škol v Praze. Projekt je v souladu se strategickými dokumenty v oblasti vzdělávání (např. </w:t>
            </w:r>
            <w:r w:rsidRPr="000628C8">
              <w:rPr>
                <w:sz w:val="20"/>
                <w:szCs w:val="20"/>
              </w:rPr>
              <w:t xml:space="preserve">Dlouhodobým záměrem vzdělávání a </w:t>
            </w:r>
            <w:r w:rsidRPr="000628C8">
              <w:rPr>
                <w:sz w:val="20"/>
                <w:szCs w:val="20"/>
              </w:rPr>
              <w:lastRenderedPageBreak/>
              <w:t>rozvoje vzdělávací soustavy ČR na období 2015-2020</w:t>
            </w:r>
            <w:r>
              <w:rPr>
                <w:sz w:val="20"/>
                <w:szCs w:val="20"/>
              </w:rPr>
              <w:t xml:space="preserve">, </w:t>
            </w:r>
            <w:r w:rsidRPr="000628C8">
              <w:rPr>
                <w:sz w:val="20"/>
                <w:szCs w:val="20"/>
              </w:rPr>
              <w:t>Akčním plánem inkluzivního vzdělávání na roky 2016-2018</w:t>
            </w:r>
            <w:r>
              <w:rPr>
                <w:sz w:val="20"/>
                <w:szCs w:val="20"/>
              </w:rPr>
              <w:t>, dlouhodobým záměrem rozvoje městské části aj.).</w:t>
            </w:r>
          </w:p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Zdůvodnění potřebnosti projektu je v souladu s identifikovanými potřebami a přínosy pro cílovou skupinu.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Pr="006D06FE" w:rsidRDefault="00536E54" w:rsidP="000C5408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  <w:r w:rsidR="007C6298" w:rsidRPr="006D06FE">
              <w:rPr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C6298" w:rsidRPr="00FD0321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C6298" w:rsidRDefault="007C6298" w:rsidP="000C540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C6298" w:rsidRPr="00890F7B" w:rsidTr="000C5408">
        <w:trPr>
          <w:trHeight w:val="56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Pr="00890F7B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Zdůvodnění potřebnosti realizace </w:t>
            </w:r>
            <w:r w:rsidRPr="00A909C9">
              <w:rPr>
                <w:rFonts w:cs="Arial"/>
                <w:sz w:val="20"/>
                <w:szCs w:val="20"/>
              </w:rPr>
              <w:t>není doložen</w:t>
            </w:r>
            <w:r>
              <w:rPr>
                <w:rFonts w:cs="Arial"/>
                <w:sz w:val="20"/>
                <w:szCs w:val="20"/>
              </w:rPr>
              <w:t>o</w:t>
            </w:r>
            <w:r w:rsidRPr="00A909C9">
              <w:rPr>
                <w:rFonts w:cs="Arial"/>
                <w:sz w:val="20"/>
                <w:szCs w:val="20"/>
              </w:rPr>
              <w:t xml:space="preserve"> na základě </w:t>
            </w:r>
            <w:r>
              <w:rPr>
                <w:rFonts w:cs="Arial"/>
                <w:sz w:val="20"/>
                <w:szCs w:val="20"/>
              </w:rPr>
              <w:t>relevantních</w:t>
            </w:r>
            <w:r w:rsidRPr="00A909C9">
              <w:rPr>
                <w:rFonts w:cs="Arial"/>
                <w:sz w:val="20"/>
                <w:szCs w:val="20"/>
              </w:rPr>
              <w:t xml:space="preserve"> a podložených údajů. 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edostatek potřebné infrastruktury a požadovaného vybavení školy/škol/vzdělávacího zařízení byl doložen částečně.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Analýza potřebnosti požadované infrastruktury či vybavení vykazuje nedostatky, které však nebrání realizaci projektu. Informace uvedené v žádosti lze částečně akceptovat. </w:t>
            </w:r>
            <w:r>
              <w:rPr>
                <w:sz w:val="20"/>
                <w:szCs w:val="20"/>
              </w:rPr>
              <w:t xml:space="preserve">Projekt je v souladu se strategickými dokumenty v oblasti vzdělávání (např. </w:t>
            </w:r>
            <w:r w:rsidRPr="000628C8">
              <w:rPr>
                <w:sz w:val="20"/>
                <w:szCs w:val="20"/>
              </w:rPr>
              <w:t>Dlouhodobým záměrem vzdělávání a rozvoje vzdělávací soustavy ČR na období 2015-2020</w:t>
            </w:r>
            <w:r>
              <w:rPr>
                <w:sz w:val="20"/>
                <w:szCs w:val="20"/>
              </w:rPr>
              <w:t xml:space="preserve">, </w:t>
            </w:r>
            <w:r w:rsidRPr="000628C8">
              <w:rPr>
                <w:sz w:val="20"/>
                <w:szCs w:val="20"/>
              </w:rPr>
              <w:t>Akčním plánem inkluzivního vzdělávání na roky 2016-2018</w:t>
            </w:r>
            <w:r>
              <w:rPr>
                <w:sz w:val="20"/>
                <w:szCs w:val="20"/>
              </w:rPr>
              <w:t>, dlouhodobým záměrem rozvoje městské části aj.).</w:t>
            </w:r>
          </w:p>
          <w:p w:rsidR="007C6298" w:rsidRPr="00B82AF9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Zdůvodnění potřebnosti projektu je v souladu s identifikovanými potřebami a přínosy pro cílovou skupinu.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Pr="006D06FE" w:rsidRDefault="00536E54" w:rsidP="005464C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7C6298" w:rsidRPr="006D06FE">
              <w:rPr>
                <w:rFonts w:cs="Arial"/>
                <w:sz w:val="20"/>
                <w:szCs w:val="20"/>
              </w:rPr>
              <w:t xml:space="preserve"> </w:t>
            </w:r>
            <w:r w:rsidR="005464C9" w:rsidRPr="006D06FE">
              <w:rPr>
                <w:rFonts w:cs="Arial"/>
                <w:sz w:val="20"/>
                <w:szCs w:val="20"/>
              </w:rPr>
              <w:t>bod</w:t>
            </w:r>
            <w:r w:rsidR="005464C9">
              <w:rPr>
                <w:rFonts w:cs="Arial"/>
                <w:sz w:val="20"/>
                <w:szCs w:val="20"/>
              </w:rPr>
              <w:t>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C6298" w:rsidRPr="00890F7B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8" w:rsidRPr="00890F7B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C6298" w:rsidRPr="00890F7B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C6298" w:rsidRPr="00890F7B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C6298" w:rsidRPr="00890F7B" w:rsidTr="000C5408">
        <w:trPr>
          <w:trHeight w:val="127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Pr="00890F7B" w:rsidRDefault="007C6298" w:rsidP="000C5408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Potřeba realizace projektu nebyla prokázána. I přes uvedení záměru v seznamu investičních priorit Strategického rámce MAP/KAP nebyl v žádosti prokázán nedostatek potřebné infrastruktury či vybavení. </w:t>
            </w:r>
          </w:p>
          <w:p w:rsidR="007C6298" w:rsidRPr="00890F7B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Zdůvodnění potřebnosti projektu není v souladu s identifikovanými potřebami a přínosy pro cílovou skupinu.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8" w:rsidRPr="006D06FE" w:rsidRDefault="007C6298" w:rsidP="000C5408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6D06FE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C6298" w:rsidRPr="00890F7B" w:rsidRDefault="007C6298" w:rsidP="000C5408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8" w:rsidRPr="00890F7B" w:rsidRDefault="007C6298" w:rsidP="000C5408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C6298" w:rsidRPr="00890F7B" w:rsidRDefault="007C6298" w:rsidP="000C5408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C6298" w:rsidRPr="00890F7B" w:rsidRDefault="007C6298" w:rsidP="000C5408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622C36" w:rsidRPr="00890F7B" w:rsidTr="00FD2861">
        <w:trPr>
          <w:cantSplit/>
          <w:trHeight w:val="116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6" w:rsidRPr="00890F7B" w:rsidRDefault="000A55D4" w:rsidP="00622C36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2C36">
              <w:rPr>
                <w:sz w:val="20"/>
                <w:szCs w:val="20"/>
              </w:rPr>
              <w:t>. Cílová skupina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36" w:rsidRPr="00264AD1" w:rsidRDefault="000A55D4" w:rsidP="00622C36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Cílová skupina je jasně vymezena. </w:t>
            </w:r>
            <w:r w:rsidR="00622C3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Potřeby cílové skupiny byly jasně identifikovány, jsou podloženy konkrétními poznatky či analýzami. Projekt přispěje k řešení identifikovaných potřeb. Projekt rozvíjí klíčové kompetence cílové skupiny, resp. je zřejmý přínos pro cílovou skupinu.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6" w:rsidRPr="00D803C4" w:rsidRDefault="00622C36" w:rsidP="00622C3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 bodů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22C36" w:rsidRPr="00890F7B" w:rsidRDefault="00622C36" w:rsidP="00622C3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E188B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CE188B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ů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36" w:rsidRDefault="00622C36" w:rsidP="0090177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Žádost o podporu, studie proveditelnosti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622C36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 žádosti a ve SP je popsána cílová skupina, její velikost a charakteristika. Jsou identifikovány potřeby cílové skupiny.  Projekt navazuje na tyto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potřeby. Hodnotí se také přínos pro cílovou skupinu (z hlediska rozvoje klíčových kompetencí individuální podpory žáků s</w:t>
            </w:r>
            <w:r w:rsidR="00122402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e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 SVP,</w:t>
            </w:r>
            <w:r w:rsidR="000A55D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podpory inkluzivního vzdělávání</w:t>
            </w:r>
            <w:r w:rsidR="000A55D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a občanských a sociálních kompetencí dětí a žáků apod. dle zaměření výzvy).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  </w:t>
            </w:r>
          </w:p>
          <w:p w:rsidR="00622C36" w:rsidRDefault="00622C36" w:rsidP="00901775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622C36" w:rsidRPr="00890F7B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C36" w:rsidRPr="00C37699" w:rsidRDefault="00622C36" w:rsidP="00622C36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C37699">
              <w:rPr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36" w:rsidRDefault="00622C36" w:rsidP="000C5408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622C36" w:rsidRPr="00890F7B" w:rsidTr="007248AD">
        <w:trPr>
          <w:cantSplit/>
          <w:trHeight w:val="7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6" w:rsidRDefault="00622C36" w:rsidP="0090177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36" w:rsidRDefault="000A55D4" w:rsidP="0012240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Cílová skupina je jasně vymezena. </w:t>
            </w:r>
            <w:r w:rsidR="00622C3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Potřeby cílové skupiny byly jasně identifikovány, </w:t>
            </w:r>
            <w:r w:rsidR="00B9440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ale nebyly </w:t>
            </w:r>
            <w:r w:rsidR="00622C3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podloženy konkrétními poznatky či analýzami. Projekt přispěje k řešení identifikovaných potřeb.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Projekt </w:t>
            </w:r>
            <w:r w:rsidR="001224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přispívá k rozvoji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klíčov</w:t>
            </w:r>
            <w:r w:rsidR="001224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ých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kompetenc</w:t>
            </w:r>
            <w:r w:rsidR="0012240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í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cílové skupiny, resp. je zřejmý přínos pro cílovou skupinu.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6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22C36" w:rsidRPr="00CE188B" w:rsidRDefault="00622C36" w:rsidP="00901775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36" w:rsidRPr="00890F7B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C36" w:rsidRPr="00C37699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36" w:rsidRDefault="00622C36" w:rsidP="000C5408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22C36" w:rsidRPr="00890F7B" w:rsidTr="000C5408">
        <w:trPr>
          <w:cantSplit/>
          <w:trHeight w:val="7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6" w:rsidRDefault="00622C36" w:rsidP="0090177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36" w:rsidRDefault="00622C36" w:rsidP="008E33B7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Potřeby byly doloženy a zmapovány jen částečně. Identifikované potřeby nebyly dostatečně podloženy konkrétními poznatky. Projekt na identifikované potřeby reaguje jen nepřímo, realizací projektu nebudou identifikované potřeby cílové skupiny </w:t>
            </w:r>
            <w:r w:rsidR="000A55D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dostatečně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uspokojeny.</w:t>
            </w:r>
            <w:r w:rsidR="000A55D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Přínos pro cílovou skupinu je </w:t>
            </w:r>
            <w:r w:rsidR="008E33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postačující</w:t>
            </w:r>
            <w:r w:rsidR="000A55D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6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22C36" w:rsidRPr="00CE188B" w:rsidRDefault="00622C36" w:rsidP="00901775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36" w:rsidRPr="00890F7B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C36" w:rsidRPr="00C37699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36" w:rsidRDefault="00622C36" w:rsidP="000C5408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22C36" w:rsidRPr="00890F7B" w:rsidTr="00FD2861">
        <w:trPr>
          <w:cantSplit/>
          <w:trHeight w:val="134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6" w:rsidRDefault="00622C36" w:rsidP="0090177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36" w:rsidRDefault="00C0180E" w:rsidP="000A55D4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 žádosti není uvedena velikost </w:t>
            </w:r>
            <w:r w:rsidR="000F5D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a popis cílové skupiny. Cílová skupina není vhodně zvolena. </w:t>
            </w:r>
            <w:r w:rsidR="00622C3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Potřeby cílové skupiny nejsou doloženy. Realizace projektu nepřispěje k řešení potřeb cílových skupin. </w:t>
            </w:r>
            <w:r w:rsidR="000A55D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Projekt řeší problém, který už je vyřešen nebo je řešen jiným způsobem. Realizace projektu nemá přínos pro cílovou skupinu. Přínos pro cílovou skupinu je minimální nebo žádný.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6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22C36" w:rsidRPr="00CE188B" w:rsidRDefault="00622C36" w:rsidP="00901775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36" w:rsidRPr="00890F7B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C36" w:rsidRPr="00C37699" w:rsidRDefault="00622C36" w:rsidP="000C5408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36" w:rsidRDefault="00622C36" w:rsidP="000C5408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34DF6" w:rsidRPr="00890F7B" w:rsidTr="00934DF6">
        <w:trPr>
          <w:cantSplit/>
          <w:trHeight w:val="390"/>
        </w:trPr>
        <w:tc>
          <w:tcPr>
            <w:tcW w:w="160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DF6" w:rsidRDefault="00934D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ÚČELNOST</w:t>
            </w:r>
          </w:p>
        </w:tc>
      </w:tr>
      <w:tr w:rsidR="00933965" w:rsidRPr="00890F7B" w:rsidTr="00420C6B">
        <w:trPr>
          <w:cantSplit/>
          <w:trHeight w:val="56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1D20C8" w:rsidRDefault="000A55D4" w:rsidP="00951BFA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="00951BFA" w:rsidRPr="00951BFA">
              <w:rPr>
                <w:sz w:val="20"/>
                <w:szCs w:val="20"/>
              </w:rPr>
              <w:t>. Využití výstupů více školami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Default="00951BFA" w:rsidP="00951BFA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Výstupy využije 4 nebo 5 škol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6D06FE" w:rsidRDefault="00951BFA" w:rsidP="00DD244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3965" w:rsidRPr="006D06FE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3965" w:rsidRPr="00890F7B" w:rsidRDefault="00933965" w:rsidP="00951BF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D0321">
              <w:rPr>
                <w:b/>
                <w:bCs/>
                <w:sz w:val="20"/>
                <w:szCs w:val="20"/>
              </w:rPr>
              <w:t xml:space="preserve">Max. </w:t>
            </w:r>
            <w:r w:rsidR="00951BF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0321">
              <w:rPr>
                <w:b/>
                <w:bCs/>
                <w:sz w:val="20"/>
                <w:szCs w:val="20"/>
              </w:rPr>
              <w:t>bodů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Default="00933965" w:rsidP="00DD2440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 w:rsidR="00BF6EC4">
              <w:rPr>
                <w:b/>
                <w:bCs/>
                <w:i/>
                <w:iCs/>
                <w:sz w:val="20"/>
                <w:szCs w:val="20"/>
              </w:rPr>
              <w:t xml:space="preserve"> o podporu, </w:t>
            </w: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294C66" w:rsidRPr="00DD2440" w:rsidRDefault="00951BFA" w:rsidP="00AD4120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Žadatel v projektu prokázal zapojení dalších škol </w:t>
            </w:r>
            <w:r w:rsidR="00CA5274">
              <w:rPr>
                <w:bCs/>
                <w:i/>
                <w:iCs/>
                <w:sz w:val="20"/>
                <w:szCs w:val="20"/>
              </w:rPr>
              <w:t>při</w:t>
            </w:r>
            <w:r>
              <w:rPr>
                <w:bCs/>
                <w:i/>
                <w:iCs/>
                <w:sz w:val="20"/>
                <w:szCs w:val="20"/>
              </w:rPr>
              <w:t xml:space="preserve"> využití podpořené infrastruktury</w:t>
            </w:r>
            <w:r w:rsidR="00FF51BB">
              <w:rPr>
                <w:bCs/>
                <w:i/>
                <w:iCs/>
                <w:sz w:val="20"/>
                <w:szCs w:val="20"/>
              </w:rPr>
              <w:t xml:space="preserve"> či zařízení a vybavení</w:t>
            </w:r>
            <w:r>
              <w:rPr>
                <w:bCs/>
                <w:i/>
                <w:iCs/>
                <w:sz w:val="20"/>
                <w:szCs w:val="20"/>
              </w:rPr>
              <w:t xml:space="preserve">. Oslovení, motivace a rozsah zapojení škol </w:t>
            </w:r>
            <w:r w:rsidR="00AD4120">
              <w:rPr>
                <w:bCs/>
                <w:i/>
                <w:iCs/>
                <w:sz w:val="20"/>
                <w:szCs w:val="20"/>
              </w:rPr>
              <w:t>j</w:t>
            </w:r>
            <w:r>
              <w:rPr>
                <w:bCs/>
                <w:i/>
                <w:iCs/>
                <w:sz w:val="20"/>
                <w:szCs w:val="20"/>
              </w:rPr>
              <w:t>sou z projektu zcela zřejmé.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933965" w:rsidRPr="00294C66" w:rsidRDefault="00294C66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t>H</w:t>
            </w:r>
            <w:r w:rsidRPr="00C37699">
              <w:rPr>
                <w:sz w:val="20"/>
                <w:szCs w:val="20"/>
              </w:rPr>
              <w:t>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33965" w:rsidRDefault="00933965" w:rsidP="001C7304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933965" w:rsidRPr="00890F7B" w:rsidTr="00951BFA">
        <w:trPr>
          <w:cantSplit/>
          <w:trHeight w:val="51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1D20C8" w:rsidRDefault="00933965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Default="00951BFA" w:rsidP="00951BFA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Výstupy využijí 2 nebo 3 školy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6D06FE" w:rsidRDefault="00951BFA" w:rsidP="005464C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3965" w:rsidRPr="006D06FE">
              <w:rPr>
                <w:sz w:val="20"/>
                <w:szCs w:val="20"/>
              </w:rPr>
              <w:t xml:space="preserve"> </w:t>
            </w:r>
            <w:r w:rsidR="005464C9" w:rsidRPr="006D06FE">
              <w:rPr>
                <w:sz w:val="20"/>
                <w:szCs w:val="20"/>
              </w:rPr>
              <w:t>bod</w:t>
            </w:r>
            <w:r w:rsidR="005464C9">
              <w:rPr>
                <w:sz w:val="20"/>
                <w:szCs w:val="20"/>
              </w:rPr>
              <w:t>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3965" w:rsidRPr="00890F7B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Pr="00890F7B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C37699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890F7B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51BFA" w:rsidRPr="00890F7B" w:rsidTr="00951BFA">
        <w:trPr>
          <w:cantSplit/>
          <w:trHeight w:val="54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1D20C8" w:rsidRDefault="00951BFA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0C540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Výstupy využije 1 škola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6D06FE" w:rsidRDefault="00951BFA" w:rsidP="00202F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D06FE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51BFA" w:rsidRPr="00C37699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E00A63" w:rsidRPr="00890F7B" w:rsidTr="00884E8E">
        <w:trPr>
          <w:cantSplit/>
          <w:trHeight w:val="1310"/>
        </w:trPr>
        <w:tc>
          <w:tcPr>
            <w:tcW w:w="15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A63" w:rsidRPr="00B70772" w:rsidRDefault="00E00A63" w:rsidP="003A0D57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4. Využití výstupů cílovou skupinou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63" w:rsidRDefault="00E00A63" w:rsidP="002A749A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sz w:val="20"/>
                <w:szCs w:val="20"/>
              </w:rPr>
            </w:pPr>
            <w:r w:rsidRPr="00F37318">
              <w:rPr>
                <w:sz w:val="20"/>
                <w:szCs w:val="20"/>
              </w:rPr>
              <w:t>Rozsah a intenzita využití výstupů (podpořené infrastruktury či vybavení) jsou v žádosti či ve studii proveditelnosti popsány a prokázány velmi dobře. Výstupy budou využity cílovou skupinou v maximálním možném rozsahu a intenzitě.  Vzdělávací obsah je připraven, pedagogičtí či odborní pracovníci mají příslušné kompetence k využití dané infrastruktury či vybavení.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00A63" w:rsidRPr="006D06FE" w:rsidRDefault="00E00A63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D06FE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00A63" w:rsidRPr="008D4C89" w:rsidRDefault="00E00A63" w:rsidP="00294C6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E68BD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E68BD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00A63" w:rsidRDefault="00E00A63" w:rsidP="008E33B7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</w:t>
            </w:r>
          </w:p>
          <w:p w:rsidR="00E00A63" w:rsidRDefault="00E00A63" w:rsidP="008E33B7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Žadatel doložil rozsah a intenzita využití podpořené infrastruktury. Dle typu výstupů je využití výstupů posuzováno s ohledem na školní vzdělávací program, oborová specifika, plány výuky, velikost cílové skupiny, připravenost vzdělávacího obsahu a pedagogických či odborných pracovníků.</w:t>
            </w:r>
          </w:p>
          <w:p w:rsidR="00E00A63" w:rsidRDefault="00E00A63" w:rsidP="008E33B7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Pokud projekt zahrnuje pouze fyzickou dostupnost a bezbariérové úpravy, je v tomto kritériu posuzováno využití cílovou skupinou jako velmi dobré, pokud je ve studii proveditelnosti adekvátně popsáno.</w:t>
            </w:r>
          </w:p>
          <w:p w:rsidR="00E00A63" w:rsidRDefault="00E00A63" w:rsidP="00AE3425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00A63" w:rsidRPr="00C37699" w:rsidRDefault="00E00A63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t>H</w:t>
            </w:r>
            <w:r w:rsidRPr="00C37699">
              <w:rPr>
                <w:sz w:val="20"/>
                <w:szCs w:val="20"/>
              </w:rPr>
              <w:t>odnotící</w:t>
            </w:r>
          </w:p>
        </w:tc>
        <w:tc>
          <w:tcPr>
            <w:tcW w:w="10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00A63" w:rsidRPr="001D683A" w:rsidRDefault="00E00A63" w:rsidP="001C7304">
            <w:pPr>
              <w:pStyle w:val="Standard"/>
              <w:spacing w:after="0" w:line="240" w:lineRule="auto"/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E00A63" w:rsidRPr="00890F7B" w:rsidTr="00420C6B">
        <w:trPr>
          <w:cantSplit/>
          <w:trHeight w:val="839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A63" w:rsidRPr="001D20C8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63" w:rsidRPr="002A749A" w:rsidRDefault="00E00A63" w:rsidP="00E6194F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sz w:val="20"/>
                <w:szCs w:val="20"/>
              </w:rPr>
            </w:pPr>
            <w:r w:rsidRPr="00E00A63">
              <w:rPr>
                <w:sz w:val="20"/>
                <w:szCs w:val="20"/>
              </w:rPr>
              <w:t xml:space="preserve">Rozsah a intenzita využití výstupů (podpořené infrastruktury či vybavení) </w:t>
            </w:r>
            <w:r w:rsidRPr="000705A6">
              <w:rPr>
                <w:sz w:val="20"/>
                <w:szCs w:val="20"/>
              </w:rPr>
              <w:t>jsou v žádosti či ve studii proveditelnosti popsán</w:t>
            </w:r>
            <w:r w:rsidRPr="006047E2">
              <w:rPr>
                <w:sz w:val="20"/>
                <w:szCs w:val="20"/>
              </w:rPr>
              <w:t>y a prokázány na dobré úrovni. Využití výstupů cílovou skupinou odpovídá ŠVP</w:t>
            </w:r>
            <w:r w:rsidRPr="002A749A">
              <w:rPr>
                <w:sz w:val="20"/>
                <w:szCs w:val="20"/>
              </w:rPr>
              <w:t xml:space="preserve"> (oborovým specifikům, aj.).</w:t>
            </w:r>
          </w:p>
          <w:p w:rsidR="00E00A63" w:rsidRPr="00E00A63" w:rsidRDefault="00E00A63" w:rsidP="002A749A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sz w:val="20"/>
                <w:szCs w:val="20"/>
              </w:rPr>
            </w:pPr>
            <w:r w:rsidRPr="002A749A">
              <w:rPr>
                <w:sz w:val="20"/>
                <w:szCs w:val="20"/>
              </w:rPr>
              <w:t>Žadatel počítá s přípravou vzdělávacího obsahu a proškolením pracovníků před zahájením výuky.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00A63" w:rsidRPr="006D06FE" w:rsidRDefault="00E00A63" w:rsidP="00294C6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D06FE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0A63" w:rsidRPr="00890F7B" w:rsidTr="00420C6B">
        <w:trPr>
          <w:cantSplit/>
          <w:trHeight w:val="85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A63" w:rsidRPr="001D20C8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63" w:rsidRPr="002A749A" w:rsidRDefault="00E00A63" w:rsidP="00E6194F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sz w:val="20"/>
                <w:szCs w:val="20"/>
              </w:rPr>
            </w:pPr>
            <w:r w:rsidRPr="00E00A63">
              <w:rPr>
                <w:sz w:val="20"/>
                <w:szCs w:val="20"/>
              </w:rPr>
              <w:t xml:space="preserve">Rozsah a intenzita využití výstupů jsou v žádosti či ve studii proveditelnosti </w:t>
            </w:r>
            <w:r w:rsidRPr="000705A6">
              <w:rPr>
                <w:sz w:val="20"/>
                <w:szCs w:val="20"/>
              </w:rPr>
              <w:t>prokázány pouze částečně. Využití výstupů cílovou skupinou je ve vztahu k ŠVP (oborovým specifikům, aj.)</w:t>
            </w:r>
            <w:r w:rsidRPr="006047E2">
              <w:rPr>
                <w:sz w:val="20"/>
                <w:szCs w:val="20"/>
              </w:rPr>
              <w:t xml:space="preserve"> dostačující. </w:t>
            </w:r>
          </w:p>
          <w:p w:rsidR="00E00A63" w:rsidRPr="00E00A63" w:rsidRDefault="00E00A63" w:rsidP="002A749A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sz w:val="20"/>
                <w:szCs w:val="20"/>
              </w:rPr>
            </w:pPr>
            <w:r w:rsidRPr="002A749A">
              <w:rPr>
                <w:sz w:val="20"/>
                <w:szCs w:val="20"/>
              </w:rPr>
              <w:t xml:space="preserve">Proškolení pracovníků a příprava vzdělávacího obsahu pro výuku budou zajištěny průběžně.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00A63" w:rsidRPr="006D06FE" w:rsidRDefault="00E00A63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06FE">
              <w:rPr>
                <w:sz w:val="20"/>
                <w:szCs w:val="20"/>
              </w:rPr>
              <w:t xml:space="preserve">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0A63" w:rsidRPr="00890F7B" w:rsidTr="00420C6B">
        <w:trPr>
          <w:cantSplit/>
          <w:trHeight w:val="419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A63" w:rsidRPr="001D20C8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00A63" w:rsidRPr="002A749A" w:rsidRDefault="00E00A63" w:rsidP="002A749A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sz w:val="20"/>
                <w:szCs w:val="20"/>
              </w:rPr>
            </w:pPr>
            <w:r w:rsidRPr="00E00A63">
              <w:rPr>
                <w:sz w:val="20"/>
                <w:szCs w:val="20"/>
              </w:rPr>
              <w:t>Rozsah a intenzita využití výstupů nejsou ze žádosti zřejm</w:t>
            </w:r>
            <w:r w:rsidRPr="000705A6">
              <w:rPr>
                <w:sz w:val="20"/>
                <w:szCs w:val="20"/>
              </w:rPr>
              <w:t>é, popřípadě jsou nedostatečn</w:t>
            </w:r>
            <w:r w:rsidRPr="006047E2">
              <w:rPr>
                <w:sz w:val="20"/>
                <w:szCs w:val="20"/>
              </w:rPr>
              <w:t>é. V</w:t>
            </w:r>
            <w:r w:rsidRPr="002A749A">
              <w:rPr>
                <w:sz w:val="20"/>
                <w:szCs w:val="20"/>
              </w:rPr>
              <w:t xml:space="preserve">zdělávací obsah nebude včas připraven pro zajištění výuky. Pedagogičtí či odborní pracovníci nebudou mít patřičné kompetence pro výuku s využitím nové infrastruktury či vybavení.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00A63" w:rsidRPr="006D06FE" w:rsidRDefault="00E00A63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06FE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00A63" w:rsidRDefault="00E00A63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51BFA" w:rsidRPr="00890F7B" w:rsidTr="00884E8E">
        <w:trPr>
          <w:cantSplit/>
          <w:trHeight w:val="402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1D20C8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08FB" w:rsidRPr="00890F7B" w:rsidTr="00FD2861">
        <w:trPr>
          <w:cantSplit/>
          <w:trHeight w:val="63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FB" w:rsidRPr="00884E8E" w:rsidRDefault="000A55D4" w:rsidP="00FC08FB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4E8E">
              <w:rPr>
                <w:bCs/>
                <w:sz w:val="20"/>
                <w:szCs w:val="20"/>
              </w:rPr>
              <w:t>5</w:t>
            </w:r>
            <w:r w:rsidR="00FC08FB" w:rsidRPr="00884E8E">
              <w:rPr>
                <w:bCs/>
                <w:sz w:val="20"/>
                <w:szCs w:val="20"/>
              </w:rPr>
              <w:t>. Zajištění vnitřní konektivity a připojení k internetu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B" w:rsidRPr="00884E8E" w:rsidRDefault="00FC08FB" w:rsidP="00FC08FB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bCs/>
                <w:sz w:val="20"/>
                <w:szCs w:val="20"/>
              </w:rPr>
            </w:pPr>
            <w:r w:rsidRPr="00884E8E">
              <w:rPr>
                <w:bCs/>
                <w:sz w:val="20"/>
                <w:szCs w:val="20"/>
              </w:rPr>
              <w:t>Součástí projektu je zajištění vnitřní konektivity školy a připojení k internetu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B" w:rsidRPr="00884E8E" w:rsidRDefault="00FC08FB" w:rsidP="00FC08F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Cs w:val="20"/>
              </w:rPr>
            </w:pPr>
            <w:r w:rsidRPr="00884E8E">
              <w:rPr>
                <w:bCs/>
                <w:szCs w:val="20"/>
              </w:rPr>
              <w:t>3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B" w:rsidRPr="00884E8E" w:rsidRDefault="00FC08FB" w:rsidP="00FC08F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Cs w:val="20"/>
              </w:rPr>
            </w:pPr>
            <w:r w:rsidRPr="00884E8E">
              <w:rPr>
                <w:b/>
                <w:bCs/>
                <w:sz w:val="20"/>
                <w:szCs w:val="20"/>
              </w:rPr>
              <w:t>Max. 3 body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B" w:rsidRPr="00884E8E" w:rsidRDefault="00FC08FB" w:rsidP="00FC08FB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84E8E">
              <w:rPr>
                <w:b/>
                <w:bCs/>
                <w:i/>
                <w:iCs/>
                <w:sz w:val="20"/>
                <w:szCs w:val="20"/>
              </w:rPr>
              <w:t>Žádost o podporu, studie proveditelnosti, přílohy žádosti</w:t>
            </w:r>
          </w:p>
          <w:p w:rsidR="00FC08FB" w:rsidRPr="00884E8E" w:rsidRDefault="00FC08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08FB" w:rsidRPr="00884E8E" w:rsidRDefault="00FD2861" w:rsidP="00FD2861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t>H</w:t>
            </w:r>
            <w:r w:rsidRPr="00C37699">
              <w:rPr>
                <w:sz w:val="20"/>
                <w:szCs w:val="20"/>
              </w:rPr>
              <w:t>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B" w:rsidRPr="00884E8E" w:rsidRDefault="00FC08FB" w:rsidP="00FC08F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Cs w:val="20"/>
              </w:rPr>
            </w:pPr>
            <w:r w:rsidRPr="00884E8E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FC08FB" w:rsidRPr="00890F7B" w:rsidTr="00884E8E">
        <w:trPr>
          <w:cantSplit/>
          <w:trHeight w:val="108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FB" w:rsidRPr="00884E8E" w:rsidRDefault="00FC08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B" w:rsidRPr="00884E8E" w:rsidRDefault="00FC08FB" w:rsidP="00FC08FB">
            <w:pPr>
              <w:pStyle w:val="Standard"/>
              <w:tabs>
                <w:tab w:val="left" w:pos="7230"/>
              </w:tabs>
              <w:spacing w:after="0" w:line="240" w:lineRule="auto"/>
              <w:ind w:left="132"/>
              <w:rPr>
                <w:bCs/>
                <w:sz w:val="20"/>
                <w:szCs w:val="20"/>
              </w:rPr>
            </w:pPr>
            <w:r w:rsidRPr="00884E8E">
              <w:rPr>
                <w:bCs/>
                <w:sz w:val="20"/>
                <w:szCs w:val="20"/>
              </w:rPr>
              <w:t>Součástí projektu není zajištění vnitřní konektivity školy a připojení k internetu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B" w:rsidRPr="00884E8E" w:rsidRDefault="00FC08FB" w:rsidP="00FC08F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Cs w:val="20"/>
              </w:rPr>
            </w:pPr>
            <w:r w:rsidRPr="00884E8E">
              <w:rPr>
                <w:bCs/>
                <w:szCs w:val="20"/>
              </w:rPr>
              <w:t xml:space="preserve">0 bodů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08FB" w:rsidRPr="00884E8E" w:rsidRDefault="00FC08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08FB" w:rsidRPr="00884E8E" w:rsidRDefault="00FC08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08FB" w:rsidRPr="00884E8E" w:rsidRDefault="00FC08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08FB" w:rsidRPr="00884E8E" w:rsidRDefault="00FC08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szCs w:val="20"/>
              </w:rPr>
            </w:pPr>
          </w:p>
        </w:tc>
      </w:tr>
      <w:tr w:rsidR="00951BFA" w:rsidRPr="00890F7B" w:rsidTr="003302E9">
        <w:trPr>
          <w:cantSplit/>
          <w:trHeight w:val="434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84E8E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Cs w:val="20"/>
              </w:rPr>
            </w:pPr>
            <w:r w:rsidRPr="00884E8E">
              <w:rPr>
                <w:b/>
                <w:bCs/>
                <w:szCs w:val="20"/>
              </w:rPr>
              <w:lastRenderedPageBreak/>
              <w:t xml:space="preserve">EFEKTIVNOST  </w:t>
            </w:r>
          </w:p>
        </w:tc>
      </w:tr>
      <w:tr w:rsidR="00951BFA" w:rsidRPr="00890F7B" w:rsidTr="00420C6B">
        <w:trPr>
          <w:cantSplit/>
          <w:trHeight w:val="7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0A55D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1BFA">
              <w:rPr>
                <w:sz w:val="20"/>
                <w:szCs w:val="20"/>
              </w:rPr>
              <w:t xml:space="preserve">. </w:t>
            </w:r>
            <w:r w:rsidR="00951BFA" w:rsidRPr="00890F7B">
              <w:rPr>
                <w:sz w:val="20"/>
                <w:szCs w:val="20"/>
              </w:rPr>
              <w:t>Rozpočet projektu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264AD1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Jasnost a relevantnost položek rozpočtu je dobře odůvodněná v podrobném komentáři k rozpočtu; výdaje projektu jsou nezbytné pro jeho realizaci a odpovídají jednotlivým aktivitám projektu. Žadatel identifikuje jak způsobilé, tak i nezpůsobilé výdaje.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D803C4" w:rsidRDefault="00951BFA" w:rsidP="00D803C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890F7B" w:rsidRDefault="00951BFA" w:rsidP="002F2DB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E188B">
              <w:rPr>
                <w:b/>
                <w:bCs/>
                <w:sz w:val="20"/>
                <w:szCs w:val="20"/>
              </w:rPr>
              <w:t>Max. 4 body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C803D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Rozpočet + zdůvodnění položek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rozpočtu ve studii proveditelnosti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 xml:space="preserve">Žadatel vyplní rozpočet dle struktury rozpočtu v žádosti/položkového rozpočtu, ke každé položce rozpočtu bude náležet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komentář ve studii 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proveditelnosti.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C37699" w:rsidRDefault="00951BFA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C37699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FA" w:rsidRDefault="00951BFA" w:rsidP="005131C8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951BFA" w:rsidRPr="00890F7B" w:rsidTr="00420C6B">
        <w:trPr>
          <w:cantSplit/>
          <w:trHeight w:val="9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264AD1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Vymezení položek rozpočtu je jasné. Položky rozpočtu však nejsou odůvodněné v podrobném komentáři nebo výdaje projektu přímo neodpovídají jeho aktivitám nebo žadatel neidentifikoval způsobilé a nezpůsobilé výdaje.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D803C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1BFA" w:rsidRPr="00890F7B" w:rsidRDefault="00951BFA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BFA" w:rsidRPr="00890F7B" w:rsidTr="00420C6B">
        <w:trPr>
          <w:cantSplit/>
          <w:trHeight w:val="82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Rozpočet projektu postrádá jasné vymezení položek rozpočtu. Účelnost nákladů není zřejmá. Rozpočet postrádá podrobný komentář a vysvětlení. Nejsou identifikovány způsobilé a nezpůsobilé výdaje.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D803C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BFA" w:rsidRPr="00890F7B" w:rsidRDefault="00951BFA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BFA" w:rsidRPr="00890F7B" w:rsidTr="00420C6B">
        <w:trPr>
          <w:cantSplit/>
          <w:trHeight w:val="49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0A55D4" w:rsidP="000A55D4">
            <w:pPr>
              <w:tabs>
                <w:tab w:val="left" w:pos="7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1BFA">
              <w:rPr>
                <w:sz w:val="20"/>
                <w:szCs w:val="20"/>
              </w:rPr>
              <w:t>. Finanční zdraví žadatele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Nadprůměrné finanční zdraví.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0B6354" w:rsidRDefault="00951BFA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Pr="00CF1A1F" w:rsidRDefault="00951BFA" w:rsidP="00B756DB">
            <w:pPr>
              <w:tabs>
                <w:tab w:val="left" w:pos="7230"/>
              </w:tabs>
              <w:jc w:val="center"/>
              <w:rPr>
                <w:b/>
                <w:sz w:val="20"/>
                <w:szCs w:val="20"/>
              </w:rPr>
            </w:pPr>
            <w:r w:rsidRPr="00CF1A1F">
              <w:rPr>
                <w:b/>
                <w:sz w:val="20"/>
                <w:szCs w:val="20"/>
              </w:rPr>
              <w:t>Max. 3 body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Default="00951BFA" w:rsidP="007E67EE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Přílohy SP (čestné prohlášení v příloze Podklady pro posouzení finančního zdraví)</w:t>
            </w:r>
          </w:p>
          <w:p w:rsidR="00951BFA" w:rsidRPr="00890F7B" w:rsidRDefault="00951BFA" w:rsidP="0021706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10402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 xml:space="preserve">Bodové hodnocení je přiděleno </w:t>
            </w:r>
            <w:r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na základě zadaných údajů z finančních</w:t>
            </w:r>
            <w:r w:rsidRPr="00A10402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 xml:space="preserve"> výkazů (specifické dle typu organizace</w:t>
            </w:r>
            <w:r>
              <w:rPr>
                <w:bCs/>
                <w:i/>
                <w:iCs/>
                <w:sz w:val="20"/>
                <w:szCs w:val="20"/>
              </w:rPr>
              <w:t>, zvláštní přístup bude aplikován u subjektů s dobou existence ‹1 rok</w:t>
            </w:r>
            <w:r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 xml:space="preserve">) </w:t>
            </w:r>
            <w:r w:rsidRPr="00A10402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 xml:space="preserve">v čestném prohlášení vyplněném žadatelem v elektronickém </w:t>
            </w:r>
            <w:r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F</w:t>
            </w:r>
            <w:r w:rsidRPr="00247A02">
              <w:rPr>
                <w:bCs/>
                <w:i/>
                <w:iCs/>
                <w:sz w:val="20"/>
                <w:szCs w:val="20"/>
              </w:rPr>
              <w:t>ormuláři pro hodnocení finančního zdraví</w:t>
            </w:r>
            <w:r w:rsidRPr="00A10402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133CCE" w:rsidRDefault="00951BFA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33CCE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FA" w:rsidRPr="00890F7B" w:rsidRDefault="00951BFA" w:rsidP="001C730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951BFA" w:rsidRPr="00890F7B" w:rsidTr="00F45D6B">
        <w:trPr>
          <w:cantSplit/>
          <w:trHeight w:val="58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Průměrné finanční zdraví.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0B6354" w:rsidRDefault="00951BFA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Pr="00CF1A1F" w:rsidRDefault="00951BFA" w:rsidP="00314992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Default="00951BFA" w:rsidP="00575F42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133CCE" w:rsidRDefault="00951BFA" w:rsidP="00344FC4">
            <w:pPr>
              <w:tabs>
                <w:tab w:val="left" w:pos="7230"/>
              </w:tabs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BFA" w:rsidRPr="00890F7B" w:rsidTr="00F45D6B">
        <w:trPr>
          <w:cantSplit/>
          <w:trHeight w:val="57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Dostatečné finanční zdraví.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0B6354" w:rsidRDefault="00951BFA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bod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Pr="00CF1A1F" w:rsidRDefault="00951BFA" w:rsidP="00314992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Default="00951BFA" w:rsidP="00575F42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133CCE" w:rsidRDefault="00951BFA" w:rsidP="00344FC4">
            <w:pPr>
              <w:tabs>
                <w:tab w:val="left" w:pos="7230"/>
              </w:tabs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BFA" w:rsidRPr="00890F7B" w:rsidTr="002A749A">
        <w:trPr>
          <w:cantSplit/>
          <w:trHeight w:val="50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Nedostatečné finanční zdraví.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0B6354" w:rsidRDefault="00951BFA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Pr="00CF1A1F" w:rsidRDefault="00951BFA" w:rsidP="00314992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Default="00951BFA" w:rsidP="00575F42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133CCE" w:rsidRDefault="00951BFA" w:rsidP="00344FC4">
            <w:pPr>
              <w:tabs>
                <w:tab w:val="left" w:pos="7230"/>
              </w:tabs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BFA" w:rsidRPr="00890F7B" w:rsidTr="00B67247">
        <w:trPr>
          <w:cantSplit/>
          <w:trHeight w:val="14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906FBA" w:rsidRDefault="000A55D4" w:rsidP="000A55D4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8</w:t>
            </w:r>
            <w:r w:rsidR="00951BFA" w:rsidRPr="001133F3">
              <w:rPr>
                <w:rFonts w:eastAsia="Times New Roman" w:cs="Calibri"/>
                <w:sz w:val="20"/>
                <w:szCs w:val="20"/>
                <w:lang w:eastAsia="cs-CZ"/>
              </w:rPr>
              <w:t>.</w:t>
            </w:r>
            <w:r w:rsidR="00951BFA" w:rsidRPr="001133F3">
              <w:rPr>
                <w:sz w:val="20"/>
                <w:szCs w:val="20"/>
              </w:rPr>
              <w:t xml:space="preserve"> </w:t>
            </w:r>
            <w:r w:rsidR="00951BFA" w:rsidRPr="001133F3">
              <w:rPr>
                <w:rFonts w:cs="Arial"/>
                <w:sz w:val="20"/>
                <w:szCs w:val="20"/>
              </w:rPr>
              <w:t>Efektivnost</w:t>
            </w:r>
            <w:r w:rsidR="00951BFA" w:rsidRPr="00DA4651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951BFA" w:rsidRPr="00840247">
              <w:rPr>
                <w:rFonts w:cs="Arial"/>
                <w:sz w:val="20"/>
                <w:szCs w:val="20"/>
              </w:rPr>
              <w:t>projektu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B67247" w:rsidRDefault="00951BFA" w:rsidP="00B67247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vyplývá efektivní vynaložení investičních prostředků s ohledem na přínosy investice pro cílov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é skupiny a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pro cílovou 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oblast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. Byla </w:t>
            </w:r>
            <w:r w:rsidRPr="001133F3">
              <w:rPr>
                <w:rFonts w:eastAsia="Times New Roman" w:cs="Calibri"/>
                <w:sz w:val="20"/>
                <w:szCs w:val="20"/>
                <w:lang w:eastAsia="cs-CZ"/>
              </w:rPr>
              <w:t>prokázána efektivnost výdajů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v poměru k velikosti projektu, socioekonomickým přínosům projektu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 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cílov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ým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ám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zvolených indikátorů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 Projekt je z finančního a ekonomického hlediska přijatelný.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F53A8E" w:rsidRDefault="00951BFA" w:rsidP="00431EAC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3A8E">
              <w:rPr>
                <w:rFonts w:eastAsia="Times New Roman" w:cs="Calibri"/>
                <w:sz w:val="20"/>
                <w:szCs w:val="20"/>
                <w:lang w:eastAsia="cs-CZ"/>
              </w:rPr>
              <w:t>10 bodů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Pr="003E1221" w:rsidRDefault="00951BFA" w:rsidP="00431EAC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1221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</w:t>
            </w:r>
            <w:r w:rsidRPr="003E1221">
              <w:rPr>
                <w:b/>
                <w:sz w:val="20"/>
                <w:szCs w:val="20"/>
              </w:rPr>
              <w:t xml:space="preserve"> bodů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3E1221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3E1221"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CBA</w:t>
            </w:r>
            <w:r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, studie proveditelnosti</w:t>
            </w:r>
          </w:p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1221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Žadatel prokáže finanční a ekonomickou bonitu projektu. K tomu použije hodnotící ukazatele, které napomohou k zobrazení celkové rentability projektu. Cílem je dokázat efektivnost projektu </w:t>
            </w:r>
            <w:r w:rsidRPr="003E1221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z finančního a ekonomického hlediska.</w:t>
            </w:r>
          </w:p>
          <w:p w:rsidR="00951BFA" w:rsidRPr="003E1221" w:rsidRDefault="00951BFA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AB45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rovněž prokáže efektivnost cílových hodnot zvolených indikátorů ve vazbě na finanční náklady projektu.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133CCE" w:rsidRDefault="00951BFA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rFonts w:eastAsia="Times New Roman" w:cs="Calibri"/>
                <w:i/>
                <w:iCs/>
                <w:sz w:val="20"/>
                <w:szCs w:val="20"/>
                <w:lang w:eastAsia="cs-CZ"/>
              </w:rPr>
            </w:pPr>
            <w:r w:rsidRPr="00133CCE">
              <w:rPr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FA" w:rsidRDefault="00951BFA" w:rsidP="001C7304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951BFA" w:rsidRPr="00890F7B" w:rsidTr="00420C6B">
        <w:trPr>
          <w:cantSplit/>
          <w:trHeight w:val="15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CA02ED" w:rsidRDefault="00951BFA" w:rsidP="009F43C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ne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vyplývá efektivní vynaložení investičních prostředků s ohledem na přínosy investice pro cílov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é skupiny a cílovou </w:t>
            </w:r>
            <w:r w:rsidRPr="001133F3">
              <w:rPr>
                <w:rFonts w:eastAsia="Times New Roman" w:cs="Calibri"/>
                <w:sz w:val="20"/>
                <w:szCs w:val="20"/>
                <w:lang w:eastAsia="cs-CZ"/>
              </w:rPr>
              <w:t xml:space="preserve">oblast. </w:t>
            </w:r>
            <w:r w:rsidRPr="00247A02">
              <w:rPr>
                <w:sz w:val="20"/>
                <w:szCs w:val="20"/>
              </w:rPr>
              <w:t>Žadatel např. nezohlednil některé faktory vstupující do finanční nebo socioekonomické analýzy</w:t>
            </w:r>
            <w:r>
              <w:rPr>
                <w:sz w:val="20"/>
                <w:szCs w:val="20"/>
              </w:rPr>
              <w:t xml:space="preserve">, přesto 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t>je e</w:t>
            </w:r>
            <w:r w:rsidRPr="001133F3">
              <w:rPr>
                <w:rFonts w:eastAsia="Times New Roman" w:cs="Calibri"/>
                <w:sz w:val="20"/>
                <w:szCs w:val="20"/>
                <w:lang w:eastAsia="cs-CZ"/>
              </w:rPr>
              <w:t>fektivnost</w:t>
            </w:r>
            <w:r w:rsidRPr="00C8121C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výdajů v poměru k velikosti projektu, socioekonomickým přínosům projektu a cílov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ým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ám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zvolených indikátorů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přijatelná. </w:t>
            </w:r>
            <w:r w:rsidRPr="0034757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Žadatel dostatečně okomentoval vstupní hodnoty/výsledky finanční a příp. ekonomické analýzy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 zároveň tyto hodnoty nejsou nadhodnocené.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F53A8E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 w:rsidRPr="00F53A8E">
              <w:rPr>
                <w:sz w:val="20"/>
              </w:rPr>
              <w:t>5 bodů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FD0321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BFA" w:rsidRDefault="00951BFA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BFA" w:rsidRDefault="00951BFA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951BFA" w:rsidRPr="00890F7B" w:rsidTr="00420C6B">
        <w:trPr>
          <w:cantSplit/>
          <w:trHeight w:val="1836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B728F4" w:rsidRDefault="00951BFA" w:rsidP="009F43C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ne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vyplývá efektivní vynaložení investičních prostředků s ohledem na přínosy investice pro cílov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é skupiny a 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oblast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t>Efekti</w:t>
            </w:r>
            <w:r w:rsidRPr="001133F3">
              <w:rPr>
                <w:rFonts w:eastAsia="Times New Roman" w:cs="Calibri"/>
                <w:sz w:val="20"/>
                <w:szCs w:val="20"/>
                <w:lang w:eastAsia="cs-CZ"/>
              </w:rPr>
              <w:t xml:space="preserve">vnost 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výdajů v poměru k velikosti projektu, socioekonomickým přínosům projektu a cílov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ým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ám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zvolených indikátorů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je ještě přijatelná. </w:t>
            </w:r>
            <w:r>
              <w:rPr>
                <w:sz w:val="20"/>
              </w:rPr>
              <w:t>Žadatel ne</w:t>
            </w:r>
            <w:r w:rsidRPr="00B728F4">
              <w:rPr>
                <w:sz w:val="20"/>
              </w:rPr>
              <w:t>dostatečně okomentoval vstupní hodnoty/výsledky finanční a příp. ekonomické analýzy nebo vstupní hodnoty pro hodnocení efektivnosti jsou nadhodnocené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F53A8E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3A8E">
              <w:rPr>
                <w:sz w:val="20"/>
              </w:rPr>
              <w:t xml:space="preserve">2 body 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FD0321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FA" w:rsidRDefault="00951BFA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FA" w:rsidRDefault="00951BFA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951BFA" w:rsidRPr="00890F7B" w:rsidTr="00420C6B">
        <w:trPr>
          <w:cantSplit/>
          <w:trHeight w:val="1410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AB4F5E" w:rsidRDefault="00951BFA" w:rsidP="0034757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ne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vyplývá efektivní vynaložení investičních prostředků s ohledem na přínosy investice pro cílov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é skupiny a </w:t>
            </w:r>
            <w:r w:rsidRPr="00C520D0">
              <w:rPr>
                <w:rFonts w:eastAsia="Times New Roman" w:cs="Calibri"/>
                <w:sz w:val="20"/>
                <w:szCs w:val="20"/>
                <w:lang w:eastAsia="cs-CZ"/>
              </w:rPr>
              <w:t>oblast. Efektivnost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výdajů v poměru k velikosti projektu, socioekonomickým přínosům projektu a cílov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ým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ám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zvolených indikátorů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není přijatelná. </w:t>
            </w:r>
            <w:r>
              <w:rPr>
                <w:sz w:val="20"/>
              </w:rPr>
              <w:t>Žadatel ne</w:t>
            </w:r>
            <w:r w:rsidRPr="00B728F4">
              <w:rPr>
                <w:sz w:val="20"/>
              </w:rPr>
              <w:t>dostatečně okomentoval vstupní hodnoty/výsledky finanční a příp. ekonomické analýzy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FD0321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 w:rsidRPr="00071E19">
              <w:rPr>
                <w:sz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FD0321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FA" w:rsidRDefault="00951BFA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FA" w:rsidRDefault="00951BFA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9D24BC" w:rsidRPr="001F596D" w:rsidTr="009D24BC">
        <w:trPr>
          <w:trHeight w:val="8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BC" w:rsidRDefault="000A55D4" w:rsidP="009D24BC">
            <w:pPr>
              <w:tabs>
                <w:tab w:val="left" w:pos="723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</w:t>
            </w:r>
            <w:r w:rsidR="009D24BC" w:rsidRPr="00E93E40">
              <w:rPr>
                <w:sz w:val="20"/>
                <w:szCs w:val="20"/>
              </w:rPr>
              <w:t xml:space="preserve">. </w:t>
            </w:r>
            <w:r w:rsidR="009D24BC" w:rsidRPr="00E93E40">
              <w:rPr>
                <w:sz w:val="18"/>
                <w:szCs w:val="18"/>
              </w:rPr>
              <w:t xml:space="preserve">Komplementarity </w:t>
            </w:r>
          </w:p>
          <w:p w:rsidR="009D24BC" w:rsidRPr="00E93E40" w:rsidRDefault="009D24BC" w:rsidP="009D24BC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BC" w:rsidRDefault="009D24BC" w:rsidP="00737B0D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Žadatel dokládá předložení přímo navazujícího projektu ve specifickém cíli 4.2</w:t>
            </w:r>
            <w:r w:rsidR="00737B0D">
              <w:rPr>
                <w:sz w:val="20"/>
                <w:szCs w:val="20"/>
              </w:rPr>
              <w:t xml:space="preserve"> PO 4 OP PPR nebo v relevantní výzvě OP VVV.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BC" w:rsidRPr="005929A9" w:rsidRDefault="000705A6" w:rsidP="009D24BC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24BC" w:rsidRPr="005929A9">
              <w:rPr>
                <w:sz w:val="20"/>
                <w:szCs w:val="20"/>
              </w:rPr>
              <w:t xml:space="preserve"> bod</w:t>
            </w:r>
            <w:r w:rsidR="009D24BC">
              <w:rPr>
                <w:sz w:val="20"/>
                <w:szCs w:val="20"/>
              </w:rPr>
              <w:t>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D24BC" w:rsidRPr="00474B40" w:rsidRDefault="009D24BC" w:rsidP="00536E54">
            <w:pPr>
              <w:tabs>
                <w:tab w:val="left" w:pos="7230"/>
              </w:tabs>
              <w:jc w:val="center"/>
              <w:rPr>
                <w:b/>
                <w:sz w:val="20"/>
              </w:rPr>
            </w:pPr>
            <w:r w:rsidRPr="00536E54">
              <w:rPr>
                <w:b/>
                <w:bCs/>
                <w:sz w:val="20"/>
                <w:szCs w:val="20"/>
              </w:rPr>
              <w:t xml:space="preserve">Max. </w:t>
            </w:r>
            <w:r w:rsidR="00536E54" w:rsidRPr="00536E54">
              <w:rPr>
                <w:b/>
                <w:bCs/>
                <w:sz w:val="20"/>
                <w:szCs w:val="20"/>
              </w:rPr>
              <w:t xml:space="preserve">7 </w:t>
            </w:r>
            <w:r w:rsidRPr="00536E54">
              <w:rPr>
                <w:b/>
                <w:bCs/>
                <w:sz w:val="20"/>
                <w:szCs w:val="20"/>
              </w:rPr>
              <w:t>bodů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BC" w:rsidRPr="002766BA" w:rsidRDefault="009D24BC" w:rsidP="00D65600">
            <w:pPr>
              <w:pStyle w:val="Standard"/>
              <w:spacing w:after="0" w:line="240" w:lineRule="auto"/>
            </w:pPr>
            <w:r w:rsidRPr="002766BA">
              <w:rPr>
                <w:b/>
                <w:bCs/>
                <w:i/>
                <w:iCs/>
                <w:sz w:val="20"/>
                <w:szCs w:val="20"/>
              </w:rPr>
              <w:t>Studie proveditelnosti, žádost o podporu</w:t>
            </w:r>
          </w:p>
          <w:p w:rsidR="009D24BC" w:rsidRPr="002766BA" w:rsidRDefault="009D24BC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2766BA">
              <w:rPr>
                <w:bCs/>
                <w:i/>
                <w:iCs/>
                <w:sz w:val="20"/>
                <w:szCs w:val="20"/>
              </w:rPr>
              <w:t>Žadatel uvede registrační číslo přímo navazujícího projektu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2766BA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 xml:space="preserve">žadatelem </w:t>
            </w:r>
            <w:r w:rsidRPr="002766BA">
              <w:rPr>
                <w:bCs/>
                <w:i/>
                <w:iCs/>
                <w:sz w:val="20"/>
                <w:szCs w:val="20"/>
              </w:rPr>
              <w:t xml:space="preserve">nemusí být </w:t>
            </w:r>
            <w:r>
              <w:rPr>
                <w:bCs/>
                <w:i/>
                <w:iCs/>
                <w:sz w:val="20"/>
                <w:szCs w:val="20"/>
              </w:rPr>
              <w:t>stejný subjekt</w:t>
            </w:r>
            <w:r w:rsidRPr="002766BA">
              <w:rPr>
                <w:bCs/>
                <w:i/>
                <w:iCs/>
                <w:sz w:val="20"/>
                <w:szCs w:val="20"/>
              </w:rPr>
              <w:t xml:space="preserve">. </w:t>
            </w:r>
          </w:p>
          <w:p w:rsidR="009D24BC" w:rsidRPr="00F57BAB" w:rsidRDefault="009D24BC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  <w:p w:rsidR="009D24BC" w:rsidRPr="00BB6058" w:rsidRDefault="009D24BC" w:rsidP="009D24BC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9D24BC" w:rsidRPr="005A5A87" w:rsidRDefault="009D24BC" w:rsidP="00D65600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A95562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D24BC" w:rsidRDefault="009D24BC" w:rsidP="00D65600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6760B">
              <w:rPr>
                <w:bCs/>
                <w:i/>
                <w:iCs/>
                <w:sz w:val="20"/>
                <w:szCs w:val="20"/>
              </w:rPr>
              <w:t>Hodnotitel specifických pož</w:t>
            </w:r>
            <w:r>
              <w:rPr>
                <w:bCs/>
                <w:i/>
                <w:iCs/>
                <w:sz w:val="20"/>
                <w:szCs w:val="20"/>
              </w:rPr>
              <w:t>a</w:t>
            </w:r>
            <w:r w:rsidRPr="0046760B">
              <w:rPr>
                <w:bCs/>
                <w:i/>
                <w:iCs/>
                <w:sz w:val="20"/>
                <w:szCs w:val="20"/>
              </w:rPr>
              <w:t>davků A</w:t>
            </w:r>
          </w:p>
        </w:tc>
      </w:tr>
      <w:tr w:rsidR="009D24BC" w:rsidRPr="001F596D" w:rsidTr="000C5408">
        <w:trPr>
          <w:trHeight w:val="813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BC" w:rsidRDefault="009D24BC" w:rsidP="009D24BC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BC" w:rsidRDefault="009D24BC" w:rsidP="00737B0D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nedokládá předložení přímo navazujícího projektu ve specifickém cíli 4.2</w:t>
            </w:r>
            <w:r w:rsidR="00737B0D">
              <w:rPr>
                <w:sz w:val="20"/>
                <w:szCs w:val="20"/>
              </w:rPr>
              <w:t xml:space="preserve"> PO 4 OP PPR nebo v relevantní výzvě OP VVV.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BC" w:rsidRDefault="009D24BC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D24BC" w:rsidRPr="0046760B" w:rsidRDefault="009D24BC" w:rsidP="009D24BC">
            <w:pPr>
              <w:tabs>
                <w:tab w:val="left" w:pos="72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BC" w:rsidRPr="002766BA" w:rsidRDefault="009D24BC" w:rsidP="00D65600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9D24BC" w:rsidRPr="00A95562" w:rsidRDefault="009D24BC" w:rsidP="00D65600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D24BC" w:rsidRPr="0046760B" w:rsidRDefault="009D24BC" w:rsidP="00D65600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51BFA" w:rsidRPr="00890F7B" w:rsidTr="003302E9">
        <w:trPr>
          <w:trHeight w:val="423"/>
        </w:trPr>
        <w:tc>
          <w:tcPr>
            <w:tcW w:w="160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HOSPODÁRNOST</w:t>
            </w:r>
          </w:p>
        </w:tc>
      </w:tr>
      <w:tr w:rsidR="00951BFA" w:rsidRPr="00890F7B" w:rsidTr="00420C6B">
        <w:trPr>
          <w:trHeight w:val="523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08667E" w:rsidP="000A55D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55D4">
              <w:rPr>
                <w:sz w:val="20"/>
                <w:szCs w:val="20"/>
              </w:rPr>
              <w:t>0</w:t>
            </w:r>
            <w:r w:rsidR="00951BFA">
              <w:rPr>
                <w:sz w:val="20"/>
                <w:szCs w:val="20"/>
              </w:rPr>
              <w:t>.</w:t>
            </w:r>
            <w:r w:rsidR="00951BFA" w:rsidRPr="00890F7B">
              <w:rPr>
                <w:sz w:val="20"/>
                <w:szCs w:val="20"/>
              </w:rPr>
              <w:t xml:space="preserve"> Hospodárnost výdajů projektu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odpovídají cenám obvyklým.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51BFA" w:rsidRPr="00890F7B" w:rsidRDefault="00951BFA" w:rsidP="00ED342D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15637F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Rozpočet projektu</w:t>
            </w:r>
          </w:p>
          <w:p w:rsidR="00951BFA" w:rsidRDefault="00951BFA" w:rsidP="00B0761C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8B4812">
              <w:rPr>
                <w:bCs/>
                <w:i/>
                <w:iCs/>
                <w:sz w:val="20"/>
                <w:szCs w:val="20"/>
              </w:rPr>
              <w:t>Každá položka rozpočtu je hodnocena z pohledu její přiměřenosti k cenám na trhu, tj. zda odpovídá cenám obvyklým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52A1D">
              <w:rPr>
                <w:bCs/>
                <w:i/>
                <w:iCs/>
                <w:sz w:val="20"/>
                <w:szCs w:val="20"/>
              </w:rPr>
              <w:t>Na webových stránkách OP PPR je k dispozici přehled cen obvyklých pro OP PPR pro nejčastější typy výdajů. U ostatních výdajů bude kritérium hodnoceno expertním odhadem hodnotitele. U stavebních prací bude rozpočet porovnáván s cenovou soustavou ÚRS v rámci hodnocení ex-ante.</w:t>
            </w:r>
          </w:p>
          <w:p w:rsidR="00951BFA" w:rsidRPr="003D602A" w:rsidRDefault="00951BFA" w:rsidP="00B0761C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C62E80">
              <w:rPr>
                <w:bCs/>
                <w:i/>
                <w:iCs/>
                <w:sz w:val="20"/>
                <w:szCs w:val="20"/>
              </w:rPr>
              <w:t>V případě pochybností o způsobilosti výdajů, potřeby ověření jejich přiměřenosti nebo v případě, kdy jsou doporučení hodnotitelů vzájemně v rozporu, si může finanční manažer vyžádat posudek nezávislého externího odborníka. V případě, kdy je hodnotitelem udělen počet bodů 0, je posudek nezávislého externího odborníka povinností.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951BFA" w:rsidRPr="00C37699" w:rsidRDefault="00951BFA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1BFA" w:rsidRPr="005710D9" w:rsidRDefault="00951BFA" w:rsidP="001C7304">
            <w:pPr>
              <w:pStyle w:val="Standard"/>
              <w:spacing w:after="0" w:line="240" w:lineRule="auto"/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951BFA" w:rsidRPr="00890F7B" w:rsidTr="00420C6B">
        <w:trPr>
          <w:trHeight w:val="843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neodpovídají cenám obvyklým (převyšují ceny obvyklé), jejich výše je však odůvodněna navrženým řešením.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5464C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 </w:t>
            </w:r>
            <w:r w:rsidR="005464C9">
              <w:rPr>
                <w:sz w:val="20"/>
                <w:szCs w:val="20"/>
              </w:rPr>
              <w:t xml:space="preserve">body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51BFA" w:rsidRPr="00890F7B" w:rsidTr="00420C6B">
        <w:trPr>
          <w:trHeight w:val="84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neodpovídají cenám obvyklým (do 10 % celkových způsobilých výdajů projektu), jejich výše není odůvodněna.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ED342D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ED342D">
              <w:rPr>
                <w:bCs/>
                <w:sz w:val="20"/>
                <w:szCs w:val="20"/>
              </w:rPr>
              <w:t xml:space="preserve"> bod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51BFA" w:rsidRPr="00890F7B" w:rsidTr="009C292D">
        <w:trPr>
          <w:trHeight w:val="869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neodpovídají cenám obvyklým (více než 10 % celkových způsobilých výdajů projektu), jejich výše není odůvodněna.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51BFA" w:rsidRPr="00890F7B" w:rsidTr="003302E9">
        <w:trPr>
          <w:trHeight w:val="461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PROVEDITELNOST</w:t>
            </w:r>
          </w:p>
        </w:tc>
      </w:tr>
      <w:tr w:rsidR="00951BFA" w:rsidRPr="00890F7B" w:rsidTr="00420C6B">
        <w:trPr>
          <w:trHeight w:val="150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08667E" w:rsidP="000A55D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55D4">
              <w:rPr>
                <w:sz w:val="20"/>
                <w:szCs w:val="20"/>
              </w:rPr>
              <w:t>1</w:t>
            </w:r>
            <w:r w:rsidR="00951BFA">
              <w:rPr>
                <w:sz w:val="20"/>
                <w:szCs w:val="20"/>
              </w:rPr>
              <w:t>. Organizační a </w:t>
            </w:r>
            <w:r w:rsidR="00951BFA" w:rsidRPr="00890F7B">
              <w:rPr>
                <w:sz w:val="20"/>
                <w:szCs w:val="20"/>
              </w:rPr>
              <w:t>odborné zajištění projektu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 xml:space="preserve">Žadatel doložil organizační zajištění realizace projektu pro </w:t>
            </w:r>
            <w:proofErr w:type="spellStart"/>
            <w:r w:rsidRPr="00890F7B">
              <w:rPr>
                <w:sz w:val="20"/>
                <w:szCs w:val="20"/>
              </w:rPr>
              <w:t>předinvestiční</w:t>
            </w:r>
            <w:proofErr w:type="spellEnd"/>
            <w:r w:rsidRPr="00890F7B">
              <w:rPr>
                <w:sz w:val="20"/>
                <w:szCs w:val="20"/>
              </w:rPr>
              <w:t xml:space="preserve"> (přípravnou), investiční a provozní fázi projektu s jasným vymezením kompetencí jednotlivých členů týmu. Členové realizačního týmu mají zkušenosti s realizací projektů (investičních, příp. neinvestičních) a jejich účast na projektech je jasně popsána a </w:t>
            </w:r>
            <w:r>
              <w:rPr>
                <w:sz w:val="20"/>
                <w:szCs w:val="20"/>
              </w:rPr>
              <w:t>podložena referenčními projekty.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82776">
              <w:rPr>
                <w:sz w:val="20"/>
                <w:szCs w:val="20"/>
              </w:rPr>
              <w:t>4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Max. 4</w:t>
            </w:r>
            <w:r w:rsidRPr="0015637F">
              <w:rPr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b/>
                <w:bCs/>
                <w:i/>
                <w:iCs/>
                <w:sz w:val="20"/>
                <w:szCs w:val="20"/>
              </w:rPr>
              <w:t>tudie proveditelnosti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, 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, příp. tabulka „Personální zajištění</w:t>
            </w:r>
            <w:r w:rsidRPr="00890F7B">
              <w:rPr>
                <w:i/>
                <w:iCs/>
                <w:sz w:val="20"/>
                <w:szCs w:val="20"/>
              </w:rPr>
              <w:br/>
              <w:t>Žadatel má vytvořen projektový tým pro všechny fáze projektu (</w:t>
            </w:r>
            <w:proofErr w:type="spellStart"/>
            <w:r w:rsidRPr="00890F7B">
              <w:rPr>
                <w:i/>
                <w:iCs/>
                <w:sz w:val="20"/>
                <w:szCs w:val="20"/>
              </w:rPr>
              <w:t>předinvestiční</w:t>
            </w:r>
            <w:proofErr w:type="spellEnd"/>
            <w:r w:rsidRPr="00890F7B">
              <w:rPr>
                <w:i/>
                <w:iCs/>
                <w:sz w:val="20"/>
                <w:szCs w:val="20"/>
              </w:rPr>
              <w:t xml:space="preserve"> - přípravná, investiční a provozní fáze) s jasným vymezením p</w:t>
            </w:r>
            <w:r>
              <w:rPr>
                <w:i/>
                <w:iCs/>
                <w:sz w:val="20"/>
                <w:szCs w:val="20"/>
              </w:rPr>
              <w:t>ozice a aktivit s tím spojených,</w:t>
            </w:r>
            <w:r w:rsidRPr="00890F7B">
              <w:rPr>
                <w:i/>
                <w:iCs/>
                <w:sz w:val="20"/>
                <w:szCs w:val="20"/>
              </w:rPr>
              <w:t xml:space="preserve"> včetně </w:t>
            </w:r>
            <w:r w:rsidRPr="00890F7B">
              <w:rPr>
                <w:i/>
                <w:iCs/>
                <w:sz w:val="20"/>
                <w:szCs w:val="20"/>
              </w:rPr>
              <w:lastRenderedPageBreak/>
              <w:t>odpovědnosti za splnění těchto aktivit. Při hodnocení se zohlední i vytvoření administrativních, technických a finančních podmínek pro činnost projektového týmu. V  případě, že bude projektový tým složen jen z interních zdr</w:t>
            </w:r>
            <w:r w:rsidR="006047E2">
              <w:rPr>
                <w:i/>
                <w:iCs/>
                <w:sz w:val="20"/>
                <w:szCs w:val="20"/>
              </w:rPr>
              <w:t xml:space="preserve">ojů je hodnoceno, </w:t>
            </w:r>
            <w:proofErr w:type="gramStart"/>
            <w:r w:rsidR="006047E2">
              <w:rPr>
                <w:i/>
                <w:iCs/>
                <w:sz w:val="20"/>
                <w:szCs w:val="20"/>
              </w:rPr>
              <w:t>zda-</w:t>
            </w:r>
            <w:proofErr w:type="spellStart"/>
            <w:r w:rsidR="006047E2">
              <w:rPr>
                <w:i/>
                <w:iCs/>
                <w:sz w:val="20"/>
                <w:szCs w:val="20"/>
              </w:rPr>
              <w:t>li</w:t>
            </w:r>
            <w:proofErr w:type="spellEnd"/>
            <w:r w:rsidR="006047E2">
              <w:rPr>
                <w:i/>
                <w:iCs/>
                <w:sz w:val="20"/>
                <w:szCs w:val="20"/>
              </w:rPr>
              <w:t xml:space="preserve"> dokáže</w:t>
            </w:r>
            <w:proofErr w:type="gramEnd"/>
            <w:r w:rsidR="006047E2">
              <w:rPr>
                <w:i/>
                <w:iCs/>
                <w:sz w:val="20"/>
                <w:szCs w:val="20"/>
              </w:rPr>
              <w:t xml:space="preserve"> </w:t>
            </w:r>
            <w:r w:rsidRPr="00890F7B">
              <w:rPr>
                <w:i/>
                <w:iCs/>
                <w:sz w:val="20"/>
                <w:szCs w:val="20"/>
              </w:rPr>
              <w:t>žadatel s vlastními zdroji zabezpečit všechny činnosti potřebné pro přípravu a realizaci projektu a srozumitelně popíše celou organizaci jednotlivých činností.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951BFA" w:rsidRPr="00C37699" w:rsidRDefault="00951BFA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lastRenderedPageBreak/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951BFA" w:rsidRDefault="00951BFA" w:rsidP="001C7304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951BFA" w:rsidRPr="00890F7B" w:rsidTr="00420C6B">
        <w:trPr>
          <w:trHeight w:val="1556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 xml:space="preserve">Žadatel doložil organizační zajištění realizace projektu pro </w:t>
            </w:r>
            <w:proofErr w:type="spellStart"/>
            <w:r w:rsidRPr="00890F7B">
              <w:rPr>
                <w:sz w:val="20"/>
                <w:szCs w:val="20"/>
              </w:rPr>
              <w:t>předinvestiční</w:t>
            </w:r>
            <w:proofErr w:type="spellEnd"/>
            <w:r w:rsidRPr="00890F7B">
              <w:rPr>
                <w:sz w:val="20"/>
                <w:szCs w:val="20"/>
              </w:rPr>
              <w:t xml:space="preserve"> (přípravnou), investiční a provozní fázi projektu s jasným vymezením kompetencí jednotlivých členů týmu. Členové realizačního týmu </w:t>
            </w:r>
            <w:r>
              <w:rPr>
                <w:sz w:val="20"/>
                <w:szCs w:val="20"/>
              </w:rPr>
              <w:t>ne</w:t>
            </w:r>
            <w:r w:rsidRPr="00890F7B">
              <w:rPr>
                <w:sz w:val="20"/>
                <w:szCs w:val="20"/>
              </w:rPr>
              <w:t xml:space="preserve">mají zkušenosti s realizací projektů (investičních, příp. neinvestičních) a jejich účast </w:t>
            </w:r>
            <w:r>
              <w:rPr>
                <w:sz w:val="20"/>
                <w:szCs w:val="20"/>
              </w:rPr>
              <w:t>není podložena referenčními projekty.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8B2FB9">
            <w:pPr>
              <w:tabs>
                <w:tab w:val="left" w:pos="723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51BFA" w:rsidRPr="00890F7B" w:rsidTr="00420C6B">
        <w:trPr>
          <w:trHeight w:val="957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 xml:space="preserve">Žadatel </w:t>
            </w:r>
            <w:r>
              <w:rPr>
                <w:sz w:val="20"/>
                <w:szCs w:val="20"/>
              </w:rPr>
              <w:t>ne</w:t>
            </w:r>
            <w:r w:rsidRPr="00890F7B">
              <w:rPr>
                <w:sz w:val="20"/>
                <w:szCs w:val="20"/>
              </w:rPr>
              <w:t xml:space="preserve">doložil organizační zajištění realizace projektu pro </w:t>
            </w:r>
            <w:proofErr w:type="spellStart"/>
            <w:r w:rsidRPr="00890F7B">
              <w:rPr>
                <w:sz w:val="20"/>
                <w:szCs w:val="20"/>
              </w:rPr>
              <w:t>předinvestiční</w:t>
            </w:r>
            <w:proofErr w:type="spellEnd"/>
            <w:r w:rsidRPr="00890F7B">
              <w:rPr>
                <w:sz w:val="20"/>
                <w:szCs w:val="20"/>
              </w:rPr>
              <w:t xml:space="preserve"> (přípravnou), investiční a provozní fázi projektu </w:t>
            </w:r>
            <w:r>
              <w:rPr>
                <w:sz w:val="20"/>
                <w:szCs w:val="20"/>
              </w:rPr>
              <w:t>nebo členové</w:t>
            </w:r>
            <w:r w:rsidRPr="00890F7B">
              <w:rPr>
                <w:sz w:val="20"/>
                <w:szCs w:val="20"/>
              </w:rPr>
              <w:t xml:space="preserve"> týmu</w:t>
            </w:r>
            <w:r>
              <w:rPr>
                <w:sz w:val="20"/>
                <w:szCs w:val="20"/>
              </w:rPr>
              <w:t xml:space="preserve"> nemají jasně vymezené kompetence bez ohledu na zkušenosti</w:t>
            </w:r>
            <w:r w:rsidRPr="00890F7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8B2FB9">
            <w:pPr>
              <w:tabs>
                <w:tab w:val="left" w:pos="723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51BFA" w:rsidRPr="00890F7B" w:rsidTr="00420C6B">
        <w:trPr>
          <w:trHeight w:val="957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EE12BF" w:rsidRDefault="0008667E" w:rsidP="000A55D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55D4">
              <w:rPr>
                <w:sz w:val="20"/>
                <w:szCs w:val="20"/>
              </w:rPr>
              <w:t>2</w:t>
            </w:r>
            <w:r w:rsidR="00951BFA" w:rsidRPr="00EE12BF">
              <w:rPr>
                <w:sz w:val="20"/>
                <w:szCs w:val="20"/>
              </w:rPr>
              <w:t>. Technická proveditelnost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0145F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popisu a předložené dokumentace jasně vyplývá, že žadatel zvolil nejvhodnější možné technické řešení.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ktivity projektu jsou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 rámci etap/etapy 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podrobně popsány, postup přípravných i investičních akcí je logický, odpovídají cíli inv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estiční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akc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e.  Variantní řešení je uvedeno a žadatelem dostatečně popsáno.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15637F" w:rsidRDefault="00951BFA" w:rsidP="00632EDC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 xml:space="preserve">7 </w:t>
            </w:r>
            <w:r w:rsidRPr="0015637F">
              <w:rPr>
                <w:b/>
                <w:bCs/>
                <w:sz w:val="20"/>
                <w:szCs w:val="20"/>
              </w:rPr>
              <w:t>bod</w:t>
            </w:r>
            <w:r>
              <w:rPr>
                <w:b/>
                <w:bCs/>
                <w:sz w:val="20"/>
                <w:szCs w:val="20"/>
              </w:rPr>
              <w:t>ů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proveditelnosti,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 xml:space="preserve"> projektová dokumentace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951BFA" w:rsidRPr="00890F7B" w:rsidRDefault="00951BFA" w:rsidP="004A4F3F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 xml:space="preserve"> Žadatel vzhledem k charakteru projektu vysvětlí, proč zvolil navrhovaný postup/variantní řešení a prokáže využití nejlepší dostupné techniky/technologie.</w:t>
            </w:r>
            <w:r>
              <w:rPr>
                <w:sz w:val="20"/>
                <w:szCs w:val="20"/>
              </w:rPr>
              <w:t xml:space="preserve"> </w:t>
            </w:r>
            <w:r w:rsidRPr="00890F7B">
              <w:rPr>
                <w:i/>
                <w:iCs/>
                <w:sz w:val="20"/>
                <w:szCs w:val="20"/>
              </w:rPr>
              <w:t xml:space="preserve">Žadatel doložil dokumentaci (Studie, projektová dokumentace, technická dokumentace), ze které je možné posoudit celkový projektový záměr. 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951BFA" w:rsidRPr="00C37699" w:rsidRDefault="00951BFA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51BFA" w:rsidRDefault="00951BFA" w:rsidP="001C7304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951BFA" w:rsidRPr="00890F7B" w:rsidTr="00420C6B">
        <w:trPr>
          <w:trHeight w:val="67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7D7964">
            <w:pPr>
              <w:pStyle w:val="Standard"/>
              <w:tabs>
                <w:tab w:val="left" w:pos="7230"/>
              </w:tabs>
              <w:spacing w:after="0" w:line="240" w:lineRule="auto"/>
              <w:ind w:left="33" w:hanging="33"/>
              <w:rPr>
                <w:sz w:val="20"/>
                <w:szCs w:val="20"/>
              </w:rPr>
            </w:pP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popisu a předložené dokumentace jasně vyplývá, že žadatel zvolil nejvhodnější možné technické řešení.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ktivity projektu jsou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 rámci etap/etapy 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podrobně popsány, postup přípravných i investičních akcí je logický, odpovídají cíli inv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estiční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akc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e.  Variantní řešení není uvedeno nebo není žadatelem dostatečně popsáno.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632ED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51BFA" w:rsidRPr="00CE4E4F" w:rsidRDefault="00951BFA" w:rsidP="00CE4E4F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51BFA" w:rsidRPr="00890F7B" w:rsidRDefault="00951BFA" w:rsidP="001C730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</w:tr>
      <w:tr w:rsidR="00951BFA" w:rsidRPr="00890F7B" w:rsidTr="003926EB">
        <w:trPr>
          <w:trHeight w:val="320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7D7964" w:rsidRDefault="00951BFA" w:rsidP="003A170B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popisu a předložené dokumentace vyplývá, že žadatel zvolil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vhodné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technické řešení.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ktivity projektu odpovídají cíli inv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estiční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akc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e, ale ne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jsou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 rámci etap/etapy podrobně popsány nebo 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postup přípravných i investičních akcí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není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logický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632EDC" w:rsidRDefault="00951BFA" w:rsidP="00632EDC">
            <w:pPr>
              <w:tabs>
                <w:tab w:val="left" w:pos="723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85442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51BFA" w:rsidRPr="00CE4E4F" w:rsidRDefault="00951BFA" w:rsidP="00CE4E4F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51BFA" w:rsidRPr="00890F7B" w:rsidRDefault="00951BFA" w:rsidP="001C730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</w:tr>
      <w:tr w:rsidR="00951BFA" w:rsidRPr="00890F7B" w:rsidTr="00420C6B">
        <w:trPr>
          <w:trHeight w:val="607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317FC3" w:rsidRDefault="00951BFA" w:rsidP="00A956F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popisu a předložené dokumentace e</w:t>
            </w:r>
            <w:r w:rsidRPr="00317FC3">
              <w:rPr>
                <w:sz w:val="20"/>
                <w:szCs w:val="20"/>
              </w:rPr>
              <w:t>xistuje pochybnost o vhodnosti zvoleného techn</w:t>
            </w:r>
            <w:r>
              <w:rPr>
                <w:sz w:val="20"/>
                <w:szCs w:val="20"/>
              </w:rPr>
              <w:t>i</w:t>
            </w:r>
            <w:r w:rsidRPr="00317FC3">
              <w:rPr>
                <w:sz w:val="20"/>
                <w:szCs w:val="20"/>
              </w:rPr>
              <w:t>ckého řešení</w:t>
            </w:r>
            <w:r>
              <w:rPr>
                <w:sz w:val="20"/>
                <w:szCs w:val="20"/>
              </w:rPr>
              <w:t xml:space="preserve"> nebo technické řešení není žadatelem popsáno. Aktivity projektu nejsou podrobně popsány nebo neodpovídají cíli investiční akce.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632ED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317FC3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51BFA" w:rsidRPr="00CE4E4F" w:rsidRDefault="00951BFA" w:rsidP="00CE4E4F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51BFA" w:rsidRPr="00890F7B" w:rsidRDefault="00951BFA" w:rsidP="001C730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</w:tr>
      <w:tr w:rsidR="00951BFA" w:rsidRPr="00890F7B" w:rsidTr="007D5BD7">
        <w:trPr>
          <w:trHeight w:val="63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0A55D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A55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890F7B">
              <w:rPr>
                <w:sz w:val="20"/>
                <w:szCs w:val="20"/>
              </w:rPr>
              <w:t>Reálnost harmonogramu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90F7B">
              <w:rPr>
                <w:sz w:val="20"/>
                <w:szCs w:val="20"/>
              </w:rPr>
              <w:t>armonogram je reálný a odpovídá charakteru jednotlivých aktivit</w:t>
            </w:r>
            <w:r>
              <w:rPr>
                <w:sz w:val="20"/>
                <w:szCs w:val="20"/>
              </w:rPr>
              <w:t>, jednotlivé etapy na sebe logicky navazují.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5637F">
              <w:rPr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E2" w:rsidRDefault="00951BFA" w:rsidP="006047E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</w:t>
            </w:r>
          </w:p>
          <w:p w:rsidR="00951BFA" w:rsidRPr="004126F8" w:rsidRDefault="00951BFA" w:rsidP="006047E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>Žada</w:t>
            </w:r>
            <w:r>
              <w:rPr>
                <w:i/>
                <w:iCs/>
                <w:sz w:val="20"/>
                <w:szCs w:val="20"/>
              </w:rPr>
              <w:t xml:space="preserve">tel dokládá reálnost </w:t>
            </w:r>
            <w:r w:rsidRPr="00890F7B">
              <w:rPr>
                <w:i/>
                <w:iCs/>
                <w:sz w:val="20"/>
                <w:szCs w:val="20"/>
              </w:rPr>
              <w:t xml:space="preserve">harmonogramu vzhledem k sezónnosti prací, dodržení zákonných lhůt (např. výběrové řízení, </w:t>
            </w:r>
            <w:r>
              <w:rPr>
                <w:i/>
                <w:iCs/>
                <w:sz w:val="20"/>
                <w:szCs w:val="20"/>
              </w:rPr>
              <w:t>kolaudace</w:t>
            </w:r>
            <w:r w:rsidRPr="00890F7B">
              <w:rPr>
                <w:i/>
                <w:iCs/>
                <w:sz w:val="20"/>
                <w:szCs w:val="20"/>
              </w:rPr>
              <w:t>) a lhůt na jednotlivé činnosti, časovou provázanost akt</w:t>
            </w:r>
            <w:r>
              <w:rPr>
                <w:i/>
                <w:iCs/>
                <w:sz w:val="20"/>
                <w:szCs w:val="20"/>
              </w:rPr>
              <w:t>ivit v rámci realizace projektu.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C37699" w:rsidRDefault="00951BFA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FA" w:rsidRDefault="00951BFA" w:rsidP="001C7304">
            <w:pPr>
              <w:pStyle w:val="Standard"/>
              <w:spacing w:after="0" w:line="240" w:lineRule="auto"/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951BFA" w:rsidRDefault="00951BFA" w:rsidP="0034424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51BFA" w:rsidRPr="00890F7B" w:rsidTr="00420C6B">
        <w:trPr>
          <w:trHeight w:val="54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není reálný, neodpovídá charakteru jednotlivých aktivit, jednotlivé etapy v harmonogramu netvoří logický celek.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FA" w:rsidRPr="00C37699" w:rsidRDefault="00951BFA" w:rsidP="00CE4E4F">
            <w:pPr>
              <w:tabs>
                <w:tab w:val="left" w:pos="7230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FA" w:rsidRPr="00890F7B" w:rsidRDefault="00951BFA" w:rsidP="001C730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51BFA" w:rsidRPr="00890F7B" w:rsidTr="002A749A">
        <w:trPr>
          <w:trHeight w:val="84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0A55D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55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t xml:space="preserve"> U</w:t>
            </w:r>
            <w:r>
              <w:rPr>
                <w:sz w:val="20"/>
                <w:szCs w:val="20"/>
              </w:rPr>
              <w:t xml:space="preserve">držitelnost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prokazuje celkovou udržitelnost projektu a jeho výstupů/výsledků. Provozní výdaje projektu jsou reálné a </w:t>
            </w:r>
            <w:proofErr w:type="spellStart"/>
            <w:r>
              <w:rPr>
                <w:sz w:val="20"/>
                <w:szCs w:val="20"/>
              </w:rPr>
              <w:t>ufinancovatelné</w:t>
            </w:r>
            <w:proofErr w:type="spellEnd"/>
            <w:r>
              <w:rPr>
                <w:sz w:val="20"/>
                <w:szCs w:val="20"/>
              </w:rPr>
              <w:t>, žadatel má zajištěny zdroje financování po celou dobu udržitelnosti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15637F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bodů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BFA" w:rsidRPr="0015637F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5637F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ů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951BFA" w:rsidRPr="00890F7B" w:rsidRDefault="00951BFA" w:rsidP="00E87CDA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90F7B">
              <w:rPr>
                <w:i/>
                <w:iCs/>
                <w:sz w:val="20"/>
                <w:szCs w:val="20"/>
              </w:rPr>
              <w:t xml:space="preserve">Žadatel podrobně popíše, jak bude projekt pokračovat po dobu udržitelnosti </w:t>
            </w:r>
            <w:r>
              <w:rPr>
                <w:i/>
                <w:iCs/>
                <w:sz w:val="20"/>
                <w:szCs w:val="20"/>
              </w:rPr>
              <w:t xml:space="preserve">(výstupy a výsledky projektu) </w:t>
            </w:r>
            <w:r w:rsidRPr="00890F7B">
              <w:rPr>
                <w:i/>
                <w:iCs/>
                <w:sz w:val="20"/>
                <w:szCs w:val="20"/>
              </w:rPr>
              <w:t>a jakým způsobem bude financován po celé sledované období (žadatel doloží zdroje financování). Posuzována bude udržitelnost institucionální, administrativní a finanční.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C37699" w:rsidRDefault="00951BFA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FA" w:rsidRDefault="00951BFA" w:rsidP="001C7304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951BFA" w:rsidRPr="00890F7B" w:rsidTr="00C62E80">
        <w:trPr>
          <w:trHeight w:val="8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572D4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neprokázal celkovou udržitelnost projektu a jeho výstupů/výsledků. Provozní výdaje projektu nejsou reálné a </w:t>
            </w:r>
            <w:proofErr w:type="spellStart"/>
            <w:r>
              <w:rPr>
                <w:sz w:val="20"/>
                <w:szCs w:val="20"/>
              </w:rPr>
              <w:t>ufinancovatelné</w:t>
            </w:r>
            <w:proofErr w:type="spellEnd"/>
            <w:r>
              <w:rPr>
                <w:sz w:val="20"/>
                <w:szCs w:val="20"/>
              </w:rPr>
              <w:t>, žadatel neprokázal zajištění zdrojů financování po dobu udržitelnosti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15637F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BFA" w:rsidRPr="0015637F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BFA" w:rsidRPr="00890F7B" w:rsidRDefault="00951BFA" w:rsidP="00761AE5">
            <w:pPr>
              <w:tabs>
                <w:tab w:val="left" w:pos="7230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FA" w:rsidRPr="00890F7B" w:rsidRDefault="00951BFA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51BFA" w:rsidRPr="00890F7B" w:rsidTr="00C62E80">
        <w:trPr>
          <w:trHeight w:val="133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C16CAF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</w:t>
            </w:r>
            <w:r w:rsidR="000A55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Finanční a ekonomická rizika projektu</w:t>
            </w:r>
          </w:p>
          <w:p w:rsidR="00951BFA" w:rsidRDefault="00951BFA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všechna klíčová rizika a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bodu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FA" w:rsidRPr="0015637F" w:rsidRDefault="00951BFA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Max. 2,5 bodu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Default="00951BFA" w:rsidP="00E2416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76985"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72D0">
              <w:rPr>
                <w:b/>
                <w:bCs/>
                <w:i/>
                <w:iCs/>
                <w:sz w:val="20"/>
                <w:szCs w:val="20"/>
              </w:rPr>
              <w:t>(zejména kap. 15)</w:t>
            </w:r>
          </w:p>
          <w:p w:rsidR="00951BFA" w:rsidRDefault="00951BFA" w:rsidP="00E24167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76985">
              <w:rPr>
                <w:i/>
                <w:iCs/>
                <w:sz w:val="20"/>
                <w:szCs w:val="20"/>
              </w:rPr>
              <w:t xml:space="preserve">Pozornost se soustředí na popis rizik, předpokladů úspěšné realizace projektu a řešení k odstranění nebo minimalizaci rizik. </w:t>
            </w:r>
            <w:r>
              <w:rPr>
                <w:i/>
                <w:iCs/>
                <w:sz w:val="20"/>
                <w:szCs w:val="20"/>
              </w:rPr>
              <w:t>Klíčová jsou</w:t>
            </w:r>
            <w:r w:rsidRPr="00176985">
              <w:rPr>
                <w:i/>
                <w:iCs/>
                <w:sz w:val="20"/>
                <w:szCs w:val="20"/>
              </w:rPr>
              <w:t xml:space="preserve"> rizika </w:t>
            </w:r>
            <w:r w:rsidRPr="00176985">
              <w:rPr>
                <w:i/>
                <w:sz w:val="20"/>
                <w:szCs w:val="20"/>
              </w:rPr>
              <w:t>ekonomická,</w:t>
            </w:r>
            <w:r w:rsidRPr="00176985">
              <w:rPr>
                <w:sz w:val="20"/>
                <w:szCs w:val="20"/>
              </w:rPr>
              <w:t xml:space="preserve"> </w:t>
            </w:r>
            <w:r w:rsidRPr="00176985">
              <w:rPr>
                <w:i/>
                <w:sz w:val="20"/>
                <w:szCs w:val="20"/>
              </w:rPr>
              <w:t>finanční, logistická</w:t>
            </w:r>
            <w:r>
              <w:rPr>
                <w:i/>
                <w:sz w:val="20"/>
                <w:szCs w:val="20"/>
              </w:rPr>
              <w:t>, obchodní</w:t>
            </w:r>
            <w:r w:rsidRPr="00176985">
              <w:rPr>
                <w:i/>
                <w:sz w:val="20"/>
                <w:szCs w:val="20"/>
              </w:rPr>
              <w:t xml:space="preserve"> a provozní.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C37699" w:rsidRDefault="00951BFA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FA" w:rsidRDefault="00951BFA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951BFA" w:rsidRPr="00890F7B" w:rsidTr="002A749A">
        <w:trPr>
          <w:trHeight w:val="106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3B1C57">
              <w:rPr>
                <w:sz w:val="20"/>
                <w:szCs w:val="20"/>
              </w:rPr>
              <w:t>Projekt neidentifikoval všechna klíčová rizika. Projekt neobsahuje závažné riziko (příp. více závažných rizik), které žadatel neidentifikoval nebo nenavrhl adekvátní způsob vedoucí k</w:t>
            </w:r>
            <w:r>
              <w:rPr>
                <w:sz w:val="20"/>
                <w:szCs w:val="20"/>
              </w:rPr>
              <w:t>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bod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15637F" w:rsidRDefault="00951BFA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C37699" w:rsidRDefault="00951BFA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FA" w:rsidRDefault="00951BFA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51BFA" w:rsidRPr="00890F7B" w:rsidTr="002A749A">
        <w:trPr>
          <w:trHeight w:val="98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neidentifikoval všechna klíčová rizika. Projekt 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15637F" w:rsidRDefault="00951BFA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C37699" w:rsidRDefault="00951BFA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FA" w:rsidRDefault="00951BFA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51BFA" w:rsidRPr="00890F7B" w:rsidTr="00B67247">
        <w:trPr>
          <w:trHeight w:val="133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0A55D4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A55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Ostatní r</w:t>
            </w:r>
            <w:r w:rsidRPr="00890F7B">
              <w:rPr>
                <w:sz w:val="20"/>
                <w:szCs w:val="20"/>
              </w:rPr>
              <w:t>izika projektu</w:t>
            </w:r>
            <w:r>
              <w:rPr>
                <w:sz w:val="20"/>
                <w:szCs w:val="20"/>
              </w:rPr>
              <w:t xml:space="preserve"> </w:t>
            </w:r>
            <w:r w:rsidRPr="0017698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vyjma</w:t>
            </w:r>
            <w:r w:rsidRPr="00176985">
              <w:rPr>
                <w:sz w:val="20"/>
                <w:szCs w:val="20"/>
              </w:rPr>
              <w:t xml:space="preserve"> finančních a ekonomických rizik)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všechna klíčová rizika a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15637F" w:rsidRDefault="00951BFA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2,5 bodu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15637F" w:rsidRDefault="00951BFA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2,5 bodu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Default="00951BFA" w:rsidP="00E2416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76985"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72D0">
              <w:rPr>
                <w:b/>
                <w:bCs/>
                <w:i/>
                <w:iCs/>
                <w:sz w:val="20"/>
                <w:szCs w:val="20"/>
              </w:rPr>
              <w:t>(zejména kap. 15)</w:t>
            </w:r>
          </w:p>
          <w:p w:rsidR="00951BFA" w:rsidRPr="003B474B" w:rsidRDefault="00951BFA" w:rsidP="003B474B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76985">
              <w:rPr>
                <w:i/>
                <w:iCs/>
                <w:sz w:val="20"/>
                <w:szCs w:val="20"/>
              </w:rPr>
              <w:t xml:space="preserve">Pozornost se soustředí na popis ostatních realizačních rizik (krom finančních a ekonomických), předpokladů úspěšné realizace projektu a řešení k odstranění nebo minimalizaci rizik. </w:t>
            </w:r>
            <w:r>
              <w:rPr>
                <w:i/>
                <w:iCs/>
                <w:sz w:val="20"/>
                <w:szCs w:val="20"/>
              </w:rPr>
              <w:t>Klíčová jsou</w:t>
            </w:r>
            <w:r w:rsidRPr="00176985">
              <w:rPr>
                <w:i/>
                <w:iCs/>
                <w:sz w:val="20"/>
                <w:szCs w:val="20"/>
              </w:rPr>
              <w:t xml:space="preserve"> rizika </w:t>
            </w:r>
            <w:r w:rsidRPr="00176985">
              <w:rPr>
                <w:i/>
                <w:sz w:val="20"/>
                <w:szCs w:val="20"/>
              </w:rPr>
              <w:t>technická a technologická, projektová, informační, časová, organizační, legislativní, sociální, ekologická, b</w:t>
            </w:r>
            <w:r>
              <w:rPr>
                <w:i/>
                <w:sz w:val="20"/>
                <w:szCs w:val="20"/>
              </w:rPr>
              <w:t xml:space="preserve">ezpečnostní, živelná a přírodní.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BFA" w:rsidRPr="00C37699" w:rsidRDefault="00951BFA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C37699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FA" w:rsidRDefault="00951BFA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951BFA" w:rsidRPr="00890F7B" w:rsidTr="00C63BE8">
        <w:trPr>
          <w:trHeight w:val="119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3B1C57" w:rsidRDefault="00951BFA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3B1C57">
              <w:rPr>
                <w:sz w:val="20"/>
                <w:szCs w:val="20"/>
              </w:rPr>
              <w:t>Projekt neidentifikoval všechna klíčová rizika. Projekt neobsahuje závažné riziko (příp. více závažných rizik), které žadatel neidentifikoval nebo nenavrhl adekvátní způsob vedoucí k</w:t>
            </w:r>
            <w:r>
              <w:rPr>
                <w:sz w:val="20"/>
                <w:szCs w:val="20"/>
              </w:rPr>
              <w:t>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3B1C57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B1C57">
              <w:rPr>
                <w:sz w:val="20"/>
                <w:szCs w:val="20"/>
              </w:rPr>
              <w:t xml:space="preserve"> bod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FA" w:rsidRPr="00D71A06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51BFA" w:rsidRPr="00890F7B" w:rsidTr="00C63BE8">
        <w:trPr>
          <w:trHeight w:val="11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Default="00951BFA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neidentifikoval všechna klíčová rizika. Projekt 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FA" w:rsidRPr="00890F7B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FA" w:rsidRPr="00D71A06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FA" w:rsidRDefault="00951BF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51BFA" w:rsidRPr="00890F7B" w:rsidTr="00842F17">
        <w:trPr>
          <w:trHeight w:val="34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1BFA" w:rsidRDefault="00951BFA" w:rsidP="00B94409">
            <w:pPr>
              <w:pStyle w:val="Standard"/>
              <w:tabs>
                <w:tab w:val="left" w:pos="7230"/>
              </w:tabs>
              <w:rPr>
                <w:b/>
              </w:rPr>
            </w:pPr>
            <w:r>
              <w:rPr>
                <w:b/>
              </w:rPr>
              <w:t xml:space="preserve">Maximální počet dosažitelných bodů = </w:t>
            </w:r>
            <w:r w:rsidRPr="00B94409">
              <w:rPr>
                <w:b/>
              </w:rPr>
              <w:t>100 bodů</w:t>
            </w:r>
            <w:r w:rsidR="007C2426">
              <w:rPr>
                <w:b/>
              </w:rPr>
              <w:t xml:space="preserve"> </w:t>
            </w:r>
          </w:p>
        </w:tc>
      </w:tr>
    </w:tbl>
    <w:p w:rsidR="00791877" w:rsidRPr="00890F7B" w:rsidRDefault="00791877" w:rsidP="000E2BD7">
      <w:pPr>
        <w:pStyle w:val="Standard"/>
        <w:tabs>
          <w:tab w:val="left" w:pos="7230"/>
        </w:tabs>
        <w:rPr>
          <w:sz w:val="20"/>
          <w:szCs w:val="20"/>
        </w:rPr>
      </w:pPr>
    </w:p>
    <w:sectPr w:rsidR="00791877" w:rsidRPr="00890F7B" w:rsidSect="00884E8E">
      <w:headerReference w:type="default" r:id="rId9"/>
      <w:footerReference w:type="default" r:id="rId10"/>
      <w:pgSz w:w="16838" w:h="11906" w:orient="landscape"/>
      <w:pgMar w:top="766" w:right="253" w:bottom="766" w:left="42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08" w:rsidRDefault="000C5408">
      <w:pPr>
        <w:spacing w:after="0" w:line="240" w:lineRule="auto"/>
      </w:pPr>
      <w:r>
        <w:separator/>
      </w:r>
    </w:p>
  </w:endnote>
  <w:endnote w:type="continuationSeparator" w:id="0">
    <w:p w:rsidR="000C5408" w:rsidRDefault="000C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08" w:rsidRDefault="000C5408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434EC0">
      <w:rPr>
        <w:noProof/>
      </w:rPr>
      <w:t>7</w:t>
    </w:r>
    <w:r>
      <w:fldChar w:fldCharType="end"/>
    </w:r>
  </w:p>
  <w:p w:rsidR="000C5408" w:rsidRDefault="000C5408">
    <w:pPr>
      <w:pStyle w:val="Zpat"/>
    </w:pPr>
  </w:p>
  <w:p w:rsidR="00C5021E" w:rsidRDefault="00C502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08" w:rsidRDefault="000C54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C5408" w:rsidRDefault="000C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08" w:rsidRDefault="000C5408">
    <w:pPr>
      <w:pStyle w:val="Standard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FC14B73" wp14:editId="75785C2E">
          <wp:simplePos x="0" y="0"/>
          <wp:positionH relativeFrom="column">
            <wp:posOffset>8712200</wp:posOffset>
          </wp:positionH>
          <wp:positionV relativeFrom="paragraph">
            <wp:posOffset>-164465</wp:posOffset>
          </wp:positionV>
          <wp:extent cx="657860" cy="657860"/>
          <wp:effectExtent l="0" t="0" r="0" b="0"/>
          <wp:wrapTight wrapText="bothSides">
            <wp:wrapPolygon edited="0">
              <wp:start x="0" y="0"/>
              <wp:lineTo x="0" y="21266"/>
              <wp:lineTo x="21266" y="21266"/>
              <wp:lineTo x="21266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755603" wp14:editId="217169F6">
          <wp:simplePos x="0" y="0"/>
          <wp:positionH relativeFrom="column">
            <wp:posOffset>0</wp:posOffset>
          </wp:positionH>
          <wp:positionV relativeFrom="page">
            <wp:posOffset>352425</wp:posOffset>
          </wp:positionV>
          <wp:extent cx="3272790" cy="654685"/>
          <wp:effectExtent l="0" t="0" r="0" b="0"/>
          <wp:wrapSquare wrapText="bothSides"/>
          <wp:docPr id="3" name="logo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408" w:rsidRDefault="000C5408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0C5408" w:rsidRDefault="000C5408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0C5408" w:rsidRDefault="000C5408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0C5408" w:rsidRPr="007F6804" w:rsidRDefault="000C5408" w:rsidP="00A2745C">
    <w:pPr>
      <w:pStyle w:val="Standard"/>
      <w:spacing w:after="0" w:line="240" w:lineRule="auto"/>
      <w:rPr>
        <w:rFonts w:eastAsia="Times New Roman" w:cs="Calibri"/>
        <w:b/>
        <w:bCs/>
        <w:color w:val="000000"/>
        <w:sz w:val="28"/>
        <w:szCs w:val="28"/>
        <w:lang w:eastAsia="cs-CZ"/>
      </w:rPr>
    </w:pPr>
    <w:r>
      <w:rPr>
        <w:rFonts w:eastAsia="Times New Roman" w:cs="Calibri"/>
        <w:b/>
        <w:bCs/>
        <w:color w:val="000000"/>
        <w:sz w:val="28"/>
        <w:lang w:eastAsia="cs-CZ"/>
      </w:rPr>
      <w:t xml:space="preserve">Sada hodnotících </w:t>
    </w:r>
    <w:r w:rsidRPr="007F583F">
      <w:rPr>
        <w:rFonts w:eastAsia="Times New Roman" w:cs="Calibri"/>
        <w:b/>
        <w:bCs/>
        <w:color w:val="000000"/>
        <w:sz w:val="28"/>
        <w:lang w:eastAsia="cs-CZ"/>
      </w:rPr>
      <w:t xml:space="preserve">kritérií </w:t>
    </w:r>
    <w:r>
      <w:rPr>
        <w:rFonts w:eastAsia="Times New Roman" w:cs="Calibri"/>
        <w:b/>
        <w:bCs/>
        <w:color w:val="000000"/>
        <w:sz w:val="28"/>
        <w:lang w:eastAsia="cs-CZ"/>
      </w:rPr>
      <w:t>pro prioritní osu 4 v rámci OP PPR</w:t>
    </w:r>
    <w:r w:rsidRPr="007F6804">
      <w:rPr>
        <w:rFonts w:eastAsia="Times New Roman" w:cs="Arial"/>
        <w:b/>
        <w:bCs/>
        <w:color w:val="000000"/>
        <w:sz w:val="28"/>
        <w:szCs w:val="28"/>
        <w:lang w:eastAsia="cs-CZ"/>
      </w:rPr>
      <w:t>, specifický cíl 4.1</w:t>
    </w:r>
    <w:r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 </w:t>
    </w:r>
    <w:r w:rsidRPr="001E662F">
      <w:rPr>
        <w:rFonts w:eastAsia="Times New Roman" w:cs="Arial"/>
        <w:b/>
        <w:bCs/>
        <w:color w:val="000000"/>
        <w:sz w:val="28"/>
        <w:szCs w:val="28"/>
        <w:lang w:eastAsia="cs-CZ"/>
      </w:rPr>
      <w:t>Navýšení kapacity a zkvalitnění předškolního, základního a středního vzdělávání a zařízení pro poskytování péče o děti do 3 let</w:t>
    </w:r>
    <w:r>
      <w:rPr>
        <w:rFonts w:eastAsia="Times New Roman" w:cs="Arial"/>
        <w:b/>
        <w:bCs/>
        <w:color w:val="000000"/>
        <w:sz w:val="28"/>
        <w:szCs w:val="28"/>
        <w:lang w:eastAsia="cs-CZ"/>
      </w:rPr>
      <w:t>, aktivita 4.1.5 Zvýšení kvality a dostupnosti infrastruktury na školách – modernizace zařízení a vybavení pražských škol</w:t>
    </w:r>
  </w:p>
  <w:p w:rsidR="000C5408" w:rsidRPr="007F6804" w:rsidRDefault="000C5408" w:rsidP="00216396">
    <w:pPr>
      <w:pStyle w:val="Standard"/>
      <w:spacing w:after="0" w:line="240" w:lineRule="auto"/>
      <w:rPr>
        <w:rFonts w:eastAsia="Times New Roman" w:cs="Calibri"/>
        <w:b/>
        <w:bCs/>
        <w:color w:val="000000"/>
        <w:sz w:val="28"/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703"/>
    <w:multiLevelType w:val="multilevel"/>
    <w:tmpl w:val="98FECCFC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266055"/>
    <w:multiLevelType w:val="multilevel"/>
    <w:tmpl w:val="CBDC37AA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A82BAD"/>
    <w:multiLevelType w:val="multilevel"/>
    <w:tmpl w:val="96DE2B9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5D0FE5"/>
    <w:multiLevelType w:val="multilevel"/>
    <w:tmpl w:val="07B4F6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8EF79D8"/>
    <w:multiLevelType w:val="multilevel"/>
    <w:tmpl w:val="44A84F52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8F55742"/>
    <w:multiLevelType w:val="multilevel"/>
    <w:tmpl w:val="B32AD23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CF555EB"/>
    <w:multiLevelType w:val="multilevel"/>
    <w:tmpl w:val="AB7C699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DD31BC0"/>
    <w:multiLevelType w:val="multilevel"/>
    <w:tmpl w:val="800605BE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04739FB"/>
    <w:multiLevelType w:val="multilevel"/>
    <w:tmpl w:val="23BE902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15E73C2"/>
    <w:multiLevelType w:val="multilevel"/>
    <w:tmpl w:val="5BF2CCEA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2C82747"/>
    <w:multiLevelType w:val="multilevel"/>
    <w:tmpl w:val="02304826"/>
    <w:styleLink w:val="WWOutlineListStyle"/>
    <w:lvl w:ilvl="0">
      <w:start w:val="1"/>
      <w:numFmt w:val="decimal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4832A9F"/>
    <w:multiLevelType w:val="multilevel"/>
    <w:tmpl w:val="BFE2DE7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62703A3"/>
    <w:multiLevelType w:val="multilevel"/>
    <w:tmpl w:val="585296C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8B4717C"/>
    <w:multiLevelType w:val="multilevel"/>
    <w:tmpl w:val="DEA03EF2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3F94CBF"/>
    <w:multiLevelType w:val="multilevel"/>
    <w:tmpl w:val="15F26C7A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B035241"/>
    <w:multiLevelType w:val="multilevel"/>
    <w:tmpl w:val="7AB85C8E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B192178"/>
    <w:multiLevelType w:val="multilevel"/>
    <w:tmpl w:val="765C4D40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B1E5EAF"/>
    <w:multiLevelType w:val="multilevel"/>
    <w:tmpl w:val="588200C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5302A80"/>
    <w:multiLevelType w:val="multilevel"/>
    <w:tmpl w:val="4A064B00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55947DB"/>
    <w:multiLevelType w:val="multilevel"/>
    <w:tmpl w:val="9B546E0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8473ED2"/>
    <w:multiLevelType w:val="multilevel"/>
    <w:tmpl w:val="6AD4DE0E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1116A49"/>
    <w:multiLevelType w:val="multilevel"/>
    <w:tmpl w:val="977C14DE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27832F4"/>
    <w:multiLevelType w:val="multilevel"/>
    <w:tmpl w:val="DC8C96EE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8FC2AB9"/>
    <w:multiLevelType w:val="multilevel"/>
    <w:tmpl w:val="75048856"/>
    <w:styleLink w:val="WW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91278D2"/>
    <w:multiLevelType w:val="multilevel"/>
    <w:tmpl w:val="BFFA4AD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D975B78"/>
    <w:multiLevelType w:val="multilevel"/>
    <w:tmpl w:val="97401BAC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EFD0262"/>
    <w:multiLevelType w:val="hybridMultilevel"/>
    <w:tmpl w:val="DFD6CE36"/>
    <w:lvl w:ilvl="0" w:tplc="074C3198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E67E1"/>
    <w:multiLevelType w:val="multilevel"/>
    <w:tmpl w:val="E59072B0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BC6961"/>
    <w:multiLevelType w:val="multilevel"/>
    <w:tmpl w:val="192AB3C2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5EE545D"/>
    <w:multiLevelType w:val="multilevel"/>
    <w:tmpl w:val="96BACFA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6A13791"/>
    <w:multiLevelType w:val="multilevel"/>
    <w:tmpl w:val="0C3A6A0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8905C1E"/>
    <w:multiLevelType w:val="multilevel"/>
    <w:tmpl w:val="762861B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240D9A"/>
    <w:multiLevelType w:val="multilevel"/>
    <w:tmpl w:val="0CBE471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F5B6AE7"/>
    <w:multiLevelType w:val="multilevel"/>
    <w:tmpl w:val="F146A37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FE40665"/>
    <w:multiLevelType w:val="multilevel"/>
    <w:tmpl w:val="12C6A9C6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FEE6B4E"/>
    <w:multiLevelType w:val="multilevel"/>
    <w:tmpl w:val="97C4A35C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06E36F6"/>
    <w:multiLevelType w:val="multilevel"/>
    <w:tmpl w:val="82AA563C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15B2FB6"/>
    <w:multiLevelType w:val="multilevel"/>
    <w:tmpl w:val="0BCC0F1C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548391F"/>
    <w:multiLevelType w:val="multilevel"/>
    <w:tmpl w:val="4D5C1AB6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B7244B7"/>
    <w:multiLevelType w:val="multilevel"/>
    <w:tmpl w:val="E7A6495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02B7862"/>
    <w:multiLevelType w:val="multilevel"/>
    <w:tmpl w:val="158E57B8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1BB64D8"/>
    <w:multiLevelType w:val="multilevel"/>
    <w:tmpl w:val="F5D47DF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73525FF0"/>
    <w:multiLevelType w:val="hybridMultilevel"/>
    <w:tmpl w:val="4C4EA8AA"/>
    <w:lvl w:ilvl="0" w:tplc="CAAE177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52D32"/>
    <w:multiLevelType w:val="multilevel"/>
    <w:tmpl w:val="1D02576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5690098"/>
    <w:multiLevelType w:val="multilevel"/>
    <w:tmpl w:val="DCAA1E64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6D87DED"/>
    <w:multiLevelType w:val="multilevel"/>
    <w:tmpl w:val="969A39A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86E609F"/>
    <w:multiLevelType w:val="hybridMultilevel"/>
    <w:tmpl w:val="586213D0"/>
    <w:lvl w:ilvl="0" w:tplc="FE6C35F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312CF"/>
    <w:multiLevelType w:val="multilevel"/>
    <w:tmpl w:val="6432440E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7E47319A"/>
    <w:multiLevelType w:val="multilevel"/>
    <w:tmpl w:val="27F41E3A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12"/>
  </w:num>
  <w:num w:numId="3">
    <w:abstractNumId w:val="31"/>
  </w:num>
  <w:num w:numId="4">
    <w:abstractNumId w:val="33"/>
  </w:num>
  <w:num w:numId="5">
    <w:abstractNumId w:val="39"/>
  </w:num>
  <w:num w:numId="6">
    <w:abstractNumId w:val="29"/>
  </w:num>
  <w:num w:numId="7">
    <w:abstractNumId w:val="43"/>
  </w:num>
  <w:num w:numId="8">
    <w:abstractNumId w:val="30"/>
  </w:num>
  <w:num w:numId="9">
    <w:abstractNumId w:val="17"/>
  </w:num>
  <w:num w:numId="10">
    <w:abstractNumId w:val="2"/>
  </w:num>
  <w:num w:numId="11">
    <w:abstractNumId w:val="5"/>
  </w:num>
  <w:num w:numId="12">
    <w:abstractNumId w:val="7"/>
  </w:num>
  <w:num w:numId="13">
    <w:abstractNumId w:val="24"/>
  </w:num>
  <w:num w:numId="14">
    <w:abstractNumId w:val="47"/>
  </w:num>
  <w:num w:numId="15">
    <w:abstractNumId w:val="11"/>
  </w:num>
  <w:num w:numId="16">
    <w:abstractNumId w:val="3"/>
  </w:num>
  <w:num w:numId="17">
    <w:abstractNumId w:val="36"/>
  </w:num>
  <w:num w:numId="18">
    <w:abstractNumId w:val="34"/>
  </w:num>
  <w:num w:numId="19">
    <w:abstractNumId w:val="21"/>
  </w:num>
  <w:num w:numId="20">
    <w:abstractNumId w:val="48"/>
  </w:num>
  <w:num w:numId="21">
    <w:abstractNumId w:val="0"/>
  </w:num>
  <w:num w:numId="22">
    <w:abstractNumId w:val="22"/>
  </w:num>
  <w:num w:numId="23">
    <w:abstractNumId w:val="37"/>
  </w:num>
  <w:num w:numId="24">
    <w:abstractNumId w:val="44"/>
  </w:num>
  <w:num w:numId="25">
    <w:abstractNumId w:val="15"/>
  </w:num>
  <w:num w:numId="26">
    <w:abstractNumId w:val="13"/>
  </w:num>
  <w:num w:numId="27">
    <w:abstractNumId w:val="6"/>
  </w:num>
  <w:num w:numId="28">
    <w:abstractNumId w:val="45"/>
  </w:num>
  <w:num w:numId="29">
    <w:abstractNumId w:val="16"/>
  </w:num>
  <w:num w:numId="30">
    <w:abstractNumId w:val="8"/>
  </w:num>
  <w:num w:numId="31">
    <w:abstractNumId w:val="32"/>
  </w:num>
  <w:num w:numId="32">
    <w:abstractNumId w:val="20"/>
  </w:num>
  <w:num w:numId="33">
    <w:abstractNumId w:val="14"/>
  </w:num>
  <w:num w:numId="34">
    <w:abstractNumId w:val="40"/>
  </w:num>
  <w:num w:numId="35">
    <w:abstractNumId w:val="28"/>
  </w:num>
  <w:num w:numId="36">
    <w:abstractNumId w:val="27"/>
  </w:num>
  <w:num w:numId="37">
    <w:abstractNumId w:val="9"/>
  </w:num>
  <w:num w:numId="38">
    <w:abstractNumId w:val="38"/>
  </w:num>
  <w:num w:numId="39">
    <w:abstractNumId w:val="1"/>
  </w:num>
  <w:num w:numId="40">
    <w:abstractNumId w:val="41"/>
  </w:num>
  <w:num w:numId="41">
    <w:abstractNumId w:val="25"/>
  </w:num>
  <w:num w:numId="42">
    <w:abstractNumId w:val="4"/>
  </w:num>
  <w:num w:numId="43">
    <w:abstractNumId w:val="18"/>
  </w:num>
  <w:num w:numId="44">
    <w:abstractNumId w:val="35"/>
  </w:num>
  <w:num w:numId="45">
    <w:abstractNumId w:val="19"/>
  </w:num>
  <w:num w:numId="46">
    <w:abstractNumId w:val="23"/>
  </w:num>
  <w:num w:numId="47">
    <w:abstractNumId w:val="46"/>
  </w:num>
  <w:num w:numId="48">
    <w:abstractNumId w:val="42"/>
  </w:num>
  <w:num w:numId="49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igerová Marcela (MHMP, FON)">
    <w15:presenceInfo w15:providerId="AD" w15:userId="S-1-5-21-51522800-1458712415-681445708-46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77"/>
    <w:rsid w:val="00002AB3"/>
    <w:rsid w:val="00003C58"/>
    <w:rsid w:val="00011B45"/>
    <w:rsid w:val="00012A08"/>
    <w:rsid w:val="000145FB"/>
    <w:rsid w:val="00021C5E"/>
    <w:rsid w:val="00022F44"/>
    <w:rsid w:val="00031FFD"/>
    <w:rsid w:val="000339A9"/>
    <w:rsid w:val="0003598A"/>
    <w:rsid w:val="0004183A"/>
    <w:rsid w:val="0004515B"/>
    <w:rsid w:val="00045467"/>
    <w:rsid w:val="00053FC1"/>
    <w:rsid w:val="000550ED"/>
    <w:rsid w:val="000628C8"/>
    <w:rsid w:val="000632BA"/>
    <w:rsid w:val="00063832"/>
    <w:rsid w:val="00065A14"/>
    <w:rsid w:val="000705A6"/>
    <w:rsid w:val="0007253A"/>
    <w:rsid w:val="00074970"/>
    <w:rsid w:val="00074D99"/>
    <w:rsid w:val="000760FE"/>
    <w:rsid w:val="00076669"/>
    <w:rsid w:val="000777E3"/>
    <w:rsid w:val="00077FAA"/>
    <w:rsid w:val="0008158F"/>
    <w:rsid w:val="000821E6"/>
    <w:rsid w:val="00082E42"/>
    <w:rsid w:val="00083059"/>
    <w:rsid w:val="00084CE8"/>
    <w:rsid w:val="00084ECB"/>
    <w:rsid w:val="0008667E"/>
    <w:rsid w:val="00086C68"/>
    <w:rsid w:val="00087C5B"/>
    <w:rsid w:val="00092A1E"/>
    <w:rsid w:val="000A4043"/>
    <w:rsid w:val="000A5510"/>
    <w:rsid w:val="000A55D4"/>
    <w:rsid w:val="000A5B71"/>
    <w:rsid w:val="000B32C1"/>
    <w:rsid w:val="000B6354"/>
    <w:rsid w:val="000B7CA0"/>
    <w:rsid w:val="000C0096"/>
    <w:rsid w:val="000C5408"/>
    <w:rsid w:val="000C5D56"/>
    <w:rsid w:val="000E07C4"/>
    <w:rsid w:val="000E2BD7"/>
    <w:rsid w:val="000E3859"/>
    <w:rsid w:val="000E38D2"/>
    <w:rsid w:val="000E4606"/>
    <w:rsid w:val="000E4EA2"/>
    <w:rsid w:val="000E7AD7"/>
    <w:rsid w:val="000F05F1"/>
    <w:rsid w:val="000F5DAB"/>
    <w:rsid w:val="000F6F9D"/>
    <w:rsid w:val="0010115A"/>
    <w:rsid w:val="001013E4"/>
    <w:rsid w:val="0010398C"/>
    <w:rsid w:val="001132F2"/>
    <w:rsid w:val="001133F3"/>
    <w:rsid w:val="00115F02"/>
    <w:rsid w:val="00116AFE"/>
    <w:rsid w:val="00116EA4"/>
    <w:rsid w:val="0012090A"/>
    <w:rsid w:val="00122402"/>
    <w:rsid w:val="001278A1"/>
    <w:rsid w:val="001301F9"/>
    <w:rsid w:val="00133CCE"/>
    <w:rsid w:val="00134369"/>
    <w:rsid w:val="0013615C"/>
    <w:rsid w:val="0014099A"/>
    <w:rsid w:val="00142BF0"/>
    <w:rsid w:val="00150042"/>
    <w:rsid w:val="0015137D"/>
    <w:rsid w:val="00154FB2"/>
    <w:rsid w:val="001554E4"/>
    <w:rsid w:val="0015637F"/>
    <w:rsid w:val="00163266"/>
    <w:rsid w:val="00167090"/>
    <w:rsid w:val="0017034D"/>
    <w:rsid w:val="00170517"/>
    <w:rsid w:val="001705E9"/>
    <w:rsid w:val="001708B8"/>
    <w:rsid w:val="0017456F"/>
    <w:rsid w:val="001773B2"/>
    <w:rsid w:val="0017762B"/>
    <w:rsid w:val="00177A31"/>
    <w:rsid w:val="0018121E"/>
    <w:rsid w:val="00190B10"/>
    <w:rsid w:val="001912A1"/>
    <w:rsid w:val="001A2A7E"/>
    <w:rsid w:val="001A3098"/>
    <w:rsid w:val="001A3CA2"/>
    <w:rsid w:val="001A3CFF"/>
    <w:rsid w:val="001A4A81"/>
    <w:rsid w:val="001A548E"/>
    <w:rsid w:val="001A5E82"/>
    <w:rsid w:val="001A7192"/>
    <w:rsid w:val="001B46A0"/>
    <w:rsid w:val="001B4C38"/>
    <w:rsid w:val="001B6A50"/>
    <w:rsid w:val="001B7AF3"/>
    <w:rsid w:val="001C7304"/>
    <w:rsid w:val="001C736F"/>
    <w:rsid w:val="001D04E1"/>
    <w:rsid w:val="001D20C8"/>
    <w:rsid w:val="001D2B92"/>
    <w:rsid w:val="001D3282"/>
    <w:rsid w:val="001D36FC"/>
    <w:rsid w:val="001D4495"/>
    <w:rsid w:val="001D683A"/>
    <w:rsid w:val="001E04DC"/>
    <w:rsid w:val="001E136A"/>
    <w:rsid w:val="001E1DD1"/>
    <w:rsid w:val="001E1DF4"/>
    <w:rsid w:val="001E1EA7"/>
    <w:rsid w:val="001E45B8"/>
    <w:rsid w:val="001E662F"/>
    <w:rsid w:val="001E685A"/>
    <w:rsid w:val="001E7020"/>
    <w:rsid w:val="001F1160"/>
    <w:rsid w:val="001F2526"/>
    <w:rsid w:val="001F30B1"/>
    <w:rsid w:val="001F327F"/>
    <w:rsid w:val="001F5167"/>
    <w:rsid w:val="001F6AB7"/>
    <w:rsid w:val="002005F9"/>
    <w:rsid w:val="002024FB"/>
    <w:rsid w:val="00202FCF"/>
    <w:rsid w:val="00204BB0"/>
    <w:rsid w:val="002056CD"/>
    <w:rsid w:val="00205AF6"/>
    <w:rsid w:val="00206DF2"/>
    <w:rsid w:val="00207324"/>
    <w:rsid w:val="00207687"/>
    <w:rsid w:val="00207924"/>
    <w:rsid w:val="00207DDB"/>
    <w:rsid w:val="00213ACE"/>
    <w:rsid w:val="00215040"/>
    <w:rsid w:val="00216396"/>
    <w:rsid w:val="0021706F"/>
    <w:rsid w:val="002202CB"/>
    <w:rsid w:val="00222BE7"/>
    <w:rsid w:val="00224FFC"/>
    <w:rsid w:val="002412E4"/>
    <w:rsid w:val="00241836"/>
    <w:rsid w:val="00245463"/>
    <w:rsid w:val="00245E2F"/>
    <w:rsid w:val="0024628F"/>
    <w:rsid w:val="00247C9D"/>
    <w:rsid w:val="002514B5"/>
    <w:rsid w:val="002608D8"/>
    <w:rsid w:val="00262B70"/>
    <w:rsid w:val="00264AD1"/>
    <w:rsid w:val="00275DAA"/>
    <w:rsid w:val="002766BA"/>
    <w:rsid w:val="00277590"/>
    <w:rsid w:val="002801FB"/>
    <w:rsid w:val="002866AB"/>
    <w:rsid w:val="00291BFE"/>
    <w:rsid w:val="00293F53"/>
    <w:rsid w:val="00294C66"/>
    <w:rsid w:val="002A0AD4"/>
    <w:rsid w:val="002A1739"/>
    <w:rsid w:val="002A2892"/>
    <w:rsid w:val="002A3103"/>
    <w:rsid w:val="002A3D0D"/>
    <w:rsid w:val="002A749A"/>
    <w:rsid w:val="002A75DB"/>
    <w:rsid w:val="002B0EBE"/>
    <w:rsid w:val="002B54B5"/>
    <w:rsid w:val="002B6D1A"/>
    <w:rsid w:val="002B7F93"/>
    <w:rsid w:val="002C4CD7"/>
    <w:rsid w:val="002C6604"/>
    <w:rsid w:val="002D0CA2"/>
    <w:rsid w:val="002D1F62"/>
    <w:rsid w:val="002D2F86"/>
    <w:rsid w:val="002D427B"/>
    <w:rsid w:val="002D42EB"/>
    <w:rsid w:val="002D6E81"/>
    <w:rsid w:val="002E1277"/>
    <w:rsid w:val="002E2C87"/>
    <w:rsid w:val="002E4EB7"/>
    <w:rsid w:val="002E772C"/>
    <w:rsid w:val="002E7DCF"/>
    <w:rsid w:val="002F0D97"/>
    <w:rsid w:val="002F2DB0"/>
    <w:rsid w:val="002F38D7"/>
    <w:rsid w:val="002F6334"/>
    <w:rsid w:val="002F7ABE"/>
    <w:rsid w:val="0030076A"/>
    <w:rsid w:val="003054ED"/>
    <w:rsid w:val="00312A55"/>
    <w:rsid w:val="003130B0"/>
    <w:rsid w:val="00314727"/>
    <w:rsid w:val="00314992"/>
    <w:rsid w:val="00315097"/>
    <w:rsid w:val="003166C1"/>
    <w:rsid w:val="00317FC3"/>
    <w:rsid w:val="00321551"/>
    <w:rsid w:val="00321AC0"/>
    <w:rsid w:val="003302E9"/>
    <w:rsid w:val="003371F8"/>
    <w:rsid w:val="003413A5"/>
    <w:rsid w:val="00342E66"/>
    <w:rsid w:val="00344174"/>
    <w:rsid w:val="00344244"/>
    <w:rsid w:val="00344FC4"/>
    <w:rsid w:val="00347570"/>
    <w:rsid w:val="00354B8C"/>
    <w:rsid w:val="003556F0"/>
    <w:rsid w:val="0036096A"/>
    <w:rsid w:val="003632CA"/>
    <w:rsid w:val="00366949"/>
    <w:rsid w:val="00366E7E"/>
    <w:rsid w:val="00366F01"/>
    <w:rsid w:val="00375251"/>
    <w:rsid w:val="003843EC"/>
    <w:rsid w:val="0038481E"/>
    <w:rsid w:val="003926EB"/>
    <w:rsid w:val="00396E05"/>
    <w:rsid w:val="003A0D57"/>
    <w:rsid w:val="003A170B"/>
    <w:rsid w:val="003B1C57"/>
    <w:rsid w:val="003B474B"/>
    <w:rsid w:val="003C39C9"/>
    <w:rsid w:val="003C713D"/>
    <w:rsid w:val="003D2317"/>
    <w:rsid w:val="003D602A"/>
    <w:rsid w:val="003D6990"/>
    <w:rsid w:val="003E0605"/>
    <w:rsid w:val="003E1221"/>
    <w:rsid w:val="003E5310"/>
    <w:rsid w:val="003E5C4A"/>
    <w:rsid w:val="003E64E2"/>
    <w:rsid w:val="00400DC9"/>
    <w:rsid w:val="00401B3E"/>
    <w:rsid w:val="00406345"/>
    <w:rsid w:val="0040697B"/>
    <w:rsid w:val="004107BD"/>
    <w:rsid w:val="00410CF3"/>
    <w:rsid w:val="004126F8"/>
    <w:rsid w:val="004139FE"/>
    <w:rsid w:val="0041416B"/>
    <w:rsid w:val="0041424A"/>
    <w:rsid w:val="00414363"/>
    <w:rsid w:val="00420C6B"/>
    <w:rsid w:val="00422381"/>
    <w:rsid w:val="00422E28"/>
    <w:rsid w:val="00427435"/>
    <w:rsid w:val="004277B3"/>
    <w:rsid w:val="00431365"/>
    <w:rsid w:val="00431EAC"/>
    <w:rsid w:val="00431F36"/>
    <w:rsid w:val="00433688"/>
    <w:rsid w:val="00434EC0"/>
    <w:rsid w:val="004361BF"/>
    <w:rsid w:val="004373DA"/>
    <w:rsid w:val="00441795"/>
    <w:rsid w:val="004428A5"/>
    <w:rsid w:val="00443385"/>
    <w:rsid w:val="004442A7"/>
    <w:rsid w:val="00444E43"/>
    <w:rsid w:val="004453C4"/>
    <w:rsid w:val="00447769"/>
    <w:rsid w:val="00451C5A"/>
    <w:rsid w:val="00455D9C"/>
    <w:rsid w:val="004564DE"/>
    <w:rsid w:val="0045651B"/>
    <w:rsid w:val="00456932"/>
    <w:rsid w:val="00456E8C"/>
    <w:rsid w:val="004577A9"/>
    <w:rsid w:val="004655BE"/>
    <w:rsid w:val="00466931"/>
    <w:rsid w:val="0046760B"/>
    <w:rsid w:val="00467D2E"/>
    <w:rsid w:val="004710D7"/>
    <w:rsid w:val="00471313"/>
    <w:rsid w:val="00474B40"/>
    <w:rsid w:val="00476E5F"/>
    <w:rsid w:val="004875F4"/>
    <w:rsid w:val="004904C0"/>
    <w:rsid w:val="00490B7D"/>
    <w:rsid w:val="00491527"/>
    <w:rsid w:val="00497B0C"/>
    <w:rsid w:val="004A1012"/>
    <w:rsid w:val="004A45DA"/>
    <w:rsid w:val="004A4F3F"/>
    <w:rsid w:val="004A5EA8"/>
    <w:rsid w:val="004B1909"/>
    <w:rsid w:val="004B3A91"/>
    <w:rsid w:val="004E68BD"/>
    <w:rsid w:val="004E7315"/>
    <w:rsid w:val="004F0C59"/>
    <w:rsid w:val="004F2409"/>
    <w:rsid w:val="004F4F21"/>
    <w:rsid w:val="004F6E4D"/>
    <w:rsid w:val="0050492E"/>
    <w:rsid w:val="00505216"/>
    <w:rsid w:val="00505FFB"/>
    <w:rsid w:val="00512A76"/>
    <w:rsid w:val="005131C8"/>
    <w:rsid w:val="00513AD0"/>
    <w:rsid w:val="00514D58"/>
    <w:rsid w:val="00515DB8"/>
    <w:rsid w:val="00516FD5"/>
    <w:rsid w:val="005172A4"/>
    <w:rsid w:val="00527562"/>
    <w:rsid w:val="00527EE3"/>
    <w:rsid w:val="005321AA"/>
    <w:rsid w:val="00534CBF"/>
    <w:rsid w:val="00536E54"/>
    <w:rsid w:val="00536F4B"/>
    <w:rsid w:val="005427D4"/>
    <w:rsid w:val="005442E2"/>
    <w:rsid w:val="005464C9"/>
    <w:rsid w:val="00547451"/>
    <w:rsid w:val="00552499"/>
    <w:rsid w:val="00553CCE"/>
    <w:rsid w:val="0056098C"/>
    <w:rsid w:val="0056523D"/>
    <w:rsid w:val="005710D9"/>
    <w:rsid w:val="00572D40"/>
    <w:rsid w:val="00575749"/>
    <w:rsid w:val="00575F42"/>
    <w:rsid w:val="00581C04"/>
    <w:rsid w:val="005844B0"/>
    <w:rsid w:val="005879DA"/>
    <w:rsid w:val="00591192"/>
    <w:rsid w:val="005929A9"/>
    <w:rsid w:val="0059726A"/>
    <w:rsid w:val="005A0122"/>
    <w:rsid w:val="005A1481"/>
    <w:rsid w:val="005A3DF8"/>
    <w:rsid w:val="005A5A87"/>
    <w:rsid w:val="005B27C7"/>
    <w:rsid w:val="005B28EA"/>
    <w:rsid w:val="005B2ACB"/>
    <w:rsid w:val="005B7FB2"/>
    <w:rsid w:val="005B7FEA"/>
    <w:rsid w:val="005C2EF0"/>
    <w:rsid w:val="005C63F0"/>
    <w:rsid w:val="005D2530"/>
    <w:rsid w:val="005D2F1D"/>
    <w:rsid w:val="005D5CFC"/>
    <w:rsid w:val="005D6600"/>
    <w:rsid w:val="005D75D6"/>
    <w:rsid w:val="005E1F34"/>
    <w:rsid w:val="005E3FE6"/>
    <w:rsid w:val="005F0693"/>
    <w:rsid w:val="005F45BA"/>
    <w:rsid w:val="006045D1"/>
    <w:rsid w:val="006047E2"/>
    <w:rsid w:val="00607455"/>
    <w:rsid w:val="00610284"/>
    <w:rsid w:val="00620FD2"/>
    <w:rsid w:val="0062125C"/>
    <w:rsid w:val="00622C36"/>
    <w:rsid w:val="00622FF0"/>
    <w:rsid w:val="00623266"/>
    <w:rsid w:val="00625399"/>
    <w:rsid w:val="00626FB8"/>
    <w:rsid w:val="00632EDC"/>
    <w:rsid w:val="00636DF8"/>
    <w:rsid w:val="00637C96"/>
    <w:rsid w:val="00644A68"/>
    <w:rsid w:val="00650A86"/>
    <w:rsid w:val="0065177A"/>
    <w:rsid w:val="0065209C"/>
    <w:rsid w:val="00654B62"/>
    <w:rsid w:val="00654DBC"/>
    <w:rsid w:val="00655A33"/>
    <w:rsid w:val="00655DA7"/>
    <w:rsid w:val="00664B79"/>
    <w:rsid w:val="00665117"/>
    <w:rsid w:val="00667BC6"/>
    <w:rsid w:val="0067306D"/>
    <w:rsid w:val="006740CE"/>
    <w:rsid w:val="00675523"/>
    <w:rsid w:val="0068015D"/>
    <w:rsid w:val="00680676"/>
    <w:rsid w:val="006812CF"/>
    <w:rsid w:val="00682D9A"/>
    <w:rsid w:val="006857A7"/>
    <w:rsid w:val="00685E7B"/>
    <w:rsid w:val="00686C12"/>
    <w:rsid w:val="00694102"/>
    <w:rsid w:val="006A1ABD"/>
    <w:rsid w:val="006A59DA"/>
    <w:rsid w:val="006B2297"/>
    <w:rsid w:val="006B2959"/>
    <w:rsid w:val="006B2EBF"/>
    <w:rsid w:val="006B30D3"/>
    <w:rsid w:val="006B3E9C"/>
    <w:rsid w:val="006B5252"/>
    <w:rsid w:val="006C0CA5"/>
    <w:rsid w:val="006C4D51"/>
    <w:rsid w:val="006C6F17"/>
    <w:rsid w:val="006C6F49"/>
    <w:rsid w:val="006D06FE"/>
    <w:rsid w:val="006E3558"/>
    <w:rsid w:val="006E6D33"/>
    <w:rsid w:val="006E7572"/>
    <w:rsid w:val="006F0DA1"/>
    <w:rsid w:val="006F1F4F"/>
    <w:rsid w:val="006F58D0"/>
    <w:rsid w:val="006F5E8D"/>
    <w:rsid w:val="0070128C"/>
    <w:rsid w:val="00703854"/>
    <w:rsid w:val="00704974"/>
    <w:rsid w:val="0070522E"/>
    <w:rsid w:val="007064C4"/>
    <w:rsid w:val="00710B79"/>
    <w:rsid w:val="00710D6A"/>
    <w:rsid w:val="0071382C"/>
    <w:rsid w:val="00715369"/>
    <w:rsid w:val="00722495"/>
    <w:rsid w:val="00727728"/>
    <w:rsid w:val="00730091"/>
    <w:rsid w:val="0073126B"/>
    <w:rsid w:val="00731D05"/>
    <w:rsid w:val="007361DE"/>
    <w:rsid w:val="00737B0D"/>
    <w:rsid w:val="00740573"/>
    <w:rsid w:val="00740C3D"/>
    <w:rsid w:val="007438BE"/>
    <w:rsid w:val="007440E3"/>
    <w:rsid w:val="0074550E"/>
    <w:rsid w:val="007467E1"/>
    <w:rsid w:val="00746BDF"/>
    <w:rsid w:val="00746F7E"/>
    <w:rsid w:val="0074792B"/>
    <w:rsid w:val="00751B82"/>
    <w:rsid w:val="00752360"/>
    <w:rsid w:val="007619BE"/>
    <w:rsid w:val="00761AE5"/>
    <w:rsid w:val="00770147"/>
    <w:rsid w:val="007744F2"/>
    <w:rsid w:val="00774C43"/>
    <w:rsid w:val="007804A0"/>
    <w:rsid w:val="0078107E"/>
    <w:rsid w:val="00782D68"/>
    <w:rsid w:val="0078306E"/>
    <w:rsid w:val="00783FC3"/>
    <w:rsid w:val="007845AA"/>
    <w:rsid w:val="007878D1"/>
    <w:rsid w:val="00790468"/>
    <w:rsid w:val="0079046E"/>
    <w:rsid w:val="00791877"/>
    <w:rsid w:val="007938E0"/>
    <w:rsid w:val="007A3F99"/>
    <w:rsid w:val="007A5F6A"/>
    <w:rsid w:val="007C2426"/>
    <w:rsid w:val="007C3EBF"/>
    <w:rsid w:val="007C57C5"/>
    <w:rsid w:val="007C6298"/>
    <w:rsid w:val="007C6C49"/>
    <w:rsid w:val="007D5BD7"/>
    <w:rsid w:val="007D7964"/>
    <w:rsid w:val="007E42DD"/>
    <w:rsid w:val="007E5228"/>
    <w:rsid w:val="007E646F"/>
    <w:rsid w:val="007E67EE"/>
    <w:rsid w:val="007F15EC"/>
    <w:rsid w:val="007F6804"/>
    <w:rsid w:val="0080081E"/>
    <w:rsid w:val="008009DA"/>
    <w:rsid w:val="00803C34"/>
    <w:rsid w:val="00810879"/>
    <w:rsid w:val="0081254C"/>
    <w:rsid w:val="00812AD9"/>
    <w:rsid w:val="00812E59"/>
    <w:rsid w:val="00813CC2"/>
    <w:rsid w:val="0081412A"/>
    <w:rsid w:val="0082222C"/>
    <w:rsid w:val="00822D04"/>
    <w:rsid w:val="00824134"/>
    <w:rsid w:val="00826B90"/>
    <w:rsid w:val="00826D64"/>
    <w:rsid w:val="008346CD"/>
    <w:rsid w:val="00835EC9"/>
    <w:rsid w:val="00840247"/>
    <w:rsid w:val="00842F17"/>
    <w:rsid w:val="0085413B"/>
    <w:rsid w:val="00855F40"/>
    <w:rsid w:val="008564BE"/>
    <w:rsid w:val="00867072"/>
    <w:rsid w:val="008704FB"/>
    <w:rsid w:val="00874FF2"/>
    <w:rsid w:val="00882776"/>
    <w:rsid w:val="00884E8E"/>
    <w:rsid w:val="00885442"/>
    <w:rsid w:val="00890F7B"/>
    <w:rsid w:val="008A02A2"/>
    <w:rsid w:val="008B10FD"/>
    <w:rsid w:val="008B20E3"/>
    <w:rsid w:val="008B2FB9"/>
    <w:rsid w:val="008B3A59"/>
    <w:rsid w:val="008B4812"/>
    <w:rsid w:val="008B4FF6"/>
    <w:rsid w:val="008B50D6"/>
    <w:rsid w:val="008C1343"/>
    <w:rsid w:val="008C2EA0"/>
    <w:rsid w:val="008C7346"/>
    <w:rsid w:val="008D0235"/>
    <w:rsid w:val="008D4730"/>
    <w:rsid w:val="008D4C89"/>
    <w:rsid w:val="008E1B74"/>
    <w:rsid w:val="008E33B7"/>
    <w:rsid w:val="008E3904"/>
    <w:rsid w:val="008F2BAC"/>
    <w:rsid w:val="008F5085"/>
    <w:rsid w:val="008F7882"/>
    <w:rsid w:val="00901775"/>
    <w:rsid w:val="0090598C"/>
    <w:rsid w:val="00906DA7"/>
    <w:rsid w:val="00906FBA"/>
    <w:rsid w:val="00913F32"/>
    <w:rsid w:val="009160B5"/>
    <w:rsid w:val="009200AB"/>
    <w:rsid w:val="0092144B"/>
    <w:rsid w:val="0092238F"/>
    <w:rsid w:val="00924C23"/>
    <w:rsid w:val="00925E9D"/>
    <w:rsid w:val="009278AF"/>
    <w:rsid w:val="00932278"/>
    <w:rsid w:val="00933965"/>
    <w:rsid w:val="00934DF6"/>
    <w:rsid w:val="00937BE8"/>
    <w:rsid w:val="00940B9D"/>
    <w:rsid w:val="00941D3B"/>
    <w:rsid w:val="00944BB9"/>
    <w:rsid w:val="00950ACD"/>
    <w:rsid w:val="00951BFA"/>
    <w:rsid w:val="0095277E"/>
    <w:rsid w:val="009553C8"/>
    <w:rsid w:val="00956571"/>
    <w:rsid w:val="0095692F"/>
    <w:rsid w:val="0096353F"/>
    <w:rsid w:val="009653D6"/>
    <w:rsid w:val="00972AF3"/>
    <w:rsid w:val="00973030"/>
    <w:rsid w:val="00975037"/>
    <w:rsid w:val="009805B2"/>
    <w:rsid w:val="00980B24"/>
    <w:rsid w:val="009826D6"/>
    <w:rsid w:val="0098630F"/>
    <w:rsid w:val="00992A5C"/>
    <w:rsid w:val="009A35BD"/>
    <w:rsid w:val="009A4990"/>
    <w:rsid w:val="009A7E00"/>
    <w:rsid w:val="009C2714"/>
    <w:rsid w:val="009C292D"/>
    <w:rsid w:val="009C30FA"/>
    <w:rsid w:val="009D0422"/>
    <w:rsid w:val="009D24BC"/>
    <w:rsid w:val="009D4F22"/>
    <w:rsid w:val="009D50B1"/>
    <w:rsid w:val="009D7544"/>
    <w:rsid w:val="009D77DF"/>
    <w:rsid w:val="009E6314"/>
    <w:rsid w:val="009F1CAD"/>
    <w:rsid w:val="009F43C2"/>
    <w:rsid w:val="009F46DD"/>
    <w:rsid w:val="009F6463"/>
    <w:rsid w:val="009F7B7E"/>
    <w:rsid w:val="00A020F3"/>
    <w:rsid w:val="00A05FC9"/>
    <w:rsid w:val="00A10863"/>
    <w:rsid w:val="00A10B32"/>
    <w:rsid w:val="00A16819"/>
    <w:rsid w:val="00A207E5"/>
    <w:rsid w:val="00A21D3D"/>
    <w:rsid w:val="00A232EA"/>
    <w:rsid w:val="00A24366"/>
    <w:rsid w:val="00A2745C"/>
    <w:rsid w:val="00A305F8"/>
    <w:rsid w:val="00A30780"/>
    <w:rsid w:val="00A3099E"/>
    <w:rsid w:val="00A3746E"/>
    <w:rsid w:val="00A37497"/>
    <w:rsid w:val="00A42E53"/>
    <w:rsid w:val="00A45AE3"/>
    <w:rsid w:val="00A513E4"/>
    <w:rsid w:val="00A52BA9"/>
    <w:rsid w:val="00A53F6F"/>
    <w:rsid w:val="00A558B0"/>
    <w:rsid w:val="00A60442"/>
    <w:rsid w:val="00A618EA"/>
    <w:rsid w:val="00A63288"/>
    <w:rsid w:val="00A63B2A"/>
    <w:rsid w:val="00A663FE"/>
    <w:rsid w:val="00A66933"/>
    <w:rsid w:val="00A67602"/>
    <w:rsid w:val="00A73DEB"/>
    <w:rsid w:val="00A76C52"/>
    <w:rsid w:val="00A77D9F"/>
    <w:rsid w:val="00A855F0"/>
    <w:rsid w:val="00A909C9"/>
    <w:rsid w:val="00A92BF9"/>
    <w:rsid w:val="00A95562"/>
    <w:rsid w:val="00A956F4"/>
    <w:rsid w:val="00A9570B"/>
    <w:rsid w:val="00A95C05"/>
    <w:rsid w:val="00A96C0E"/>
    <w:rsid w:val="00AA2446"/>
    <w:rsid w:val="00AA3A97"/>
    <w:rsid w:val="00AB2867"/>
    <w:rsid w:val="00AB4B06"/>
    <w:rsid w:val="00AB6B78"/>
    <w:rsid w:val="00AB745C"/>
    <w:rsid w:val="00AC18C4"/>
    <w:rsid w:val="00AC3E1E"/>
    <w:rsid w:val="00AD1051"/>
    <w:rsid w:val="00AD4120"/>
    <w:rsid w:val="00AD4B8A"/>
    <w:rsid w:val="00AD79E4"/>
    <w:rsid w:val="00AE0ACE"/>
    <w:rsid w:val="00AE0C89"/>
    <w:rsid w:val="00AE1C70"/>
    <w:rsid w:val="00AE3425"/>
    <w:rsid w:val="00AE42FB"/>
    <w:rsid w:val="00AE63CE"/>
    <w:rsid w:val="00AF0B61"/>
    <w:rsid w:val="00AF0C42"/>
    <w:rsid w:val="00AF263C"/>
    <w:rsid w:val="00AF323B"/>
    <w:rsid w:val="00AF3D78"/>
    <w:rsid w:val="00AF3F1F"/>
    <w:rsid w:val="00B005C3"/>
    <w:rsid w:val="00B0441D"/>
    <w:rsid w:val="00B05D77"/>
    <w:rsid w:val="00B0761C"/>
    <w:rsid w:val="00B136BB"/>
    <w:rsid w:val="00B13DB1"/>
    <w:rsid w:val="00B20082"/>
    <w:rsid w:val="00B204CD"/>
    <w:rsid w:val="00B22A25"/>
    <w:rsid w:val="00B26021"/>
    <w:rsid w:val="00B31584"/>
    <w:rsid w:val="00B32715"/>
    <w:rsid w:val="00B3370F"/>
    <w:rsid w:val="00B33CBB"/>
    <w:rsid w:val="00B35902"/>
    <w:rsid w:val="00B37936"/>
    <w:rsid w:val="00B40C80"/>
    <w:rsid w:val="00B4124C"/>
    <w:rsid w:val="00B45217"/>
    <w:rsid w:val="00B506EE"/>
    <w:rsid w:val="00B52645"/>
    <w:rsid w:val="00B55499"/>
    <w:rsid w:val="00B55E0B"/>
    <w:rsid w:val="00B5686E"/>
    <w:rsid w:val="00B61C6D"/>
    <w:rsid w:val="00B671C9"/>
    <w:rsid w:val="00B67247"/>
    <w:rsid w:val="00B70772"/>
    <w:rsid w:val="00B71602"/>
    <w:rsid w:val="00B720FB"/>
    <w:rsid w:val="00B728F4"/>
    <w:rsid w:val="00B756DB"/>
    <w:rsid w:val="00B76E0C"/>
    <w:rsid w:val="00B803D5"/>
    <w:rsid w:val="00B82AF9"/>
    <w:rsid w:val="00B83AF2"/>
    <w:rsid w:val="00B90D9E"/>
    <w:rsid w:val="00B92495"/>
    <w:rsid w:val="00B94409"/>
    <w:rsid w:val="00BA00D5"/>
    <w:rsid w:val="00BA33D1"/>
    <w:rsid w:val="00BA4A86"/>
    <w:rsid w:val="00BA7527"/>
    <w:rsid w:val="00BB4CD3"/>
    <w:rsid w:val="00BB555F"/>
    <w:rsid w:val="00BB5566"/>
    <w:rsid w:val="00BB6058"/>
    <w:rsid w:val="00BC1AC9"/>
    <w:rsid w:val="00BC37CB"/>
    <w:rsid w:val="00BC40B8"/>
    <w:rsid w:val="00BC4BC9"/>
    <w:rsid w:val="00BD040B"/>
    <w:rsid w:val="00BD3897"/>
    <w:rsid w:val="00BD60A5"/>
    <w:rsid w:val="00BD6533"/>
    <w:rsid w:val="00BE4A78"/>
    <w:rsid w:val="00BE5083"/>
    <w:rsid w:val="00BF1DBB"/>
    <w:rsid w:val="00BF6EC4"/>
    <w:rsid w:val="00C0152F"/>
    <w:rsid w:val="00C0180E"/>
    <w:rsid w:val="00C019C9"/>
    <w:rsid w:val="00C03D7A"/>
    <w:rsid w:val="00C100A8"/>
    <w:rsid w:val="00C13914"/>
    <w:rsid w:val="00C165F0"/>
    <w:rsid w:val="00C16CAF"/>
    <w:rsid w:val="00C212EE"/>
    <w:rsid w:val="00C23273"/>
    <w:rsid w:val="00C235D3"/>
    <w:rsid w:val="00C249B2"/>
    <w:rsid w:val="00C303B1"/>
    <w:rsid w:val="00C326E3"/>
    <w:rsid w:val="00C341AF"/>
    <w:rsid w:val="00C37699"/>
    <w:rsid w:val="00C37732"/>
    <w:rsid w:val="00C4096D"/>
    <w:rsid w:val="00C4155E"/>
    <w:rsid w:val="00C43A16"/>
    <w:rsid w:val="00C46C8E"/>
    <w:rsid w:val="00C5021E"/>
    <w:rsid w:val="00C50672"/>
    <w:rsid w:val="00C520D0"/>
    <w:rsid w:val="00C52A1D"/>
    <w:rsid w:val="00C56305"/>
    <w:rsid w:val="00C572E4"/>
    <w:rsid w:val="00C62B71"/>
    <w:rsid w:val="00C62E80"/>
    <w:rsid w:val="00C63459"/>
    <w:rsid w:val="00C63BE8"/>
    <w:rsid w:val="00C74FC2"/>
    <w:rsid w:val="00C803D8"/>
    <w:rsid w:val="00C8121C"/>
    <w:rsid w:val="00C90AEC"/>
    <w:rsid w:val="00C91A69"/>
    <w:rsid w:val="00C94064"/>
    <w:rsid w:val="00CA02ED"/>
    <w:rsid w:val="00CA3B72"/>
    <w:rsid w:val="00CA50C9"/>
    <w:rsid w:val="00CA5274"/>
    <w:rsid w:val="00CB0347"/>
    <w:rsid w:val="00CB1AB8"/>
    <w:rsid w:val="00CB34A4"/>
    <w:rsid w:val="00CC0067"/>
    <w:rsid w:val="00CC24DA"/>
    <w:rsid w:val="00CC653E"/>
    <w:rsid w:val="00CC6971"/>
    <w:rsid w:val="00CC7D4D"/>
    <w:rsid w:val="00CD4484"/>
    <w:rsid w:val="00CE00C8"/>
    <w:rsid w:val="00CE188B"/>
    <w:rsid w:val="00CE4E4F"/>
    <w:rsid w:val="00CE4F12"/>
    <w:rsid w:val="00CE5A8A"/>
    <w:rsid w:val="00CE6E6A"/>
    <w:rsid w:val="00CF1A1F"/>
    <w:rsid w:val="00CF3739"/>
    <w:rsid w:val="00D0427B"/>
    <w:rsid w:val="00D15097"/>
    <w:rsid w:val="00D15FFE"/>
    <w:rsid w:val="00D218C1"/>
    <w:rsid w:val="00D248E2"/>
    <w:rsid w:val="00D24A6B"/>
    <w:rsid w:val="00D32436"/>
    <w:rsid w:val="00D353D4"/>
    <w:rsid w:val="00D37A20"/>
    <w:rsid w:val="00D42D46"/>
    <w:rsid w:val="00D44A30"/>
    <w:rsid w:val="00D51BE6"/>
    <w:rsid w:val="00D5482A"/>
    <w:rsid w:val="00D5525B"/>
    <w:rsid w:val="00D60F94"/>
    <w:rsid w:val="00D63405"/>
    <w:rsid w:val="00D6354D"/>
    <w:rsid w:val="00D653E7"/>
    <w:rsid w:val="00D6555C"/>
    <w:rsid w:val="00D65600"/>
    <w:rsid w:val="00D7051B"/>
    <w:rsid w:val="00D71A06"/>
    <w:rsid w:val="00D765B7"/>
    <w:rsid w:val="00D803C4"/>
    <w:rsid w:val="00D8173F"/>
    <w:rsid w:val="00D83422"/>
    <w:rsid w:val="00D87BED"/>
    <w:rsid w:val="00D91723"/>
    <w:rsid w:val="00D94822"/>
    <w:rsid w:val="00DA13C9"/>
    <w:rsid w:val="00DA333A"/>
    <w:rsid w:val="00DA404D"/>
    <w:rsid w:val="00DA4210"/>
    <w:rsid w:val="00DA4651"/>
    <w:rsid w:val="00DA5353"/>
    <w:rsid w:val="00DA7464"/>
    <w:rsid w:val="00DA750B"/>
    <w:rsid w:val="00DB2027"/>
    <w:rsid w:val="00DB3A05"/>
    <w:rsid w:val="00DB61DE"/>
    <w:rsid w:val="00DC6D42"/>
    <w:rsid w:val="00DC7F01"/>
    <w:rsid w:val="00DD2440"/>
    <w:rsid w:val="00DD3651"/>
    <w:rsid w:val="00DD383F"/>
    <w:rsid w:val="00DD6FED"/>
    <w:rsid w:val="00DD7488"/>
    <w:rsid w:val="00DE0FAE"/>
    <w:rsid w:val="00DE1EE1"/>
    <w:rsid w:val="00DE6B29"/>
    <w:rsid w:val="00DE75BE"/>
    <w:rsid w:val="00DF03CE"/>
    <w:rsid w:val="00DF0658"/>
    <w:rsid w:val="00DF08A2"/>
    <w:rsid w:val="00DF0CCA"/>
    <w:rsid w:val="00E00A63"/>
    <w:rsid w:val="00E0151A"/>
    <w:rsid w:val="00E112E5"/>
    <w:rsid w:val="00E1346F"/>
    <w:rsid w:val="00E23B6D"/>
    <w:rsid w:val="00E24167"/>
    <w:rsid w:val="00E373E2"/>
    <w:rsid w:val="00E418A0"/>
    <w:rsid w:val="00E4605A"/>
    <w:rsid w:val="00E465BC"/>
    <w:rsid w:val="00E510F5"/>
    <w:rsid w:val="00E5144C"/>
    <w:rsid w:val="00E637A3"/>
    <w:rsid w:val="00E64350"/>
    <w:rsid w:val="00E70342"/>
    <w:rsid w:val="00E81E41"/>
    <w:rsid w:val="00E8407F"/>
    <w:rsid w:val="00E8446F"/>
    <w:rsid w:val="00E8508C"/>
    <w:rsid w:val="00E863FA"/>
    <w:rsid w:val="00E87CDA"/>
    <w:rsid w:val="00E93E40"/>
    <w:rsid w:val="00E959EB"/>
    <w:rsid w:val="00E97B01"/>
    <w:rsid w:val="00EA0F63"/>
    <w:rsid w:val="00EA3189"/>
    <w:rsid w:val="00EA7604"/>
    <w:rsid w:val="00EA798B"/>
    <w:rsid w:val="00EB023D"/>
    <w:rsid w:val="00EB7617"/>
    <w:rsid w:val="00EC26FE"/>
    <w:rsid w:val="00EC49CC"/>
    <w:rsid w:val="00EC7127"/>
    <w:rsid w:val="00ED05FA"/>
    <w:rsid w:val="00ED2E13"/>
    <w:rsid w:val="00ED342D"/>
    <w:rsid w:val="00EE08E7"/>
    <w:rsid w:val="00EE12BF"/>
    <w:rsid w:val="00EE2C8B"/>
    <w:rsid w:val="00EE4351"/>
    <w:rsid w:val="00EE7F3F"/>
    <w:rsid w:val="00EF0E6A"/>
    <w:rsid w:val="00EF2291"/>
    <w:rsid w:val="00EF2DA2"/>
    <w:rsid w:val="00F04C56"/>
    <w:rsid w:val="00F11E88"/>
    <w:rsid w:val="00F14511"/>
    <w:rsid w:val="00F1729E"/>
    <w:rsid w:val="00F20CE1"/>
    <w:rsid w:val="00F24D00"/>
    <w:rsid w:val="00F25D8D"/>
    <w:rsid w:val="00F26017"/>
    <w:rsid w:val="00F32264"/>
    <w:rsid w:val="00F35026"/>
    <w:rsid w:val="00F425ED"/>
    <w:rsid w:val="00F427D2"/>
    <w:rsid w:val="00F42986"/>
    <w:rsid w:val="00F4323C"/>
    <w:rsid w:val="00F45D6B"/>
    <w:rsid w:val="00F475FC"/>
    <w:rsid w:val="00F50113"/>
    <w:rsid w:val="00F53A8E"/>
    <w:rsid w:val="00F57BAB"/>
    <w:rsid w:val="00F601CA"/>
    <w:rsid w:val="00F65D14"/>
    <w:rsid w:val="00F669DB"/>
    <w:rsid w:val="00F725C9"/>
    <w:rsid w:val="00F72711"/>
    <w:rsid w:val="00F72BD1"/>
    <w:rsid w:val="00F75D6A"/>
    <w:rsid w:val="00F842CB"/>
    <w:rsid w:val="00F9512F"/>
    <w:rsid w:val="00FA5BC6"/>
    <w:rsid w:val="00FA7176"/>
    <w:rsid w:val="00FB00CA"/>
    <w:rsid w:val="00FB253A"/>
    <w:rsid w:val="00FB3BCA"/>
    <w:rsid w:val="00FB61DB"/>
    <w:rsid w:val="00FC08FB"/>
    <w:rsid w:val="00FC1726"/>
    <w:rsid w:val="00FC1F7F"/>
    <w:rsid w:val="00FC4E16"/>
    <w:rsid w:val="00FC587E"/>
    <w:rsid w:val="00FC6DED"/>
    <w:rsid w:val="00FD0321"/>
    <w:rsid w:val="00FD0C10"/>
    <w:rsid w:val="00FD2861"/>
    <w:rsid w:val="00FD29AD"/>
    <w:rsid w:val="00FE3E96"/>
    <w:rsid w:val="00FE437B"/>
    <w:rsid w:val="00FE68C9"/>
    <w:rsid w:val="00FF20AC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760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act">
    <w:name w:val="Contact"/>
    <w:basedOn w:val="Standar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Standard"/>
    <w:p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p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5">
    <w:name w:val="Contents 5"/>
    <w:basedOn w:val="Standard"/>
    <w:pPr>
      <w:tabs>
        <w:tab w:val="right" w:leader="dot" w:pos="9773"/>
      </w:tabs>
      <w:spacing w:before="240" w:after="120" w:line="240" w:lineRule="auto"/>
      <w:ind w:left="1132"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ntentsHeading">
    <w:name w:val="Contents Heading"/>
    <w:basedOn w:val="Standard"/>
    <w:pPr>
      <w:keepNext/>
      <w:suppressLineNumber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rmin">
    <w:name w:val="Termin"/>
    <w:basedOn w:val="Standard"/>
    <w:pPr>
      <w:spacing w:before="60" w:after="60" w:line="240" w:lineRule="auto"/>
      <w:ind w:left="709" w:hanging="709"/>
      <w:jc w:val="both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Nadpis1Char">
    <w:name w:val="Nadpis 1 Char"/>
    <w:rPr>
      <w:rFonts w:ascii="Cambria" w:hAnsi="Cambria" w:cs="F"/>
      <w:b/>
      <w:bCs/>
      <w:color w:val="365F91"/>
      <w:sz w:val="28"/>
      <w:szCs w:val="28"/>
    </w:rPr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  <w:style w:type="table" w:styleId="Mkatabulky">
    <w:name w:val="Table Grid"/>
    <w:basedOn w:val="Normlntabulka"/>
    <w:uiPriority w:val="59"/>
    <w:rsid w:val="00E24167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760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act">
    <w:name w:val="Contact"/>
    <w:basedOn w:val="Standar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Standard"/>
    <w:p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p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5">
    <w:name w:val="Contents 5"/>
    <w:basedOn w:val="Standard"/>
    <w:pPr>
      <w:tabs>
        <w:tab w:val="right" w:leader="dot" w:pos="9773"/>
      </w:tabs>
      <w:spacing w:before="240" w:after="120" w:line="240" w:lineRule="auto"/>
      <w:ind w:left="1132"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ntentsHeading">
    <w:name w:val="Contents Heading"/>
    <w:basedOn w:val="Standard"/>
    <w:pPr>
      <w:keepNext/>
      <w:suppressLineNumber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rmin">
    <w:name w:val="Termin"/>
    <w:basedOn w:val="Standard"/>
    <w:pPr>
      <w:spacing w:before="60" w:after="60" w:line="240" w:lineRule="auto"/>
      <w:ind w:left="709" w:hanging="709"/>
      <w:jc w:val="both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Nadpis1Char">
    <w:name w:val="Nadpis 1 Char"/>
    <w:rPr>
      <w:rFonts w:ascii="Cambria" w:hAnsi="Cambria" w:cs="F"/>
      <w:b/>
      <w:bCs/>
      <w:color w:val="365F91"/>
      <w:sz w:val="28"/>
      <w:szCs w:val="28"/>
    </w:rPr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  <w:style w:type="table" w:styleId="Mkatabulky">
    <w:name w:val="Table Grid"/>
    <w:basedOn w:val="Normlntabulka"/>
    <w:uiPriority w:val="59"/>
    <w:rsid w:val="00E24167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4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94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3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C659-29CB-4EFF-9A5A-AF3B680D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10</Pages>
  <Words>3090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Šlemrová Denisa ()</dc:creator>
  <cp:lastModifiedBy>Pachlová Lenka (MHMP, FON)</cp:lastModifiedBy>
  <cp:revision>40</cp:revision>
  <cp:lastPrinted>2016-08-09T08:32:00Z</cp:lastPrinted>
  <dcterms:created xsi:type="dcterms:W3CDTF">2016-08-01T13:51:00Z</dcterms:created>
  <dcterms:modified xsi:type="dcterms:W3CDTF">2016-09-29T11:45:00Z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