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2" w:rsidRPr="00516D88" w:rsidRDefault="00A855F0" w:rsidP="00314992">
      <w:pPr>
        <w:pStyle w:val="Termin"/>
        <w:keepNext/>
        <w:tabs>
          <w:tab w:val="left" w:pos="7230"/>
          <w:tab w:val="left" w:pos="8080"/>
        </w:tabs>
        <w:ind w:left="0" w:firstLine="0"/>
        <w:rPr>
          <w:sz w:val="20"/>
        </w:rPr>
      </w:pPr>
      <w:r w:rsidRPr="00516D88">
        <w:rPr>
          <w:b/>
          <w:sz w:val="20"/>
          <w:szCs w:val="20"/>
        </w:rPr>
        <w:t>Hodnotitel uvede ke každému kritériu jasné a srozumitelné odůvodnění výsledku hodnocení.</w:t>
      </w:r>
    </w:p>
    <w:p w:rsidR="0065177A" w:rsidRPr="00516D88" w:rsidRDefault="008B4812" w:rsidP="00A855F0">
      <w:pPr>
        <w:pStyle w:val="Termin"/>
        <w:keepNext/>
        <w:tabs>
          <w:tab w:val="left" w:pos="7230"/>
          <w:tab w:val="left" w:pos="8080"/>
        </w:tabs>
        <w:rPr>
          <w:b/>
          <w:sz w:val="20"/>
          <w:szCs w:val="20"/>
        </w:rPr>
      </w:pPr>
      <w:r w:rsidRPr="00516D88">
        <w:rPr>
          <w:b/>
          <w:sz w:val="20"/>
          <w:szCs w:val="20"/>
        </w:rPr>
        <w:t>Kombinovaná kritéria – pokud získá projekt v kombinovaném kritériu 0 bodů, je projekt ze schvalovacího procesu vyloučen</w:t>
      </w:r>
      <w:r w:rsidR="00516D88" w:rsidRPr="00516D88">
        <w:rPr>
          <w:b/>
          <w:sz w:val="20"/>
          <w:szCs w:val="20"/>
        </w:rPr>
        <w:t>.</w:t>
      </w:r>
    </w:p>
    <w:tbl>
      <w:tblPr>
        <w:tblW w:w="16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380"/>
        <w:gridCol w:w="1134"/>
        <w:gridCol w:w="992"/>
        <w:gridCol w:w="4253"/>
        <w:gridCol w:w="709"/>
        <w:gridCol w:w="1026"/>
      </w:tblGrid>
      <w:tr w:rsidR="00447769" w:rsidRPr="00516D88" w:rsidTr="00FB678B">
        <w:trPr>
          <w:cantSplit/>
          <w:trHeight w:val="71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44776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Body za jednotlivá kritéria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Způsob</w:t>
            </w:r>
            <w:r w:rsidRPr="00516D88">
              <w:rPr>
                <w:b/>
                <w:bCs/>
                <w:sz w:val="20"/>
                <w:szCs w:val="20"/>
              </w:rPr>
              <w:br/>
              <w:t>hodnocení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Funkce </w:t>
            </w:r>
          </w:p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5C63F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9278AF" w:rsidRPr="00516D88" w:rsidTr="00FB678B">
        <w:trPr>
          <w:cantSplit/>
          <w:trHeight w:val="454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ind w:right="274"/>
              <w:rPr>
                <w:b/>
                <w:bCs/>
                <w:szCs w:val="20"/>
              </w:rPr>
            </w:pPr>
            <w:r w:rsidRPr="00516D88">
              <w:rPr>
                <w:b/>
                <w:bCs/>
                <w:szCs w:val="20"/>
              </w:rPr>
              <w:t>POTŘEBNOST</w:t>
            </w:r>
          </w:p>
        </w:tc>
      </w:tr>
      <w:tr w:rsidR="002024FB" w:rsidRPr="00516D88" w:rsidTr="00FB678B">
        <w:trPr>
          <w:trHeight w:val="21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</w:rPr>
            </w:pPr>
            <w:r w:rsidRPr="00516D88">
              <w:rPr>
                <w:sz w:val="20"/>
              </w:rPr>
              <w:t>1. Potřebnost projektu</w:t>
            </w: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Potřeba realizace projektu je prokazatelně doložena zpracovanou analýzou nebo dostatečně podložena statistickými </w:t>
            </w:r>
            <w:r w:rsidR="00A2745C" w:rsidRPr="00516D88">
              <w:rPr>
                <w:sz w:val="20"/>
                <w:szCs w:val="20"/>
              </w:rPr>
              <w:t xml:space="preserve">a empirickými </w:t>
            </w:r>
            <w:r w:rsidRPr="00516D88">
              <w:rPr>
                <w:sz w:val="20"/>
                <w:szCs w:val="20"/>
              </w:rPr>
              <w:t>daty. Projektový záměr vhodně reaguje na identifikované potřeby</w:t>
            </w:r>
            <w:r w:rsidR="006052A3" w:rsidRPr="00516D88">
              <w:rPr>
                <w:sz w:val="20"/>
                <w:szCs w:val="20"/>
              </w:rPr>
              <w:t xml:space="preserve">, velikost a charakter </w:t>
            </w:r>
            <w:r w:rsidRPr="00516D88">
              <w:rPr>
                <w:sz w:val="20"/>
                <w:szCs w:val="20"/>
              </w:rPr>
              <w:t>cílov</w:t>
            </w:r>
            <w:r w:rsidR="006052A3" w:rsidRPr="00516D88">
              <w:rPr>
                <w:sz w:val="20"/>
                <w:szCs w:val="20"/>
              </w:rPr>
              <w:t>é skupiny</w:t>
            </w:r>
            <w:r w:rsidRPr="00516D88">
              <w:rPr>
                <w:sz w:val="20"/>
                <w:szCs w:val="20"/>
              </w:rPr>
              <w:t xml:space="preserve"> ve zvolené lokalitě vytvořením nových/navýšením kapacit, což žadatel dokládá demografickou studií/analýzou. Projekt je v souladu se strategickými dokumenty v oblasti </w:t>
            </w:r>
            <w:r w:rsidR="000628C8" w:rsidRPr="00516D88">
              <w:rPr>
                <w:sz w:val="20"/>
                <w:szCs w:val="20"/>
              </w:rPr>
              <w:t>vzdělávání (např. Dlouhodobým záměrem vzdělávání a rozvoje vzdělávací soustavy ČR na období 2015-2020, Akčním plánem inkluzivního vzdělávání na roky 2016-2018, dlouhodobým</w:t>
            </w:r>
            <w:r w:rsidR="00722495" w:rsidRPr="00516D88">
              <w:rPr>
                <w:sz w:val="20"/>
                <w:szCs w:val="20"/>
              </w:rPr>
              <w:t xml:space="preserve"> </w:t>
            </w:r>
            <w:r w:rsidR="000628C8" w:rsidRPr="00516D88">
              <w:rPr>
                <w:sz w:val="20"/>
                <w:szCs w:val="20"/>
              </w:rPr>
              <w:t xml:space="preserve">záměrem </w:t>
            </w:r>
            <w:r w:rsidR="008B3A59" w:rsidRPr="00516D88">
              <w:rPr>
                <w:sz w:val="20"/>
                <w:szCs w:val="20"/>
              </w:rPr>
              <w:t xml:space="preserve">rozvoje </w:t>
            </w:r>
            <w:r w:rsidR="000628C8" w:rsidRPr="00516D88">
              <w:rPr>
                <w:sz w:val="20"/>
                <w:szCs w:val="20"/>
              </w:rPr>
              <w:t>městské části aj.)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10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2024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10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proveditelnosti                                                                                               </w:t>
            </w:r>
          </w:p>
          <w:p w:rsidR="002024FB" w:rsidRPr="00516D88" w:rsidRDefault="002024FB" w:rsidP="00EF229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Žadatel v projektu dostatečně zdůvodní potřebnost realizace projektu pro cílovou skupinu, vysvětlí, proč by měl být projekt realizován, proč vznikl a kde jsou jeho hlavní přínosy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především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v oblasti 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zkvalitnění a zvýšení dostupnosti vzdělávání.  Potřebnost z hlediska cílových skupin se dále hodnotí s ohledem na naplnění principu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společného vzdělávání v dané základní škole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. 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br/>
              <w:t xml:space="preserve">Potřebnost projektu by měla být zároveň dostatečně objektivně doložena např. analýzou lokality,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údaji o počtu integrovaných žáků se SVP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ve </w:t>
            </w:r>
            <w:proofErr w:type="gramStart"/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škole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,  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statistickými</w:t>
            </w:r>
            <w:proofErr w:type="gramEnd"/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daty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a demografickou analýzou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,.</w:t>
            </w:r>
          </w:p>
          <w:p w:rsidR="002024FB" w:rsidRPr="00516D88" w:rsidRDefault="002024FB" w:rsidP="00EF2291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, popis cílové skupiny, jejích potřeb a přínosů projektu pro cílovou skupinu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2024FB" w:rsidRPr="00516D88" w:rsidRDefault="002024FB" w:rsidP="00EF2291">
            <w:pPr>
              <w:pStyle w:val="Standard"/>
              <w:spacing w:after="0" w:line="240" w:lineRule="auto"/>
            </w:pP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2024FB" w:rsidRPr="00516D88" w:rsidRDefault="002024FB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024FB" w:rsidRPr="00516D88" w:rsidRDefault="002024FB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2024FB" w:rsidRPr="00516D88" w:rsidRDefault="002024FB" w:rsidP="009F1CAD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2024FB" w:rsidRPr="00516D88" w:rsidTr="00FB678B">
        <w:trPr>
          <w:trHeight w:val="14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Potřeba realizace projektu je částečně doložena analýzou zpracovanou na základě identifikovaných potřeb</w:t>
            </w:r>
            <w:r w:rsidR="006052A3" w:rsidRPr="00516D88">
              <w:rPr>
                <w:sz w:val="20"/>
                <w:szCs w:val="20"/>
              </w:rPr>
              <w:t xml:space="preserve">, velikosti a charakteru </w:t>
            </w:r>
            <w:r w:rsidRPr="00516D88">
              <w:rPr>
                <w:sz w:val="20"/>
                <w:szCs w:val="20"/>
              </w:rPr>
              <w:t>cílov</w:t>
            </w:r>
            <w:r w:rsidR="006052A3" w:rsidRPr="00516D88">
              <w:rPr>
                <w:sz w:val="20"/>
                <w:szCs w:val="20"/>
              </w:rPr>
              <w:t>é</w:t>
            </w:r>
            <w:r w:rsidRPr="00516D88">
              <w:rPr>
                <w:sz w:val="20"/>
                <w:szCs w:val="20"/>
              </w:rPr>
              <w:t xml:space="preserve"> skupin</w:t>
            </w:r>
            <w:r w:rsidR="006052A3" w:rsidRPr="00516D88">
              <w:rPr>
                <w:sz w:val="20"/>
                <w:szCs w:val="20"/>
              </w:rPr>
              <w:t>y</w:t>
            </w:r>
            <w:r w:rsidRPr="00516D88">
              <w:rPr>
                <w:sz w:val="20"/>
                <w:szCs w:val="20"/>
              </w:rPr>
              <w:t xml:space="preserve"> a vymezení přínosů projektu pro cílové skupiny částečně specifikuje. Z projektového záměru je patrné, že projekt reaguje na identifikované potřeby cílových skupin ve zvolené lokalitě vytvo</w:t>
            </w:r>
            <w:r w:rsidR="00CA50C9" w:rsidRPr="00516D88">
              <w:rPr>
                <w:sz w:val="20"/>
                <w:szCs w:val="20"/>
              </w:rPr>
              <w:t>řením nových/navýšením kapacit</w:t>
            </w:r>
            <w:r w:rsidR="008C1343" w:rsidRPr="00516D88">
              <w:rPr>
                <w:sz w:val="20"/>
                <w:szCs w:val="20"/>
              </w:rPr>
              <w:t>.</w:t>
            </w:r>
            <w:r w:rsidR="006A59DA" w:rsidRPr="00516D88">
              <w:rPr>
                <w:sz w:val="20"/>
                <w:szCs w:val="20"/>
              </w:rPr>
              <w:t xml:space="preserve"> Projekt je v souladu se strategickými dokumenty v oblasti vzdělávání (např. 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7F15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7</w:t>
            </w:r>
            <w:r w:rsidR="002024FB" w:rsidRPr="00516D88">
              <w:rPr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447769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1708B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024FB" w:rsidRPr="00516D88" w:rsidTr="00FB678B">
        <w:trPr>
          <w:trHeight w:val="56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F9" w:rsidRPr="00516D88" w:rsidRDefault="002A2892" w:rsidP="00B82AF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cs="Arial"/>
                <w:sz w:val="20"/>
                <w:szCs w:val="20"/>
              </w:rPr>
              <w:t xml:space="preserve">Potřeba realizace projektu není doložena na základě </w:t>
            </w:r>
            <w:r w:rsidR="00CA50C9" w:rsidRPr="00516D88">
              <w:rPr>
                <w:rFonts w:cs="Arial"/>
                <w:sz w:val="20"/>
                <w:szCs w:val="20"/>
              </w:rPr>
              <w:t>releva</w:t>
            </w:r>
            <w:r w:rsidR="00F425ED" w:rsidRPr="00516D88">
              <w:rPr>
                <w:rFonts w:cs="Arial"/>
                <w:sz w:val="20"/>
                <w:szCs w:val="20"/>
              </w:rPr>
              <w:t>ntních</w:t>
            </w:r>
            <w:r w:rsidRPr="00516D88">
              <w:rPr>
                <w:rFonts w:cs="Arial"/>
                <w:sz w:val="20"/>
                <w:szCs w:val="20"/>
              </w:rPr>
              <w:t xml:space="preserve"> a podložených údajů. </w:t>
            </w:r>
            <w:r w:rsidRPr="00516D88">
              <w:rPr>
                <w:sz w:val="20"/>
                <w:szCs w:val="20"/>
              </w:rPr>
              <w:t>Z projektového záměru je patrné, že projekt reaguje na identifikované potřeby cílových skupin ve zvolené lokalitě vytv</w:t>
            </w:r>
            <w:r w:rsidR="00CA50C9" w:rsidRPr="00516D88">
              <w:rPr>
                <w:sz w:val="20"/>
                <w:szCs w:val="20"/>
              </w:rPr>
              <w:t xml:space="preserve">ořením </w:t>
            </w:r>
            <w:r w:rsidR="00CA50C9" w:rsidRPr="00516D88">
              <w:rPr>
                <w:sz w:val="20"/>
                <w:szCs w:val="20"/>
              </w:rPr>
              <w:lastRenderedPageBreak/>
              <w:t>nových/navýšením kapacit</w:t>
            </w:r>
            <w:r w:rsidR="00B82AF9" w:rsidRPr="00516D88">
              <w:rPr>
                <w:rFonts w:cs="Arial"/>
                <w:color w:val="000000"/>
                <w:sz w:val="20"/>
                <w:szCs w:val="20"/>
              </w:rPr>
              <w:t>. Analýza identifikovaných potřeb cílové skupiny vykazuje nedostatky, které však nebrání realizaci projektu.</w:t>
            </w:r>
            <w:r w:rsidR="006A59DA" w:rsidRPr="00516D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A59DA" w:rsidRPr="00516D88">
              <w:rPr>
                <w:sz w:val="20"/>
                <w:szCs w:val="20"/>
              </w:rPr>
              <w:t>Projekt je v souladu se strategickými dokumenty v oblasti vzdělávání (např. 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7F15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rFonts w:cs="Arial"/>
                <w:sz w:val="20"/>
                <w:szCs w:val="20"/>
              </w:rPr>
              <w:lastRenderedPageBreak/>
              <w:t>3</w:t>
            </w:r>
            <w:r w:rsidR="002024FB" w:rsidRPr="00516D88">
              <w:rPr>
                <w:rFonts w:cs="Arial"/>
                <w:sz w:val="20"/>
                <w:szCs w:val="20"/>
              </w:rPr>
              <w:t xml:space="preserve">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447769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024FB" w:rsidRPr="00516D88" w:rsidTr="00FB678B">
        <w:trPr>
          <w:trHeight w:val="127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cs="Arial"/>
                <w:color w:val="000000"/>
                <w:sz w:val="20"/>
                <w:szCs w:val="20"/>
              </w:rPr>
              <w:t>Potřeba realizace projektu není prokazatelně</w:t>
            </w:r>
            <w:r w:rsidR="004651CF" w:rsidRPr="00516D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651CF" w:rsidRPr="00516D88">
              <w:rPr>
                <w:rFonts w:cs="Arial"/>
                <w:color w:val="000000"/>
                <w:sz w:val="20"/>
                <w:szCs w:val="20"/>
              </w:rPr>
              <w:t xml:space="preserve">doložena </w:t>
            </w:r>
            <w:r w:rsidRPr="00516D88">
              <w:rPr>
                <w:rFonts w:cs="Arial"/>
                <w:color w:val="000000"/>
                <w:sz w:val="20"/>
                <w:szCs w:val="20"/>
              </w:rPr>
              <w:t>. Žadatel</w:t>
            </w:r>
            <w:proofErr w:type="gramEnd"/>
            <w:r w:rsidRPr="00516D88">
              <w:rPr>
                <w:rFonts w:cs="Arial"/>
                <w:color w:val="000000"/>
                <w:sz w:val="20"/>
                <w:szCs w:val="20"/>
              </w:rPr>
              <w:t xml:space="preserve"> dále nespecifikoval přínosy projektu pro cílové skupiny. U aktivit projektu (resp. investice do v</w:t>
            </w:r>
            <w:r w:rsidRPr="00516D88">
              <w:rPr>
                <w:sz w:val="20"/>
                <w:szCs w:val="20"/>
              </w:rPr>
              <w:t>ytváření nových/navyšování kapacit) není prokázána vazba na potř</w:t>
            </w:r>
            <w:r w:rsidR="0070128C" w:rsidRPr="00516D88">
              <w:rPr>
                <w:sz w:val="20"/>
                <w:szCs w:val="20"/>
              </w:rPr>
              <w:t>ebnost služeb u cílových skupin</w:t>
            </w:r>
            <w:r w:rsidR="00BA4A86" w:rsidRPr="00516D88">
              <w:rPr>
                <w:sz w:val="20"/>
                <w:szCs w:val="20"/>
              </w:rPr>
              <w:t xml:space="preserve"> nebo</w:t>
            </w:r>
            <w:r w:rsidR="006A59DA" w:rsidRPr="00516D88">
              <w:rPr>
                <w:sz w:val="20"/>
                <w:szCs w:val="20"/>
              </w:rPr>
              <w:t xml:space="preserve"> </w:t>
            </w:r>
            <w:r w:rsidR="0040697B" w:rsidRPr="00516D88">
              <w:rPr>
                <w:sz w:val="20"/>
                <w:szCs w:val="20"/>
              </w:rPr>
              <w:t>p</w:t>
            </w:r>
            <w:r w:rsidR="006A59DA" w:rsidRPr="00516D88">
              <w:rPr>
                <w:sz w:val="20"/>
                <w:szCs w:val="20"/>
              </w:rPr>
              <w:t>rojekt není v souladu se strategickými dokumenty v oblasti vzdělávání (např. 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622FF0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835EC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4DF6" w:rsidRPr="00516D88" w:rsidTr="00FB678B">
        <w:trPr>
          <w:cantSplit/>
          <w:trHeight w:val="390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DF6" w:rsidRPr="00516D88" w:rsidRDefault="00934D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16D88">
              <w:rPr>
                <w:rFonts w:eastAsia="Times New Roman" w:cs="Calibri"/>
                <w:b/>
                <w:bCs/>
                <w:color w:val="000000"/>
                <w:lang w:eastAsia="cs-CZ"/>
              </w:rPr>
              <w:t>ÚČELNOST</w:t>
            </w: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66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2. Počet žáků se SVP</w:t>
            </w:r>
          </w:p>
        </w:tc>
        <w:tc>
          <w:tcPr>
            <w:tcW w:w="6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bude individuálně integrováno v průměru 3 a více žáků se SVP.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rFonts w:eastAsiaTheme="minorHAnsi"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proveditelnosti. </w:t>
            </w:r>
            <w:r w:rsidRPr="00516D88">
              <w:rPr>
                <w:i/>
                <w:iCs/>
                <w:sz w:val="20"/>
                <w:szCs w:val="20"/>
              </w:rPr>
              <w:t>Posuzuje se míra plnění indikátoru 51615 v podpořených třídách.</w:t>
            </w:r>
          </w:p>
          <w:p w:rsidR="00330061" w:rsidRPr="00516D88" w:rsidRDefault="00330061">
            <w:pPr>
              <w:pStyle w:val="Standard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Jedná se o počet žáků se speciálními vzdělávacími potřebami (SVP) v nově vybudovaných třídách přepočtený na průměrný počet žáků se SVP v jedné třídě podpořené projektem. </w:t>
            </w:r>
          </w:p>
        </w:tc>
        <w:tc>
          <w:tcPr>
            <w:tcW w:w="709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16D88">
              <w:rPr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bude individuálně integrováno v průměru 2 až 2,99 žáků se SVP.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0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budou individuálně integrováni v průměru méně než dva žáci se SVP.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933965" w:rsidRPr="00516D88" w:rsidTr="00FB678B">
        <w:trPr>
          <w:cantSplit/>
          <w:trHeight w:val="5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33006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</w:rPr>
              <w:t>3</w:t>
            </w:r>
            <w:r w:rsidR="00933965" w:rsidRPr="00516D88">
              <w:rPr>
                <w:sz w:val="20"/>
              </w:rPr>
              <w:t xml:space="preserve">. </w:t>
            </w:r>
            <w:r w:rsidR="00933965" w:rsidRPr="00516D88">
              <w:rPr>
                <w:sz w:val="20"/>
                <w:szCs w:val="20"/>
              </w:rPr>
              <w:t xml:space="preserve">Navýšení kapacity zařízení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Budou vytvořeny 3 a více nových </w:t>
            </w:r>
            <w:r w:rsidR="00DD6FED" w:rsidRPr="00516D88">
              <w:rPr>
                <w:sz w:val="20"/>
                <w:szCs w:val="20"/>
              </w:rPr>
              <w:t xml:space="preserve">tříd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16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330061" w:rsidRPr="00516D88">
              <w:rPr>
                <w:b/>
                <w:bCs/>
                <w:sz w:val="20"/>
                <w:szCs w:val="20"/>
              </w:rPr>
              <w:t>16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DD2440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 w:rsidR="00BF6EC4" w:rsidRPr="00516D88">
              <w:rPr>
                <w:b/>
                <w:bCs/>
                <w:i/>
                <w:iCs/>
                <w:sz w:val="20"/>
                <w:szCs w:val="20"/>
              </w:rPr>
              <w:t xml:space="preserve"> o podporu, </w:t>
            </w: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933965" w:rsidRPr="00516D88" w:rsidRDefault="00933965" w:rsidP="00DD2440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Jedná se o míru naplnění indikátor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>ů</w:t>
            </w:r>
            <w:r w:rsidRPr="00516D88">
              <w:rPr>
                <w:bCs/>
                <w:i/>
                <w:iCs/>
                <w:sz w:val="20"/>
                <w:szCs w:val="20"/>
              </w:rPr>
              <w:t xml:space="preserve"> PO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 xml:space="preserve"> 4</w:t>
            </w:r>
          </w:p>
          <w:p w:rsidR="009E6314" w:rsidRPr="00516D88" w:rsidRDefault="009E6314" w:rsidP="009E6314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933965" w:rsidRPr="00516D88" w:rsidRDefault="00933965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33965" w:rsidRPr="00516D88" w:rsidRDefault="00933965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933965" w:rsidRPr="00516D88" w:rsidTr="00FB678B">
        <w:trPr>
          <w:cantSplit/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Budou vytvořeny 2 nové třídy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12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3965" w:rsidRPr="00516D88" w:rsidTr="00FB678B">
        <w:trPr>
          <w:cantSplit/>
          <w:trHeight w:val="2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Bude vytvořena 1 nová třída </w:t>
            </w:r>
            <w:r w:rsidR="004651CF" w:rsidRPr="00516D88">
              <w:rPr>
                <w:sz w:val="20"/>
                <w:szCs w:val="20"/>
              </w:rPr>
              <w:t xml:space="preserve">minimálně s 15 místy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8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DD6FED" w:rsidRPr="00516D88" w:rsidTr="00FB678B">
        <w:trPr>
          <w:cantSplit/>
          <w:trHeight w:val="28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DD6FED" w:rsidP="004651C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Počet nově vytvořených míst </w:t>
            </w:r>
            <w:r w:rsidR="004651CF" w:rsidRPr="00516D88">
              <w:rPr>
                <w:sz w:val="20"/>
                <w:szCs w:val="20"/>
              </w:rPr>
              <w:t xml:space="preserve">v nově vybudované třídě </w:t>
            </w:r>
            <w:r w:rsidRPr="00516D88">
              <w:rPr>
                <w:sz w:val="20"/>
                <w:szCs w:val="20"/>
              </w:rPr>
              <w:t xml:space="preserve">je 5 </w:t>
            </w:r>
            <w:r w:rsidR="008C1343" w:rsidRPr="00516D88">
              <w:rPr>
                <w:sz w:val="20"/>
                <w:szCs w:val="20"/>
              </w:rPr>
              <w:t>–</w:t>
            </w:r>
            <w:r w:rsidRPr="00516D88">
              <w:rPr>
                <w:sz w:val="20"/>
                <w:szCs w:val="20"/>
              </w:rPr>
              <w:t xml:space="preserve"> </w:t>
            </w:r>
            <w:r w:rsidR="004651CF" w:rsidRPr="00516D88">
              <w:rPr>
                <w:sz w:val="20"/>
                <w:szCs w:val="20"/>
              </w:rPr>
              <w:t>14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4651CF" w:rsidP="00202F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</w:t>
            </w:r>
            <w:r w:rsidR="00DD6FED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3965" w:rsidRPr="00516D88" w:rsidTr="00FB678B">
        <w:trPr>
          <w:cantSplit/>
          <w:trHeight w:val="2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DD6FED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Počet nově vytvořených míst je méně než </w:t>
            </w:r>
            <w:r w:rsidR="00DD6FED" w:rsidRPr="00516D88">
              <w:rPr>
                <w:sz w:val="20"/>
                <w:szCs w:val="20"/>
              </w:rPr>
              <w:t>5</w:t>
            </w:r>
            <w:r w:rsidR="008C1343" w:rsidRPr="00516D88">
              <w:rPr>
                <w:sz w:val="20"/>
                <w:szCs w:val="20"/>
              </w:rPr>
              <w:t>.</w:t>
            </w:r>
            <w:r w:rsidRPr="0051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202F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897"/>
        </w:trPr>
        <w:tc>
          <w:tcPr>
            <w:tcW w:w="15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330061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4</w:t>
            </w:r>
            <w:r w:rsidR="00422381" w:rsidRPr="00516D88">
              <w:rPr>
                <w:bCs/>
                <w:sz w:val="20"/>
                <w:szCs w:val="20"/>
              </w:rPr>
              <w:t xml:space="preserve">. </w:t>
            </w:r>
            <w:r w:rsidR="00595A34" w:rsidRPr="00516D88">
              <w:rPr>
                <w:bCs/>
                <w:sz w:val="20"/>
                <w:szCs w:val="20"/>
              </w:rPr>
              <w:t>Individualizace vzdělávání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</w:t>
            </w:r>
            <w:r w:rsidR="003A0D57" w:rsidRPr="00516D88">
              <w:rPr>
                <w:sz w:val="20"/>
                <w:szCs w:val="20"/>
              </w:rPr>
              <w:t xml:space="preserve"> </w:t>
            </w:r>
            <w:r w:rsidR="00A2745C" w:rsidRPr="00516D88">
              <w:rPr>
                <w:sz w:val="20"/>
                <w:szCs w:val="20"/>
              </w:rPr>
              <w:t xml:space="preserve">vzdělávacích zařízení </w:t>
            </w:r>
            <w:r w:rsidR="003A0D57" w:rsidRPr="00516D88">
              <w:rPr>
                <w:sz w:val="20"/>
                <w:szCs w:val="20"/>
              </w:rPr>
              <w:t>se snížil o 15% a více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10 bodů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10 bodů</w:t>
            </w:r>
          </w:p>
        </w:tc>
        <w:tc>
          <w:tcPr>
            <w:tcW w:w="425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53F6F" w:rsidRPr="00516D88" w:rsidRDefault="00731D05" w:rsidP="00A53F6F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53F6F" w:rsidRPr="00516D88"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</w:p>
          <w:p w:rsidR="00422381" w:rsidRPr="00516D88" w:rsidRDefault="00731D0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F20AC" w:rsidRPr="00516D88">
              <w:rPr>
                <w:bCs/>
                <w:i/>
                <w:iCs/>
                <w:sz w:val="20"/>
                <w:szCs w:val="20"/>
              </w:rPr>
              <w:t xml:space="preserve">Jedná se o míru 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>naplnění indikátorů</w:t>
            </w:r>
            <w:r w:rsidR="00422381" w:rsidRPr="00516D88">
              <w:rPr>
                <w:bCs/>
                <w:i/>
                <w:iCs/>
                <w:sz w:val="20"/>
                <w:szCs w:val="20"/>
              </w:rPr>
              <w:t xml:space="preserve"> PO4</w:t>
            </w:r>
          </w:p>
          <w:p w:rsidR="009C2714" w:rsidRPr="00516D88" w:rsidRDefault="009C27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422381" w:rsidRPr="00516D88" w:rsidRDefault="00422381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</w:t>
            </w:r>
            <w:r w:rsidR="00FA7176" w:rsidRPr="00516D88">
              <w:rPr>
                <w:sz w:val="20"/>
                <w:szCs w:val="20"/>
              </w:rPr>
              <w:t>odnotí</w:t>
            </w:r>
            <w:r w:rsidRPr="00516D88">
              <w:rPr>
                <w:sz w:val="20"/>
                <w:szCs w:val="20"/>
              </w:rPr>
              <w:t>cí</w:t>
            </w:r>
          </w:p>
        </w:tc>
        <w:tc>
          <w:tcPr>
            <w:tcW w:w="10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2381" w:rsidRPr="00516D88" w:rsidRDefault="00422381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422381" w:rsidRPr="00516D88" w:rsidTr="00FB678B">
        <w:trPr>
          <w:cantSplit/>
          <w:trHeight w:val="83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snížil o 10 – 14,99%</w:t>
            </w:r>
            <w:r w:rsidR="008C1343" w:rsidRPr="00516D88">
              <w:rPr>
                <w:sz w:val="20"/>
                <w:szCs w:val="20"/>
              </w:rPr>
              <w:t>.</w:t>
            </w:r>
            <w:r w:rsidR="003A0D57" w:rsidRPr="0051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139FE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7</w:t>
            </w:r>
            <w:r w:rsidR="00422381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85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snížil o 5 – 9,99%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139FE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</w:t>
            </w:r>
            <w:r w:rsidR="00422381" w:rsidRPr="00516D88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41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nesnížil</w:t>
            </w:r>
            <w:r w:rsidR="00E87CDA" w:rsidRPr="00516D88">
              <w:rPr>
                <w:sz w:val="20"/>
                <w:szCs w:val="20"/>
              </w:rPr>
              <w:t>/snížil o méně než 4,99%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402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cantSplit/>
          <w:trHeight w:val="43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Cs w:val="20"/>
              </w:rPr>
            </w:pPr>
            <w:r w:rsidRPr="00516D88">
              <w:rPr>
                <w:b/>
                <w:bCs/>
                <w:szCs w:val="20"/>
              </w:rPr>
              <w:t xml:space="preserve">EFEKTIVNOST  </w:t>
            </w:r>
          </w:p>
        </w:tc>
      </w:tr>
      <w:tr w:rsidR="005131C8" w:rsidRPr="00516D88" w:rsidTr="00FB678B">
        <w:trPr>
          <w:cantSplit/>
          <w:trHeight w:val="7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</w:t>
            </w:r>
            <w:r w:rsidR="005131C8" w:rsidRPr="00516D88">
              <w:rPr>
                <w:sz w:val="20"/>
                <w:szCs w:val="20"/>
              </w:rPr>
              <w:t>. Rozpočet 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Jasnost a relevantnost položek rozpočtu je dobře odůvodněná v podrobném komentáři k rozpočtu; výdaje projektu jsou nezbytné pro jeho realizaci a odpovídají jednotlivým aktivitám projektu. Žadatel identifikuje jak způsobilé, tak i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2F2DB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C803D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 rozpočtu ve studii proveditelnosti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Žadatel vyplní rozpočet dle struktury rozpočtu v žádosti/položkového rozpočtu, ke každé položce rozpočtu bude náležet komentář ve studii proveditelnosti.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C8" w:rsidRPr="00516D88" w:rsidRDefault="005131C8" w:rsidP="005131C8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5131C8" w:rsidRPr="00516D88" w:rsidTr="00FB678B">
        <w:trPr>
          <w:cantSplit/>
          <w:trHeight w:val="9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Vymezení položek rozpočtu je jasné. Položky rozpočtu však nejsou odůvodněné v podrobném komentáři nebo výdaje projektu přímo neodpovídají jeho aktivitám nebo žadatel neidentifikoval způsobilé a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31C8" w:rsidRPr="00516D88" w:rsidTr="00FB678B">
        <w:trPr>
          <w:cantSplit/>
          <w:trHeight w:val="8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postrádá jasné vymezení položek rozpočtu. Účelnost nákladů není zřejmá. Rozpočet postrádá podrobný komentář a vysvětlení. Nejsou identifikovány způsobilé a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4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88762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6</w:t>
            </w:r>
            <w:r w:rsidR="007804A0" w:rsidRPr="00516D88">
              <w:rPr>
                <w:sz w:val="20"/>
                <w:szCs w:val="20"/>
              </w:rPr>
              <w:t>. Finanční zdraví žadatele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Nadprůměrné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B756DB">
            <w:pPr>
              <w:tabs>
                <w:tab w:val="left" w:pos="7230"/>
              </w:tabs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/>
                <w:sz w:val="20"/>
                <w:szCs w:val="20"/>
              </w:rPr>
              <w:t>Max. 3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E" w:rsidRPr="00516D88" w:rsidRDefault="007804A0" w:rsidP="007E67E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Přílohy SP (čestné prohlášení v příloze Podklady pro posouzení finančního zdraví)</w:t>
            </w:r>
          </w:p>
          <w:p w:rsidR="007804A0" w:rsidRPr="00516D88" w:rsidRDefault="0021706F" w:rsidP="0021706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Bodové hodnocení je přiděleno na základě zadaných údajů z finančních výkazů (specifické dle typu organizace</w:t>
            </w:r>
            <w:r w:rsidRPr="00516D88">
              <w:rPr>
                <w:bCs/>
                <w:i/>
                <w:iCs/>
                <w:sz w:val="20"/>
                <w:szCs w:val="20"/>
              </w:rPr>
              <w:t>, zvláštní přístup bude aplikován u subjektů s dobou existence ‹1 rok</w:t>
            </w:r>
            <w:r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) v čestném prohlášení vyplněném žadatelem v elektronickém F</w:t>
            </w:r>
            <w:r w:rsidRPr="00516D88">
              <w:rPr>
                <w:bCs/>
                <w:i/>
                <w:iCs/>
                <w:sz w:val="20"/>
                <w:szCs w:val="20"/>
              </w:rPr>
              <w:t>ormuláři pro hodnocení finančního zdraví</w:t>
            </w:r>
            <w:r w:rsidR="007804A0"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A0" w:rsidRPr="00516D88" w:rsidRDefault="00C0152F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7804A0" w:rsidRPr="00516D88" w:rsidTr="00FB678B">
        <w:trPr>
          <w:cantSplit/>
          <w:trHeight w:val="5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Průměrné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57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Dostatečné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69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Nedostatečné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1E88" w:rsidRPr="00516D88" w:rsidTr="00FB678B">
        <w:trPr>
          <w:cantSplit/>
          <w:trHeight w:val="14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  <w:r w:rsidR="00F11E88" w:rsidRPr="00516D88">
              <w:rPr>
                <w:rFonts w:eastAsia="Times New Roman" w:cs="Calibri"/>
                <w:sz w:val="20"/>
                <w:szCs w:val="20"/>
                <w:lang w:eastAsia="cs-CZ"/>
              </w:rPr>
              <w:t>.</w:t>
            </w:r>
            <w:r w:rsidR="00F11E88" w:rsidRPr="00516D88">
              <w:rPr>
                <w:sz w:val="20"/>
                <w:szCs w:val="20"/>
              </w:rPr>
              <w:t xml:space="preserve"> </w:t>
            </w:r>
            <w:r w:rsidR="00F11E88" w:rsidRPr="00516D88">
              <w:rPr>
                <w:rFonts w:cs="Arial"/>
                <w:sz w:val="20"/>
                <w:szCs w:val="20"/>
              </w:rPr>
              <w:t>Efektivnost</w:t>
            </w:r>
            <w:r w:rsidR="00F11E88" w:rsidRPr="00516D8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F11E88" w:rsidRPr="00516D88">
              <w:rPr>
                <w:rFonts w:cs="Arial"/>
                <w:sz w:val="20"/>
                <w:szCs w:val="20"/>
              </w:rPr>
              <w:t>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47" w:rsidRPr="00516D88" w:rsidRDefault="00F11E88" w:rsidP="00B67247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investičních prostředků s ohledem na přínosy investice pro cílov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 skupiny a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 </w:t>
            </w:r>
            <w:r w:rsidR="004442A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cílovou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oblast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Byla </w:t>
            </w:r>
            <w:r w:rsidR="00BE5083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prokázána </w:t>
            </w:r>
            <w:r w:rsidR="001133F3" w:rsidRPr="00516D88">
              <w:rPr>
                <w:rFonts w:eastAsia="Times New Roman" w:cs="Calibri"/>
                <w:sz w:val="20"/>
                <w:szCs w:val="20"/>
                <w:lang w:eastAsia="cs-CZ"/>
              </w:rPr>
              <w:t>efektivnost</w:t>
            </w:r>
            <w:r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 výdajů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 poměru k velikosti projektu, socioekonomickým přínosům projektu</w:t>
            </w:r>
            <w:r w:rsidR="000B6354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 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cílov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 Projekt je z finančního a 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ekonomického hlediska přijatelný.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431EA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rFonts w:eastAsia="Times New Roman" w:cs="Calibri"/>
                <w:sz w:val="20"/>
                <w:szCs w:val="20"/>
                <w:lang w:eastAsia="cs-CZ"/>
              </w:rPr>
              <w:t>10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431EA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/>
                <w:sz w:val="20"/>
                <w:szCs w:val="20"/>
              </w:rPr>
              <w:t>Max. 10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CBA, studie proveditelnosti</w:t>
            </w:r>
          </w:p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prokáže finanční a ekonomickou bonitu projektu. K tomu použije hodnotící ukazatele, které napomohou k zobrazení celkové rentability projektu. Cílem je dokázat efektivnost projektu z finančního a ekonomického hlediska.</w:t>
            </w:r>
          </w:p>
          <w:p w:rsidR="00F11E88" w:rsidRPr="00516D88" w:rsidRDefault="00F11E88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1E88" w:rsidRPr="00516D88" w:rsidRDefault="00F11E8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cs-CZ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</w:t>
            </w:r>
            <w:r w:rsidR="006C4D51" w:rsidRPr="00516D88">
              <w:rPr>
                <w:bCs/>
                <w:iCs/>
                <w:sz w:val="20"/>
                <w:szCs w:val="20"/>
              </w:rPr>
              <w:t>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88" w:rsidRPr="00516D88" w:rsidRDefault="00F11E88" w:rsidP="001C7304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F11E88" w:rsidRPr="00516D88" w:rsidTr="00FB678B">
        <w:trPr>
          <w:cantSplit/>
          <w:trHeight w:val="15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06345" w:rsidP="009F43C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</w:t>
            </w:r>
            <w:r w:rsidR="0066511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vyplývá efektivní vynaložení investičních prostředků s ohledem na přínosy investice pro cílové skupiny a </w:t>
            </w:r>
            <w:r w:rsidR="004442A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cílovou </w:t>
            </w:r>
            <w:r w:rsidR="00665117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oblast. </w:t>
            </w:r>
            <w:r w:rsidR="009F43C2" w:rsidRPr="00516D88">
              <w:rPr>
                <w:sz w:val="20"/>
                <w:szCs w:val="20"/>
              </w:rPr>
              <w:t xml:space="preserve">Žadatel např. nezohlednil některé faktory vstupující do finanční nebo socioekonomické analýzy, přesto </w:t>
            </w:r>
            <w:r w:rsidR="009F43C2" w:rsidRPr="00516D88">
              <w:rPr>
                <w:rFonts w:eastAsia="Times New Roman" w:cs="Calibri"/>
                <w:sz w:val="20"/>
                <w:szCs w:val="20"/>
                <w:lang w:eastAsia="cs-CZ"/>
              </w:rPr>
              <w:t>je efektivnost</w:t>
            </w:r>
            <w:r w:rsidR="00665117" w:rsidRPr="00516D88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66511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výdajů v poměru k velikosti projektu, socioekonomickým přínosům projektu a cílovým hodnotám zvolených indikátorů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přijatelná.</w:t>
            </w:r>
            <w:r w:rsidR="004875F4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Žadatel dostatečně okomentoval vstupní hodnoty/výsledky finanční a příp. ekonomické analýzy</w:t>
            </w:r>
            <w:r w:rsidR="009F43C2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zároveň tyto hodnoty nejsou nadhodnocené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077FA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sz w:val="20"/>
              </w:rPr>
              <w:t>5</w:t>
            </w:r>
            <w:r w:rsidR="00F11E88" w:rsidRPr="00516D88">
              <w:rPr>
                <w:sz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F11E88" w:rsidRPr="00516D88" w:rsidTr="00FB678B">
        <w:trPr>
          <w:cantSplit/>
          <w:trHeight w:val="1836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875F4" w:rsidP="009F43C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projektu jasně nevyplývá efektivní vynaložení investičních prostředků s ohledem na přínosy investice pro cílové skupiny a oblast. </w:t>
            </w:r>
            <w:r w:rsidR="00150042" w:rsidRPr="00516D88">
              <w:rPr>
                <w:rFonts w:eastAsia="Times New Roman" w:cs="Calibri"/>
                <w:sz w:val="20"/>
                <w:szCs w:val="20"/>
                <w:lang w:eastAsia="cs-CZ"/>
              </w:rPr>
              <w:t>Efekti</w:t>
            </w:r>
            <w:r w:rsidR="001133F3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vnost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výdajů v poměru k velikosti projektu, socioekonomickým přínosům projektu a cílovým hodnotám zvolených indikátorů je ještě přijatelná. </w:t>
            </w:r>
            <w:r w:rsidRPr="00516D88">
              <w:rPr>
                <w:sz w:val="20"/>
              </w:rPr>
              <w:t>Žadatel nedostatečně okomentoval vstupní hodnoty/výsledky finanční a příp. ekonomické analýzy nebo vstupní hodnoty pro hodnocení efektivnosti jsou nadhodnocené</w:t>
            </w:r>
            <w:r w:rsidR="008C1343" w:rsidRPr="00516D8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077FA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sz w:val="20"/>
              </w:rPr>
              <w:t>2</w:t>
            </w:r>
            <w:r w:rsidR="00F11E88" w:rsidRPr="00516D88">
              <w:rPr>
                <w:sz w:val="20"/>
              </w:rPr>
              <w:t xml:space="preserve"> body 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F11E88" w:rsidRPr="00516D88" w:rsidTr="00FB678B">
        <w:trPr>
          <w:cantSplit/>
          <w:trHeight w:val="1410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875F4" w:rsidP="0034757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projektu jasně nevyplývá efektivní vynaložení investičních prostředků s ohledem na přínosy investice pro cílové skupiny a </w:t>
            </w:r>
            <w:r w:rsidRPr="00516D88">
              <w:rPr>
                <w:rFonts w:eastAsia="Times New Roman" w:cs="Calibri"/>
                <w:sz w:val="20"/>
                <w:szCs w:val="20"/>
                <w:lang w:eastAsia="cs-CZ"/>
              </w:rPr>
              <w:t>oblast</w:t>
            </w:r>
            <w:r w:rsidR="00C520D0" w:rsidRPr="00516D88">
              <w:rPr>
                <w:rFonts w:eastAsia="Times New Roman" w:cs="Calibri"/>
                <w:sz w:val="20"/>
                <w:szCs w:val="20"/>
                <w:lang w:eastAsia="cs-CZ"/>
              </w:rPr>
              <w:t>. Efektivnost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výdajů v poměru k velikosti projektu, socioekonomickým přínosům projektu a cílovým hodnotám zvolených indikátorů není přijatelná. </w:t>
            </w:r>
            <w:r w:rsidRPr="00516D88">
              <w:rPr>
                <w:sz w:val="20"/>
              </w:rPr>
              <w:t>Žadatel nedostatečně okomentoval vstupní hodnoty/výsledky finanční a příp. ekonomické analýzy</w:t>
            </w:r>
            <w:r w:rsidR="008C1343" w:rsidRPr="00516D8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sz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6C6F49" w:rsidRPr="00516D88" w:rsidTr="00FB678B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88762B" w:rsidP="0088762B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8</w:t>
            </w:r>
            <w:r w:rsidR="006C6F49" w:rsidRPr="00516D88">
              <w:rPr>
                <w:sz w:val="20"/>
                <w:szCs w:val="20"/>
              </w:rPr>
              <w:t xml:space="preserve">. </w:t>
            </w:r>
            <w:r w:rsidR="006C6F49" w:rsidRPr="00516D88">
              <w:rPr>
                <w:sz w:val="18"/>
                <w:szCs w:val="18"/>
              </w:rPr>
              <w:t>Komplementarity a benefity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 xml:space="preserve">Žadatel dokládá předložení přímo navazujícího projektu </w:t>
            </w:r>
            <w:r w:rsidR="00595A34" w:rsidRPr="00516D88">
              <w:rPr>
                <w:sz w:val="20"/>
                <w:szCs w:val="20"/>
              </w:rPr>
              <w:t xml:space="preserve">podaného do výzev </w:t>
            </w:r>
            <w:r w:rsidRPr="00516D88">
              <w:rPr>
                <w:sz w:val="20"/>
                <w:szCs w:val="20"/>
              </w:rPr>
              <w:t>v</w:t>
            </w:r>
            <w:r w:rsidR="00595A34" w:rsidRPr="00516D88">
              <w:rPr>
                <w:sz w:val="20"/>
                <w:szCs w:val="20"/>
              </w:rPr>
              <w:t xml:space="preserve">e specifickém </w:t>
            </w:r>
            <w:proofErr w:type="gramStart"/>
            <w:r w:rsidR="00595A34" w:rsidRPr="00516D88">
              <w:rPr>
                <w:sz w:val="20"/>
                <w:szCs w:val="20"/>
              </w:rPr>
              <w:t xml:space="preserve">cíli </w:t>
            </w:r>
            <w:r w:rsidRPr="00516D88">
              <w:rPr>
                <w:sz w:val="20"/>
                <w:szCs w:val="20"/>
              </w:rPr>
              <w:t xml:space="preserve"> 4.</w:t>
            </w:r>
            <w:r w:rsidR="00595A34" w:rsidRPr="00516D88">
              <w:rPr>
                <w:sz w:val="20"/>
                <w:szCs w:val="20"/>
              </w:rPr>
              <w:t>2</w:t>
            </w:r>
            <w:proofErr w:type="gramEnd"/>
            <w:r w:rsidR="00595A34" w:rsidRPr="00516D88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</w:rPr>
              <w:t xml:space="preserve"> </w:t>
            </w:r>
            <w:r w:rsidR="00595A34" w:rsidRPr="00516D88">
              <w:rPr>
                <w:sz w:val="20"/>
                <w:szCs w:val="20"/>
              </w:rPr>
              <w:t>Zvýšení kvality vzdělávání prostřednictvím posílení inkluze v multikulturní společnosti nebo v relevantní výzvě OP VVV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B84B81">
            <w:pPr>
              <w:tabs>
                <w:tab w:val="left" w:pos="7230"/>
              </w:tabs>
              <w:jc w:val="center"/>
              <w:rPr>
                <w:b/>
                <w:sz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B84B81" w:rsidRPr="00516D88">
              <w:rPr>
                <w:b/>
                <w:bCs/>
                <w:sz w:val="20"/>
                <w:szCs w:val="20"/>
              </w:rPr>
              <w:t>8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proveditelnosti, žádost o podporu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Žadatel uvede registrační číslo přímo navazujícího projektu</w:t>
            </w:r>
            <w:r w:rsidR="00595A34" w:rsidRPr="00516D88">
              <w:rPr>
                <w:bCs/>
                <w:i/>
                <w:iCs/>
                <w:sz w:val="20"/>
                <w:szCs w:val="20"/>
              </w:rPr>
              <w:t xml:space="preserve"> žadatelem nemusí být stejný </w:t>
            </w:r>
            <w:proofErr w:type="gramStart"/>
            <w:r w:rsidR="00595A34" w:rsidRPr="00516D88">
              <w:rPr>
                <w:bCs/>
                <w:i/>
                <w:iCs/>
                <w:sz w:val="20"/>
                <w:szCs w:val="20"/>
              </w:rPr>
              <w:t>subjekt.</w:t>
            </w:r>
            <w:r w:rsidRPr="00516D88">
              <w:rPr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516D88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U nově vytvořených pracovních míst se jedná o počet nově vytvořených pracovních míst přepočtených na plný úvazek.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  <w:p w:rsidR="006C6F49" w:rsidRPr="00516D88" w:rsidRDefault="006C6F49" w:rsidP="00D65600">
            <w:pPr>
              <w:rPr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>Za splnění každé z dílčích podmínek přiřadí hodnotitel 0 nebo 2 body. V případě nově vytvořených pracovních míst 0 nebo 1 nebo 2 body.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6C6F49" w:rsidRPr="00516D88" w:rsidRDefault="006C6F49" w:rsidP="00D6560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6C6F49" w:rsidRPr="00516D88" w:rsidTr="00FB678B">
        <w:trPr>
          <w:trHeight w:val="744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Podpořené zařízení je umístěno v okrajové městské části sousedící se Středočeským krajem.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C6F49" w:rsidRPr="00516D88" w:rsidTr="00FB678B">
        <w:trPr>
          <w:trHeight w:val="87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Každé nově vytvořené pracovní místo = 1 bod (Maximální počet dosažitelných bodů = 2 body).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C6F49" w:rsidRPr="00516D88" w:rsidTr="00FB678B">
        <w:trPr>
          <w:trHeight w:val="815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C6F49" w:rsidRPr="00516D88" w:rsidTr="00FB678B">
        <w:trPr>
          <w:trHeight w:val="704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Projekt zajistí fyzickou dostupnost a bezbariérovost vzdělávacího zařízení.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trHeight w:val="423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 w:rsidRPr="00516D88">
              <w:rPr>
                <w:b/>
                <w:bCs/>
              </w:rPr>
              <w:t>HOSPODÁRNOST</w:t>
            </w:r>
          </w:p>
        </w:tc>
      </w:tr>
      <w:tr w:rsidR="00321AC0" w:rsidRPr="00516D88" w:rsidTr="00FB678B">
        <w:trPr>
          <w:trHeight w:val="523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9</w:t>
            </w:r>
            <w:r w:rsidR="00321AC0" w:rsidRPr="00516D88">
              <w:rPr>
                <w:sz w:val="20"/>
                <w:szCs w:val="20"/>
              </w:rPr>
              <w:t>. Hospodárnost výdajů projektu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odpovídají cenám obvyklým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</w:t>
            </w:r>
            <w:r w:rsidR="00321AC0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ED342D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ED342D" w:rsidRPr="00516D88">
              <w:rPr>
                <w:b/>
                <w:bCs/>
                <w:sz w:val="20"/>
                <w:szCs w:val="20"/>
              </w:rPr>
              <w:t>5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321AC0" w:rsidRPr="00516D88" w:rsidRDefault="00321AC0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</w:t>
            </w:r>
            <w:r w:rsidRPr="00516D88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710D6A"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 xml:space="preserve">Na webových stránkách OP PPR je k dispozici přehled cen obvyklých pro OP PPR pro nejčastější typy výdajů. </w:t>
            </w:r>
            <w:r w:rsidR="000A4043" w:rsidRPr="00516D88">
              <w:rPr>
                <w:bCs/>
                <w:i/>
                <w:iCs/>
                <w:sz w:val="20"/>
                <w:szCs w:val="20"/>
              </w:rPr>
              <w:t xml:space="preserve">U 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 xml:space="preserve">ostatních výdajů bude kritérium hodnoceno expertním odhadem hodnotitele. U stavebních prací bude rozpočet </w:t>
            </w:r>
            <w:r w:rsidR="000A4043" w:rsidRPr="00516D88">
              <w:rPr>
                <w:bCs/>
                <w:i/>
                <w:iCs/>
                <w:sz w:val="20"/>
                <w:szCs w:val="20"/>
              </w:rPr>
              <w:t>por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>ovnáván s cenovou soustavou ÚRS v rámci hodnocení ex-ante.</w:t>
            </w:r>
          </w:p>
          <w:p w:rsidR="003D602A" w:rsidRPr="00516D88" w:rsidRDefault="003D602A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V případě pochybností o způsobilosti výdajů, potřeby ověření jejich přiměřenosti nebo v případě, kdy jsou doporučení hodnotitelů vzájemně v rozporu, si může finanční manažer vyžádat posudek nezávislého externího odborníka. V případě, kdy je hodnotitelem udělen počet bodů 0, je posudek nezávislého externího odborníka povinností.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21AC0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321AC0" w:rsidRPr="00516D88" w:rsidTr="00FB678B">
        <w:trPr>
          <w:trHeight w:val="843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06000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</w:t>
            </w:r>
            <w:r w:rsidR="00321AC0" w:rsidRPr="00516D88">
              <w:rPr>
                <w:sz w:val="20"/>
                <w:szCs w:val="20"/>
              </w:rPr>
              <w:t xml:space="preserve"> </w:t>
            </w:r>
            <w:r w:rsidR="0006000B" w:rsidRPr="00516D88">
              <w:rPr>
                <w:sz w:val="20"/>
                <w:szCs w:val="20"/>
              </w:rPr>
              <w:t xml:space="preserve">body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1AC0" w:rsidRPr="00516D88" w:rsidTr="00FB678B">
        <w:trPr>
          <w:trHeight w:val="84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 (do 10 % celkových způsobilých výdajů projektu</w:t>
            </w:r>
            <w:r w:rsidR="002D6E81" w:rsidRPr="00516D88">
              <w:rPr>
                <w:sz w:val="20"/>
                <w:szCs w:val="20"/>
              </w:rPr>
              <w:t>)</w:t>
            </w:r>
            <w:r w:rsidRPr="00516D88">
              <w:rPr>
                <w:sz w:val="20"/>
                <w:szCs w:val="20"/>
              </w:rPr>
              <w:t>, jejich výše není odůvodněna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077FA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1</w:t>
            </w:r>
            <w:r w:rsidR="00ED342D" w:rsidRPr="00516D88">
              <w:rPr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1AC0" w:rsidRPr="00516D88" w:rsidTr="00FB678B">
        <w:trPr>
          <w:trHeight w:val="869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</w:t>
            </w:r>
            <w:r w:rsidR="00ED342D" w:rsidRPr="00516D88">
              <w:rPr>
                <w:sz w:val="20"/>
                <w:szCs w:val="20"/>
              </w:rPr>
              <w:t xml:space="preserve"> (</w:t>
            </w:r>
            <w:r w:rsidR="002D6E81" w:rsidRPr="00516D88">
              <w:rPr>
                <w:sz w:val="20"/>
                <w:szCs w:val="20"/>
              </w:rPr>
              <w:t>více než</w:t>
            </w:r>
            <w:r w:rsidR="00ED342D" w:rsidRPr="00516D88">
              <w:rPr>
                <w:sz w:val="20"/>
                <w:szCs w:val="20"/>
              </w:rPr>
              <w:t xml:space="preserve"> 10 % celkových způsobilých výdajů projektu</w:t>
            </w:r>
            <w:r w:rsidR="002D6E81" w:rsidRPr="00516D88">
              <w:rPr>
                <w:sz w:val="20"/>
                <w:szCs w:val="20"/>
              </w:rPr>
              <w:t>)</w:t>
            </w:r>
            <w:r w:rsidRPr="00516D88">
              <w:rPr>
                <w:sz w:val="20"/>
                <w:szCs w:val="20"/>
              </w:rPr>
              <w:t>, jejich výše není odůvodněna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trHeight w:val="46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 w:rsidRPr="00516D88">
              <w:rPr>
                <w:b/>
                <w:bCs/>
              </w:rPr>
              <w:t>PROVEDITELNOST</w:t>
            </w:r>
          </w:p>
        </w:tc>
      </w:tr>
      <w:tr w:rsidR="00420C6B" w:rsidRPr="00516D88" w:rsidTr="00FB678B">
        <w:trPr>
          <w:trHeight w:val="15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10</w:t>
            </w:r>
            <w:r w:rsidR="002D427B" w:rsidRPr="00516D88">
              <w:rPr>
                <w:sz w:val="20"/>
                <w:szCs w:val="20"/>
              </w:rPr>
              <w:t xml:space="preserve">. </w:t>
            </w:r>
            <w:r w:rsidR="006740CE" w:rsidRPr="00516D88">
              <w:rPr>
                <w:sz w:val="20"/>
                <w:szCs w:val="20"/>
              </w:rPr>
              <w:t>Organizační a </w:t>
            </w:r>
            <w:r w:rsidR="002D427B" w:rsidRPr="00516D88">
              <w:rPr>
                <w:sz w:val="20"/>
                <w:szCs w:val="20"/>
              </w:rPr>
              <w:t>odborné zajištění 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</w:t>
            </w:r>
            <w:r w:rsidR="00CA50C9" w:rsidRPr="00516D88">
              <w:rPr>
                <w:sz w:val="20"/>
                <w:szCs w:val="20"/>
              </w:rPr>
              <w:t>podložena referenčními projekty</w:t>
            </w:r>
            <w:r w:rsidR="008C1343" w:rsidRPr="00516D88">
              <w:rPr>
                <w:sz w:val="20"/>
                <w:szCs w:val="20"/>
              </w:rPr>
              <w:t>.</w:t>
            </w:r>
            <w:r w:rsidR="00E3487E" w:rsidRPr="00516D88">
              <w:rPr>
                <w:sz w:val="20"/>
                <w:szCs w:val="20"/>
              </w:rPr>
              <w:t xml:space="preserve"> V projektu je doloženo, že adekvátní odborné pedagogické vedení v podpořených třídách bude zajištěno.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proveditelnosti, žádost o podporu, příp. tabulka „Personální zajištění</w:t>
            </w:r>
            <w:r w:rsidRPr="00516D88">
              <w:rPr>
                <w:i/>
                <w:iCs/>
                <w:sz w:val="20"/>
                <w:szCs w:val="20"/>
              </w:rPr>
              <w:br/>
              <w:t>Žadatel má vytvořen projektový tým pro všechny fáze projektu (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- přípravná, investiční a provozní fáze) s jasným vymezením pozice a aktivit s tím spojených, včetně odpovědnosti za splnění těchto aktivit. Při hodnocení se zohlední i vytvoření administrativních, technických a finančních podmínek pro činnost projektového týmu. V  případě, že bude projektový tým složen jen z interních zdrojů je hodnoceno, </w:t>
            </w:r>
            <w:proofErr w:type="gramStart"/>
            <w:r w:rsidRPr="00516D88">
              <w:rPr>
                <w:i/>
                <w:iCs/>
                <w:sz w:val="20"/>
                <w:szCs w:val="20"/>
              </w:rPr>
              <w:t>zda-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li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dokáže</w:t>
            </w:r>
            <w:proofErr w:type="gramEnd"/>
            <w:r w:rsidRPr="00516D88">
              <w:rPr>
                <w:i/>
                <w:iCs/>
                <w:sz w:val="20"/>
                <w:szCs w:val="20"/>
              </w:rPr>
              <w:t xml:space="preserve"> žadatel s vlastními zdroji zabezpečit všechny činnosti potřebné pro přípravu a realizaci projektu a srozumitelně popíše celou organizaci jednotlivých činností.</w:t>
            </w:r>
          </w:p>
          <w:p w:rsidR="00E3487E" w:rsidRPr="00516D88" w:rsidRDefault="00E3487E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>Hodnotí se také zajištění výuky pedagogickými pracovníky v podpořených třídách a připravenost učitelů pro inkluzivní výuku.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2D427B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D427B" w:rsidRPr="00516D88" w:rsidRDefault="002D427B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420C6B" w:rsidRPr="00516D88" w:rsidTr="00FB678B">
        <w:trPr>
          <w:trHeight w:val="1556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0339A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nemají zkušenosti s realizací projektů (investičních, příp. neinvestičních) a jejich účast není </w:t>
            </w:r>
            <w:r w:rsidR="007D7964" w:rsidRPr="00516D88">
              <w:rPr>
                <w:sz w:val="20"/>
                <w:szCs w:val="20"/>
              </w:rPr>
              <w:t>podložena referenčními projekty</w:t>
            </w:r>
            <w:r w:rsidR="008C1343" w:rsidRPr="00516D88">
              <w:rPr>
                <w:sz w:val="20"/>
                <w:szCs w:val="20"/>
              </w:rPr>
              <w:t>.</w:t>
            </w:r>
            <w:r w:rsidR="00E3487E" w:rsidRPr="00516D88">
              <w:rPr>
                <w:sz w:val="20"/>
                <w:szCs w:val="20"/>
              </w:rPr>
              <w:t xml:space="preserve"> V projektu je doloženo, že adekvátní odborné pedagogické vedení v podpořených třídách bude zajištěno.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95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5D6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nedoložil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nebo členové týmu nemají jasně vymezené kompetence</w:t>
            </w:r>
            <w:r w:rsidR="00396E05" w:rsidRPr="00516D88">
              <w:rPr>
                <w:sz w:val="20"/>
                <w:szCs w:val="20"/>
              </w:rPr>
              <w:t xml:space="preserve"> bez ohledu na zkušenosti</w:t>
            </w:r>
            <w:r w:rsidRPr="00516D88">
              <w:rPr>
                <w:sz w:val="20"/>
                <w:szCs w:val="20"/>
              </w:rPr>
              <w:t xml:space="preserve">. </w:t>
            </w:r>
            <w:r w:rsidR="00E3487E" w:rsidRPr="00516D88">
              <w:rPr>
                <w:sz w:val="20"/>
                <w:szCs w:val="20"/>
              </w:rPr>
              <w:t>Odborné pedagogické vedení v podpořených třídách nebude zajištěno nebo v projektu není uvedeno.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957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D248E2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88762B" w:rsidRPr="00516D88">
              <w:rPr>
                <w:sz w:val="20"/>
                <w:szCs w:val="20"/>
              </w:rPr>
              <w:t>1</w:t>
            </w:r>
            <w:r w:rsidR="00344244" w:rsidRPr="00516D88">
              <w:rPr>
                <w:sz w:val="20"/>
                <w:szCs w:val="20"/>
              </w:rPr>
              <w:t xml:space="preserve">. </w:t>
            </w:r>
            <w:r w:rsidR="00DD383F" w:rsidRPr="00516D88">
              <w:rPr>
                <w:sz w:val="20"/>
                <w:szCs w:val="20"/>
              </w:rPr>
              <w:t>Technická proveditelnos</w:t>
            </w:r>
            <w:r w:rsidR="00344244" w:rsidRPr="00516D88">
              <w:rPr>
                <w:sz w:val="20"/>
                <w:szCs w:val="20"/>
              </w:rPr>
              <w:t>t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0145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jasně vyplývá, že žadatel zvolil nejvhodnější možné technické řešení. 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ktivity projektu jsou 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 rámci etap/etapy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podrobně popsány, postup přípravných i investičních akcí je logický, odpovídají cíli investiční akce.  Variantní řešení je uvedeno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žadatelem dostatečně popsáno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7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Studie proveditelnosti, projektová dokumentace </w:t>
            </w:r>
          </w:p>
          <w:p w:rsidR="00344244" w:rsidRPr="00516D88" w:rsidRDefault="0034424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 Žadatel vzhledem k charakteru projektu vysvětlí, proč zvolil navrhovaný postup/variantní řešení a prokáže využití nejlepší dostupné techniky/technologie.</w:t>
            </w:r>
            <w:r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i/>
                <w:iCs/>
                <w:sz w:val="20"/>
                <w:szCs w:val="20"/>
              </w:rPr>
              <w:t xml:space="preserve">Žadatel doložil dokumentaci (Studie, projektová dokumentace, technická dokumentace), ze které je možné posoudit celkový projektový záměr. </w:t>
            </w:r>
            <w:r w:rsidR="00E3487E" w:rsidRPr="00516D88">
              <w:rPr>
                <w:i/>
                <w:iCs/>
                <w:sz w:val="20"/>
                <w:szCs w:val="20"/>
              </w:rPr>
              <w:t>Součástí hodnocení je také posouzení vhodnosti úprav tříd pro integraci žáků se SVP.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44244" w:rsidRPr="00516D88" w:rsidRDefault="00344244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420C6B" w:rsidRPr="00516D88" w:rsidTr="00FB678B">
        <w:trPr>
          <w:trHeight w:val="67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0145FB" w:rsidP="007D7964">
            <w:pPr>
              <w:pStyle w:val="Standard"/>
              <w:tabs>
                <w:tab w:val="left" w:pos="7230"/>
              </w:tabs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popisu a předložené dokumentace jasně vyplývá, že žadatel zvolil nejvhodnější možné technické řešení. Aktivity projektu jsou v rámci etap/etapy podrobně popsány, postup přípravných i investičních akcí je logický, odpovídají cíli investiční akce.  Variantní řešení není uvedeno nebo není žadatelem dostatečně popsáno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320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A170B" w:rsidP="003A170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vyplývá, že žadatel zvolil vhodné technické řešení. Aktivity projektu odpovídají cíli investiční akce, ale nejsou v rámci etap/etapy podrobně popsány </w:t>
            </w:r>
            <w:r w:rsidR="00B803D5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nebo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postup přípravných i investičních akcí </w:t>
            </w:r>
            <w:r w:rsidR="00B803D5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není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logický.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60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A956F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Z popisu a předložené dokumentace existuje pochybnost o vhodnosti zvoleného techn</w:t>
            </w:r>
            <w:r w:rsidR="00084ECB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ckého řešení nebo technické řešení není žadatelem popsáno. </w:t>
            </w:r>
            <w:r w:rsidR="000145FB" w:rsidRPr="00516D88">
              <w:rPr>
                <w:sz w:val="20"/>
                <w:szCs w:val="20"/>
              </w:rPr>
              <w:t>A</w:t>
            </w:r>
            <w:r w:rsidRPr="00516D88">
              <w:rPr>
                <w:sz w:val="20"/>
                <w:szCs w:val="20"/>
              </w:rPr>
              <w:t>ktivity projektu nejsou podrobně popsány nebo neodpovídají cíli investiční akce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6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D248E2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88762B" w:rsidRPr="00516D88">
              <w:rPr>
                <w:sz w:val="20"/>
                <w:szCs w:val="20"/>
              </w:rPr>
              <w:t>2</w:t>
            </w:r>
            <w:r w:rsidR="00F65D14" w:rsidRPr="00516D88">
              <w:rPr>
                <w:sz w:val="20"/>
                <w:szCs w:val="20"/>
              </w:rPr>
              <w:t>. Reálnost harmonogramu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Harmonogram je reálný a odpovídá charakteru jednotlivých aktivit, jednotlivé</w:t>
            </w:r>
            <w:r w:rsidR="00CA50C9" w:rsidRPr="00516D88">
              <w:rPr>
                <w:sz w:val="20"/>
                <w:szCs w:val="20"/>
              </w:rPr>
              <w:t xml:space="preserve"> etapy na sebe logicky navazují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14" w:rsidRPr="00516D88" w:rsidRDefault="00F65D14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</w:t>
            </w:r>
            <w:proofErr w:type="gramStart"/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proveditelnosti                                         </w:t>
            </w:r>
            <w:r w:rsidRPr="00516D88">
              <w:rPr>
                <w:i/>
                <w:iCs/>
                <w:sz w:val="20"/>
                <w:szCs w:val="20"/>
              </w:rPr>
              <w:t>Žada</w:t>
            </w:r>
            <w:r w:rsidR="00CE00C8" w:rsidRPr="00516D88">
              <w:rPr>
                <w:i/>
                <w:iCs/>
                <w:sz w:val="20"/>
                <w:szCs w:val="20"/>
              </w:rPr>
              <w:t>tel</w:t>
            </w:r>
            <w:proofErr w:type="gramEnd"/>
            <w:r w:rsidR="00CE00C8" w:rsidRPr="00516D88">
              <w:rPr>
                <w:i/>
                <w:iCs/>
                <w:sz w:val="20"/>
                <w:szCs w:val="20"/>
              </w:rPr>
              <w:t xml:space="preserve"> dokládá reálnost </w:t>
            </w:r>
            <w:r w:rsidRPr="00516D88">
              <w:rPr>
                <w:i/>
                <w:iCs/>
                <w:sz w:val="20"/>
                <w:szCs w:val="20"/>
              </w:rPr>
              <w:t xml:space="preserve">harmonogramu vzhledem k sezónnosti prací, dodržení zákonných lhůt (např. výběrové řízení, </w:t>
            </w:r>
            <w:r w:rsidR="00420C6B" w:rsidRPr="00516D88">
              <w:rPr>
                <w:i/>
                <w:iCs/>
                <w:sz w:val="20"/>
                <w:szCs w:val="20"/>
              </w:rPr>
              <w:t>kolaudace</w:t>
            </w:r>
            <w:r w:rsidRPr="00516D88">
              <w:rPr>
                <w:i/>
                <w:iCs/>
                <w:sz w:val="20"/>
                <w:szCs w:val="20"/>
              </w:rPr>
              <w:t>) a lhůt na jednotlivé činnosti, časovou provázanost akt</w:t>
            </w:r>
            <w:r w:rsidR="00515DB8" w:rsidRPr="00516D88">
              <w:rPr>
                <w:i/>
                <w:iCs/>
                <w:sz w:val="20"/>
                <w:szCs w:val="20"/>
              </w:rPr>
              <w:t>ivit v rámci realizace projektu</w:t>
            </w:r>
            <w:r w:rsidR="008C1343" w:rsidRPr="00516D8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D14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F65D14" w:rsidRPr="00516D88" w:rsidRDefault="00F65D14" w:rsidP="0034424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54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Harmonogram není reálný, neodpovídá charakteru jednotlivých aktivit, jednotlivé etapy v harm</w:t>
            </w:r>
            <w:r w:rsidR="00CA50C9" w:rsidRPr="00516D88">
              <w:rPr>
                <w:sz w:val="20"/>
                <w:szCs w:val="20"/>
              </w:rPr>
              <w:t>onogramu netvoří logický celek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CE4E4F">
            <w:pPr>
              <w:tabs>
                <w:tab w:val="left" w:pos="7230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E13250">
        <w:trPr>
          <w:trHeight w:val="17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13. </w:t>
            </w:r>
            <w:r w:rsidR="00167573" w:rsidRPr="00516D88">
              <w:rPr>
                <w:sz w:val="20"/>
                <w:szCs w:val="20"/>
              </w:rPr>
              <w:t xml:space="preserve">Udržitelnost I - </w:t>
            </w:r>
            <w:r w:rsidRPr="00516D88">
              <w:rPr>
                <w:sz w:val="20"/>
                <w:szCs w:val="20"/>
              </w:rPr>
              <w:t>Rozvoj inkluzivního vzdělávání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V projektu je </w:t>
            </w:r>
            <w:r w:rsidR="00891933" w:rsidRPr="00516D88">
              <w:rPr>
                <w:sz w:val="20"/>
                <w:szCs w:val="20"/>
              </w:rPr>
              <w:t xml:space="preserve">konkrétně </w:t>
            </w:r>
            <w:r w:rsidRPr="00516D88">
              <w:rPr>
                <w:sz w:val="20"/>
                <w:szCs w:val="20"/>
              </w:rPr>
              <w:t xml:space="preserve">popsán rozvojový plán školy v oblasti inkluzivního vzdělávání. </w:t>
            </w:r>
            <w:r w:rsidR="00B26473" w:rsidRPr="00516D88">
              <w:rPr>
                <w:sz w:val="20"/>
                <w:szCs w:val="20"/>
              </w:rPr>
              <w:t>Dosažení plánu je reálné</w:t>
            </w:r>
            <w:r w:rsidR="00786391" w:rsidRPr="00516D88">
              <w:rPr>
                <w:sz w:val="20"/>
                <w:szCs w:val="20"/>
              </w:rPr>
              <w:t xml:space="preserve"> během období udržitelnosti</w:t>
            </w:r>
            <w:r w:rsidR="00B26473" w:rsidRPr="00516D88">
              <w:rPr>
                <w:sz w:val="20"/>
                <w:szCs w:val="20"/>
              </w:rPr>
              <w:t>, odpovídá charakteru</w:t>
            </w:r>
            <w:r w:rsidR="009C44DC" w:rsidRPr="00516D88">
              <w:rPr>
                <w:sz w:val="20"/>
                <w:szCs w:val="20"/>
              </w:rPr>
              <w:t xml:space="preserve"> projektu a cílové skupiny</w:t>
            </w:r>
            <w:r w:rsidR="00B26473" w:rsidRPr="00516D88">
              <w:rPr>
                <w:sz w:val="20"/>
                <w:szCs w:val="20"/>
              </w:rPr>
              <w:t xml:space="preserve">. Bude rozvíjeno pozitivní klima ve třídě a naplnění principu společného vzdělávání. </w:t>
            </w:r>
            <w:r w:rsidR="00786391" w:rsidRPr="00516D88">
              <w:rPr>
                <w:sz w:val="20"/>
                <w:szCs w:val="20"/>
              </w:rPr>
              <w:t xml:space="preserve">V podpořených třídách budou zohledňována </w:t>
            </w:r>
            <w:r w:rsidR="00B26473" w:rsidRPr="00516D88">
              <w:rPr>
                <w:sz w:val="20"/>
                <w:szCs w:val="20"/>
              </w:rPr>
              <w:t xml:space="preserve">specifika vzdělávacích potřeb žáků, jejich individuální potřeby a rovný přístup ke vzdělávání. </w:t>
            </w:r>
            <w:r w:rsidR="009C44DC" w:rsidRPr="00516D88">
              <w:rPr>
                <w:sz w:val="20"/>
                <w:szCs w:val="20"/>
              </w:rPr>
              <w:t>Plán bude promítnut do školního vzdělávacího programu.</w:t>
            </w:r>
            <w:r w:rsidR="00B26473"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6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6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BC20D8" w:rsidRPr="00516D88" w:rsidRDefault="00BC20D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>Žadatel podrobně popíše, jak bude projekt pokračovat po dobu udržitelnosti s ohledem na zaměření podpory sociální inkluze (bude hodnocen plány školy v oblasti inkluzivního vzdělávání, výukové přístupy v podpořených třídách pro rozvíjení sociální inkluze, zohlednění individuálních potřeb žáků apod.). Projekt obdrží maximální počet bodů, pokud bude plán inkluzivního vzdělávání během ob</w:t>
            </w:r>
            <w:r w:rsidR="00A4223B" w:rsidRPr="00516D88">
              <w:rPr>
                <w:i/>
                <w:iCs/>
                <w:sz w:val="20"/>
                <w:szCs w:val="20"/>
              </w:rPr>
              <w:t>d</w:t>
            </w:r>
            <w:r w:rsidRPr="00516D88">
              <w:rPr>
                <w:i/>
                <w:iCs/>
                <w:sz w:val="20"/>
                <w:szCs w:val="20"/>
              </w:rPr>
              <w:t>obí udržitelnosti začleněn do školního vzdělávání programu dané školy.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B84B81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7D3EA3">
        <w:trPr>
          <w:trHeight w:val="17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V projektu je popsán rozvojový plán školy v oblasti inkluzivního vzdělávání. </w:t>
            </w:r>
            <w:r w:rsidR="00991EFA" w:rsidRPr="00516D88">
              <w:rPr>
                <w:sz w:val="20"/>
                <w:szCs w:val="20"/>
              </w:rPr>
              <w:t>Převážnou část p</w:t>
            </w:r>
            <w:r w:rsidRPr="00516D88">
              <w:rPr>
                <w:sz w:val="20"/>
                <w:szCs w:val="20"/>
              </w:rPr>
              <w:t>lán</w:t>
            </w:r>
            <w:r w:rsidR="00991EFA" w:rsidRPr="00516D88">
              <w:rPr>
                <w:sz w:val="20"/>
                <w:szCs w:val="20"/>
              </w:rPr>
              <w:t xml:space="preserve">ovaných </w:t>
            </w:r>
            <w:proofErr w:type="spellStart"/>
            <w:r w:rsidR="00991EFA" w:rsidRPr="00516D88">
              <w:rPr>
                <w:sz w:val="20"/>
                <w:szCs w:val="20"/>
              </w:rPr>
              <w:t>proinkluzivních</w:t>
            </w:r>
            <w:proofErr w:type="spellEnd"/>
            <w:r w:rsidR="00991EFA" w:rsidRPr="00516D88">
              <w:rPr>
                <w:sz w:val="20"/>
                <w:szCs w:val="20"/>
              </w:rPr>
              <w:t xml:space="preserve"> opatření </w:t>
            </w:r>
            <w:r w:rsidRPr="00516D88">
              <w:rPr>
                <w:sz w:val="20"/>
                <w:szCs w:val="20"/>
              </w:rPr>
              <w:t>je reálné</w:t>
            </w:r>
            <w:r w:rsidR="00786391" w:rsidRPr="00516D88">
              <w:rPr>
                <w:sz w:val="20"/>
                <w:szCs w:val="20"/>
              </w:rPr>
              <w:t xml:space="preserve"> </w:t>
            </w:r>
            <w:r w:rsidR="00991EFA" w:rsidRPr="00516D88">
              <w:rPr>
                <w:sz w:val="20"/>
                <w:szCs w:val="20"/>
              </w:rPr>
              <w:t>dosáhnout.</w:t>
            </w:r>
            <w:r w:rsidRPr="00516D88">
              <w:rPr>
                <w:sz w:val="20"/>
                <w:szCs w:val="20"/>
              </w:rPr>
              <w:t xml:space="preserve"> </w:t>
            </w:r>
            <w:r w:rsidR="00991EFA" w:rsidRPr="00516D88">
              <w:rPr>
                <w:sz w:val="20"/>
                <w:szCs w:val="20"/>
              </w:rPr>
              <w:t xml:space="preserve">Plán </w:t>
            </w:r>
            <w:r w:rsidRPr="00516D88">
              <w:rPr>
                <w:sz w:val="20"/>
                <w:szCs w:val="20"/>
              </w:rPr>
              <w:t xml:space="preserve">odpovídá charakteru projektu a cílové skupiny. Bude rozvíjeno pozitivní klima ve třídě a naplnění principu společného vzdělávání. </w:t>
            </w:r>
            <w:r w:rsidR="00786391" w:rsidRPr="00516D88">
              <w:rPr>
                <w:sz w:val="20"/>
                <w:szCs w:val="20"/>
              </w:rPr>
              <w:t xml:space="preserve">V podpořených třídách </w:t>
            </w:r>
            <w:r w:rsidRPr="00516D88">
              <w:rPr>
                <w:sz w:val="20"/>
                <w:szCs w:val="20"/>
              </w:rPr>
              <w:t>bud</w:t>
            </w:r>
            <w:r w:rsidR="00786391" w:rsidRPr="00516D88">
              <w:rPr>
                <w:sz w:val="20"/>
                <w:szCs w:val="20"/>
              </w:rPr>
              <w:t>ou</w:t>
            </w:r>
            <w:r w:rsidRPr="00516D88">
              <w:rPr>
                <w:sz w:val="20"/>
                <w:szCs w:val="20"/>
              </w:rPr>
              <w:t xml:space="preserve"> zohledňov</w:t>
            </w:r>
            <w:r w:rsidR="00786391" w:rsidRPr="00516D88">
              <w:rPr>
                <w:sz w:val="20"/>
                <w:szCs w:val="20"/>
              </w:rPr>
              <w:t>ána</w:t>
            </w:r>
            <w:r w:rsidRPr="00516D88">
              <w:rPr>
                <w:sz w:val="20"/>
                <w:szCs w:val="20"/>
              </w:rPr>
              <w:t xml:space="preserve"> specifika vzdělávacích potřeb žáků, jejich individuální potřeby a rovný přístup ke vzdělávání.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7D3EA3">
        <w:trPr>
          <w:trHeight w:val="173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 w:rsidP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91EF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Rozvojový plán školy v oblasti inkluzivního vzdělávání neobsahuje konkrétní kroky a záměry, není popsán dostatečně konkrétně. Naplnění plánu není reálné během období udržitelnosti projektu. Nebudou naplněny podmínky rozvoje inkluzivního vzdělávání v podpořených třídách.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17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D248E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B84B81" w:rsidRPr="00516D88">
              <w:rPr>
                <w:sz w:val="20"/>
                <w:szCs w:val="20"/>
              </w:rPr>
              <w:t>4</w:t>
            </w:r>
            <w:r w:rsidR="00CE00C8" w:rsidRPr="00516D88">
              <w:rPr>
                <w:sz w:val="20"/>
                <w:szCs w:val="20"/>
              </w:rPr>
              <w:t>.</w:t>
            </w:r>
            <w:r w:rsidR="00CE00C8" w:rsidRPr="00516D88">
              <w:t xml:space="preserve"> U</w:t>
            </w:r>
            <w:r w:rsidR="00CE00C8" w:rsidRPr="00516D88">
              <w:rPr>
                <w:sz w:val="20"/>
                <w:szCs w:val="20"/>
              </w:rPr>
              <w:t xml:space="preserve">držitelnost </w:t>
            </w:r>
            <w:r w:rsidR="00167573" w:rsidRPr="00516D88">
              <w:rPr>
                <w:sz w:val="20"/>
                <w:szCs w:val="20"/>
              </w:rPr>
              <w:t>II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prokazuje </w:t>
            </w:r>
            <w:r w:rsidR="00B84B81" w:rsidRPr="00516D88">
              <w:rPr>
                <w:sz w:val="20"/>
                <w:szCs w:val="20"/>
              </w:rPr>
              <w:t xml:space="preserve">zajištění finanční, administrativní a institucionální </w:t>
            </w:r>
            <w:r w:rsidRPr="00516D88">
              <w:rPr>
                <w:sz w:val="20"/>
                <w:szCs w:val="20"/>
              </w:rPr>
              <w:t>udržitelnost</w:t>
            </w:r>
            <w:r w:rsidR="00B84B81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 projektu. Provozní výdaje projektu jsou reálné a </w:t>
            </w:r>
            <w:proofErr w:type="spellStart"/>
            <w:r w:rsidRPr="00516D88">
              <w:rPr>
                <w:sz w:val="20"/>
                <w:szCs w:val="20"/>
              </w:rPr>
              <w:t>ufinancovatelné</w:t>
            </w:r>
            <w:proofErr w:type="spellEnd"/>
            <w:r w:rsidRPr="00516D88">
              <w:rPr>
                <w:sz w:val="20"/>
                <w:szCs w:val="20"/>
              </w:rPr>
              <w:t>, žadatel má zajištěny zdroje financování po celou dobu udržitelnosti projektu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</w:t>
            </w:r>
            <w:r w:rsidR="00CE00C8" w:rsidRPr="00516D88">
              <w:rPr>
                <w:sz w:val="20"/>
                <w:szCs w:val="20"/>
              </w:rPr>
              <w:t xml:space="preserve"> bod</w:t>
            </w:r>
            <w:r w:rsidRPr="00516D88">
              <w:rPr>
                <w:sz w:val="20"/>
                <w:szCs w:val="20"/>
              </w:rPr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B84B81" w:rsidRPr="00516D88">
              <w:rPr>
                <w:b/>
                <w:bCs/>
                <w:sz w:val="20"/>
                <w:szCs w:val="20"/>
              </w:rPr>
              <w:t>4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6D88">
              <w:rPr>
                <w:i/>
                <w:iCs/>
                <w:sz w:val="20"/>
                <w:szCs w:val="20"/>
              </w:rPr>
              <w:t xml:space="preserve">Žadatel podrobně popíše, jak bude projekt pokračovat po dobu 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udržitelnostia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jakým způsobem bude financován po celé sledované období (žadatel doloží zdroje financování). Posuzována bude udržitelnost institucionální, </w:t>
            </w:r>
            <w:proofErr w:type="spellStart"/>
            <w:proofErr w:type="gramStart"/>
            <w:r w:rsidRPr="00516D88">
              <w:rPr>
                <w:i/>
                <w:iCs/>
                <w:sz w:val="20"/>
                <w:szCs w:val="20"/>
              </w:rPr>
              <w:t>administrativní</w:t>
            </w:r>
            <w:r w:rsidR="00446700" w:rsidRPr="00516D88">
              <w:rPr>
                <w:i/>
                <w:iCs/>
                <w:sz w:val="20"/>
                <w:szCs w:val="20"/>
              </w:rPr>
              <w:t>,</w:t>
            </w:r>
            <w:r w:rsidRPr="00516D88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finanční</w:t>
            </w:r>
            <w:proofErr w:type="gramEnd"/>
            <w:r w:rsidRPr="00516D88">
              <w:rPr>
                <w:i/>
                <w:iCs/>
                <w:sz w:val="20"/>
                <w:szCs w:val="20"/>
              </w:rPr>
              <w:t>.</w:t>
            </w:r>
            <w:r w:rsidR="001A548E" w:rsidRPr="00516D8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0C8" w:rsidRPr="00516D88" w:rsidRDefault="00CE00C8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8" w:rsidRPr="00516D88" w:rsidRDefault="00CE00C8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420C6B" w:rsidRPr="00516D88" w:rsidTr="00FB678B">
        <w:trPr>
          <w:trHeight w:val="8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neprokázal </w:t>
            </w:r>
            <w:r w:rsidR="00167573" w:rsidRPr="00516D88">
              <w:rPr>
                <w:sz w:val="20"/>
                <w:szCs w:val="20"/>
              </w:rPr>
              <w:t xml:space="preserve">zajištění finanční, administrativní a institucionální </w:t>
            </w:r>
            <w:r w:rsidRPr="00516D88">
              <w:rPr>
                <w:sz w:val="20"/>
                <w:szCs w:val="20"/>
              </w:rPr>
              <w:t>udržitelnost</w:t>
            </w:r>
            <w:r w:rsidR="00167573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 projektu. Provozní výdaje projektu nejsou reálné a </w:t>
            </w:r>
            <w:proofErr w:type="spellStart"/>
            <w:r w:rsidRPr="00516D88">
              <w:rPr>
                <w:sz w:val="20"/>
                <w:szCs w:val="20"/>
              </w:rPr>
              <w:t>ufinancovatelné</w:t>
            </w:r>
            <w:proofErr w:type="spellEnd"/>
            <w:r w:rsidR="00572D40" w:rsidRPr="00516D88">
              <w:rPr>
                <w:sz w:val="20"/>
                <w:szCs w:val="20"/>
              </w:rPr>
              <w:t xml:space="preserve">, </w:t>
            </w:r>
            <w:r w:rsidRPr="00516D88">
              <w:rPr>
                <w:sz w:val="20"/>
                <w:szCs w:val="20"/>
              </w:rPr>
              <w:t>žadatel neprokázal zajištění zdrojů financování po dobu udržitelnosti projektu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C8" w:rsidRPr="00516D88" w:rsidRDefault="00CE00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0C8" w:rsidRPr="00516D88" w:rsidRDefault="00CE00C8" w:rsidP="00761AE5">
            <w:pPr>
              <w:tabs>
                <w:tab w:val="left" w:pos="723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8" w:rsidRPr="00516D88" w:rsidRDefault="00CE00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16CAF">
            <w:pPr>
              <w:pStyle w:val="Standard"/>
              <w:spacing w:after="0" w:line="240" w:lineRule="auto"/>
            </w:pPr>
            <w:r w:rsidRPr="00516D88">
              <w:rPr>
                <w:sz w:val="20"/>
                <w:szCs w:val="20"/>
              </w:rPr>
              <w:t>1</w:t>
            </w:r>
            <w:r w:rsidR="00B84B81" w:rsidRPr="00516D88">
              <w:rPr>
                <w:sz w:val="20"/>
                <w:szCs w:val="20"/>
              </w:rPr>
              <w:t>5</w:t>
            </w:r>
            <w:r w:rsidRPr="00516D88">
              <w:rPr>
                <w:sz w:val="20"/>
                <w:szCs w:val="20"/>
              </w:rPr>
              <w:t>. Finanční a ekonomická rizika projektu</w:t>
            </w:r>
          </w:p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2,5 bodu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2,5 bodu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67" w:rsidRPr="00516D88" w:rsidRDefault="00E24167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 (zejména kap. 15)</w:t>
            </w:r>
          </w:p>
          <w:p w:rsidR="00C16CAF" w:rsidRPr="00516D88" w:rsidRDefault="00E24167" w:rsidP="00E24167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Pozornost se soustředí na popis rizik, předpokladů úspěšné realizace projektu a řešení k odstranění nebo minimalizaci rizik. Klíčová jsou rizika </w:t>
            </w:r>
            <w:r w:rsidRPr="00516D88">
              <w:rPr>
                <w:i/>
                <w:sz w:val="20"/>
                <w:szCs w:val="20"/>
              </w:rPr>
              <w:t>ekonomická,</w:t>
            </w:r>
            <w:r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i/>
                <w:sz w:val="20"/>
                <w:szCs w:val="20"/>
              </w:rPr>
              <w:t>finanční, logistická, obchodní a provozní.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B84B81" w:rsidRPr="00516D88">
              <w:rPr>
                <w:sz w:val="20"/>
                <w:szCs w:val="20"/>
              </w:rPr>
              <w:t>6</w:t>
            </w:r>
            <w:r w:rsidRPr="00516D88">
              <w:rPr>
                <w:sz w:val="20"/>
                <w:szCs w:val="20"/>
              </w:rPr>
              <w:t xml:space="preserve">. </w:t>
            </w:r>
            <w:r w:rsidR="00C90AEC" w:rsidRPr="00516D88">
              <w:rPr>
                <w:sz w:val="20"/>
                <w:szCs w:val="20"/>
              </w:rPr>
              <w:t>Ostatní r</w:t>
            </w:r>
            <w:r w:rsidRPr="00516D88">
              <w:rPr>
                <w:sz w:val="20"/>
                <w:szCs w:val="20"/>
              </w:rPr>
              <w:t>izika projektu</w:t>
            </w:r>
            <w:r w:rsidR="00B71602" w:rsidRPr="00516D88">
              <w:rPr>
                <w:sz w:val="20"/>
                <w:szCs w:val="20"/>
              </w:rPr>
              <w:t xml:space="preserve"> </w:t>
            </w:r>
            <w:r w:rsidR="00022F44" w:rsidRPr="00516D88">
              <w:rPr>
                <w:sz w:val="20"/>
                <w:szCs w:val="20"/>
              </w:rPr>
              <w:t>(vyjma finančních a ekonomických rizik)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90AEC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2,</w:t>
            </w:r>
            <w:r w:rsidR="00C16CAF" w:rsidRPr="00516D88">
              <w:rPr>
                <w:sz w:val="20"/>
                <w:szCs w:val="20"/>
              </w:rPr>
              <w:t>5 bod</w:t>
            </w:r>
            <w:r w:rsidRPr="00516D88">
              <w:rPr>
                <w:sz w:val="20"/>
                <w:szCs w:val="20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C90AEC" w:rsidRPr="00516D88">
              <w:rPr>
                <w:b/>
                <w:bCs/>
                <w:sz w:val="20"/>
                <w:szCs w:val="20"/>
              </w:rPr>
              <w:t>2,</w:t>
            </w:r>
            <w:r w:rsidRPr="00516D88">
              <w:rPr>
                <w:b/>
                <w:bCs/>
                <w:sz w:val="20"/>
                <w:szCs w:val="20"/>
              </w:rPr>
              <w:t>5 bod</w:t>
            </w:r>
            <w:r w:rsidR="00C90AEC" w:rsidRPr="00516D88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67" w:rsidRPr="00516D88" w:rsidRDefault="00E24167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 (zejména kap. 15)</w:t>
            </w:r>
          </w:p>
          <w:p w:rsidR="00C16CAF" w:rsidRPr="00516D88" w:rsidRDefault="00E24167" w:rsidP="003B474B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Pozornost se soustředí na popis ostatních realizačních rizik (krom finančních a ekonomických), předpokladů úspěšné realizace projektu a řešení k odstranění nebo minimalizaci rizik. Klíčová jsou rizika </w:t>
            </w:r>
            <w:r w:rsidRPr="00516D88">
              <w:rPr>
                <w:i/>
                <w:sz w:val="20"/>
                <w:szCs w:val="20"/>
              </w:rPr>
              <w:t xml:space="preserve">technická a technologická, projektová, informační, časová, organizační, legislativní, sociální, ekologická, bezpečnostní, živelná a přírodní.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C16CAF" w:rsidRPr="00516D88" w:rsidTr="00FB678B">
        <w:trPr>
          <w:trHeight w:val="11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90A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1 </w:t>
            </w:r>
            <w:r w:rsidR="00C16CAF" w:rsidRPr="00516D88">
              <w:rPr>
                <w:sz w:val="20"/>
                <w:szCs w:val="20"/>
              </w:rPr>
              <w:t>bod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1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34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rPr>
                <w:b/>
              </w:rPr>
            </w:pPr>
            <w:r w:rsidRPr="00516D88">
              <w:rPr>
                <w:b/>
              </w:rPr>
              <w:t>SOULAD S HORIZONTÁLNÍMI TÉMATY</w:t>
            </w:r>
          </w:p>
        </w:tc>
      </w:tr>
      <w:tr w:rsidR="00C16CAF" w:rsidRPr="00516D88" w:rsidTr="00FB678B">
        <w:trPr>
          <w:trHeight w:val="8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B84B81" w:rsidRPr="00516D88">
              <w:rPr>
                <w:sz w:val="20"/>
                <w:szCs w:val="20"/>
              </w:rPr>
              <w:t>7</w:t>
            </w:r>
            <w:r w:rsidRPr="00516D88">
              <w:rPr>
                <w:sz w:val="20"/>
                <w:szCs w:val="20"/>
              </w:rPr>
              <w:t>. Vliv projektu na rovné příležitosti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>Projekt aktivně přistupuje k podpoře rovn</w:t>
            </w:r>
            <w:r w:rsidR="00446700" w:rsidRPr="00516D88">
              <w:rPr>
                <w:sz w:val="20"/>
              </w:rPr>
              <w:t>ého přístupu ve vzdělávání a zohledňování individuálních potřeb žáků. Přispívá k potlačování dis</w:t>
            </w:r>
            <w:r w:rsidRPr="00516D88">
              <w:rPr>
                <w:sz w:val="20"/>
              </w:rPr>
              <w:t>kriminace osob.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  <w:r w:rsidRPr="00516D88">
              <w:rPr>
                <w:b/>
                <w:sz w:val="20"/>
              </w:rPr>
              <w:t>Max. 1 bod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715369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b/>
                <w:i/>
                <w:sz w:val="20"/>
                <w:szCs w:val="20"/>
              </w:rPr>
              <w:t>Žádost o podporu, studie proveditelnosti</w:t>
            </w:r>
          </w:p>
          <w:p w:rsidR="00C16CAF" w:rsidRPr="00516D88" w:rsidRDefault="00C16CAF" w:rsidP="0096353F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i/>
                <w:sz w:val="20"/>
                <w:szCs w:val="20"/>
              </w:rPr>
              <w:t>Posuzuje se vztah projektu k rovným příležitostem</w:t>
            </w:r>
            <w:r w:rsidRPr="00516D88">
              <w:rPr>
                <w:i/>
                <w:iCs/>
                <w:sz w:val="20"/>
                <w:szCs w:val="20"/>
              </w:rPr>
              <w:t>. Žadatel popíše příspěvek k naplnění zásady rovného přístupu v rámci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C16CAF" w:rsidRPr="00516D88" w:rsidTr="00FB678B">
        <w:trPr>
          <w:trHeight w:val="216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>Vliv projektu na rovné příležitosti je neutrální</w:t>
            </w:r>
            <w:r w:rsidR="00446700" w:rsidRPr="00516D8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tabs>
                <w:tab w:val="left" w:pos="723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16CAF" w:rsidRPr="00516D88" w:rsidRDefault="00C16CAF" w:rsidP="001708B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</w:t>
            </w:r>
            <w:r w:rsidR="00B84B81" w:rsidRPr="00516D88">
              <w:rPr>
                <w:sz w:val="20"/>
                <w:szCs w:val="20"/>
              </w:rPr>
              <w:t>8</w:t>
            </w:r>
            <w:r w:rsidRPr="00516D88">
              <w:rPr>
                <w:sz w:val="20"/>
                <w:szCs w:val="20"/>
              </w:rPr>
              <w:t>. Vliv projektu na udržitelný rozvoj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 xml:space="preserve">Vliv projektu na udržitelný rozvoj je kladný.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Projekt obsahuje konkrétní opatření/aktivity na podporu udržitelného rozvoje, </w:t>
            </w:r>
            <w:r w:rsidRPr="00516D88">
              <w:rPr>
                <w:sz w:val="20"/>
                <w:szCs w:val="20"/>
              </w:rPr>
              <w:t>projekt přispívá ke zvyšování povědomí o udržitelném rozvoji (zejména o environmentální problematice), k uvážlivému využívání přírodních zdrojů.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  <w:r w:rsidRPr="00516D88">
              <w:rPr>
                <w:b/>
                <w:sz w:val="20"/>
              </w:rPr>
              <w:t>Max. 1 bod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770147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b/>
                <w:i/>
                <w:sz w:val="20"/>
                <w:szCs w:val="20"/>
              </w:rPr>
              <w:t>Žádost o podporu, studie proveditelnosti</w:t>
            </w:r>
          </w:p>
          <w:p w:rsidR="00C16CAF" w:rsidRPr="00516D88" w:rsidRDefault="00C16CAF" w:rsidP="00770147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i/>
                <w:sz w:val="20"/>
                <w:szCs w:val="20"/>
              </w:rPr>
              <w:t>Posuzuje se vztah projektu k udržitelnému rozvoji</w:t>
            </w:r>
            <w:r w:rsidRPr="00516D88">
              <w:rPr>
                <w:i/>
                <w:iCs/>
                <w:sz w:val="20"/>
                <w:szCs w:val="20"/>
              </w:rPr>
              <w:t>. Žadatel popíše příspěvek k naplnění zásady udržitelného rozvoje např. v oblastech využívání zdrojů, změny klimatu, odolnosti a prevence vůči katastrofám tam, kde je aplikovatelné.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A95562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C16CAF" w:rsidRPr="00516D88" w:rsidTr="00FB678B">
        <w:trPr>
          <w:trHeight w:val="12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13AD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 xml:space="preserve">Vliv projektu na udržitelný rozvoj je neutrální. </w:t>
            </w:r>
            <w:r w:rsidRPr="00516D88">
              <w:rPr>
                <w:sz w:val="20"/>
                <w:szCs w:val="20"/>
              </w:rPr>
              <w:t>Příspěvek projektu ke zvyšování povědomí o udržitelném rozvoji (zejména o environmentální problematice), k uvážlivému využívání přírodních zdrojů je neutrální.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tabs>
                <w:tab w:val="left" w:pos="7230"/>
              </w:tabs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890F7B" w:rsidTr="00FB678B">
        <w:trPr>
          <w:trHeight w:val="340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CAF" w:rsidRDefault="00C16CAF" w:rsidP="00BB555F">
            <w:pPr>
              <w:pStyle w:val="Standard"/>
              <w:tabs>
                <w:tab w:val="left" w:pos="7230"/>
              </w:tabs>
              <w:rPr>
                <w:b/>
              </w:rPr>
            </w:pPr>
            <w:r w:rsidRPr="00516D88">
              <w:rPr>
                <w:b/>
              </w:rPr>
              <w:t>Maximální počet dosažitelných bodů = 100 bodů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</w:tbl>
    <w:p w:rsidR="00791877" w:rsidRPr="00890F7B" w:rsidRDefault="00791877" w:rsidP="000E2BD7">
      <w:pPr>
        <w:pStyle w:val="Standard"/>
        <w:tabs>
          <w:tab w:val="left" w:pos="7230"/>
        </w:tabs>
        <w:rPr>
          <w:sz w:val="20"/>
          <w:szCs w:val="20"/>
        </w:rPr>
      </w:pPr>
    </w:p>
    <w:sectPr w:rsidR="00791877" w:rsidRPr="00890F7B" w:rsidSect="00E8446F">
      <w:headerReference w:type="default" r:id="rId9"/>
      <w:footerReference w:type="default" r:id="rId10"/>
      <w:pgSz w:w="16838" w:h="11906" w:orient="landscape"/>
      <w:pgMar w:top="766" w:right="253" w:bottom="766" w:left="42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73" w:rsidRDefault="00235A73">
      <w:pPr>
        <w:spacing w:after="0" w:line="240" w:lineRule="auto"/>
      </w:pPr>
      <w:r>
        <w:separator/>
      </w:r>
    </w:p>
  </w:endnote>
  <w:endnote w:type="continuationSeparator" w:id="0">
    <w:p w:rsidR="00235A73" w:rsidRDefault="0023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3D" w:rsidRDefault="00A21D3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516D88">
      <w:rPr>
        <w:noProof/>
      </w:rPr>
      <w:t>9</w:t>
    </w:r>
    <w:r>
      <w:fldChar w:fldCharType="end"/>
    </w:r>
  </w:p>
  <w:p w:rsidR="00A21D3D" w:rsidRDefault="00A21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73" w:rsidRDefault="00235A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5A73" w:rsidRDefault="0023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3D" w:rsidRDefault="00975037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BD568B4" wp14:editId="751EBE4B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7773BA8" wp14:editId="743871F9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3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680676" w:rsidRDefault="00680676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A2745C" w:rsidRPr="007F6804" w:rsidRDefault="007F6804" w:rsidP="00A2745C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  <w:r>
      <w:rPr>
        <w:rFonts w:eastAsia="Times New Roman" w:cs="Calibri"/>
        <w:b/>
        <w:bCs/>
        <w:color w:val="000000"/>
        <w:sz w:val="28"/>
        <w:lang w:eastAsia="cs-CZ"/>
      </w:rPr>
      <w:t xml:space="preserve">Sada </w:t>
    </w:r>
    <w:r w:rsidR="00A855F0">
      <w:rPr>
        <w:rFonts w:eastAsia="Times New Roman" w:cs="Calibri"/>
        <w:b/>
        <w:bCs/>
        <w:color w:val="000000"/>
        <w:sz w:val="28"/>
        <w:lang w:eastAsia="cs-CZ"/>
      </w:rPr>
      <w:t xml:space="preserve">hodnotících </w:t>
    </w:r>
    <w:r w:rsidRPr="007F583F">
      <w:rPr>
        <w:rFonts w:eastAsia="Times New Roman" w:cs="Calibri"/>
        <w:b/>
        <w:bCs/>
        <w:color w:val="000000"/>
        <w:sz w:val="28"/>
        <w:lang w:eastAsia="cs-CZ"/>
      </w:rPr>
      <w:t xml:space="preserve">kritérií </w:t>
    </w:r>
    <w:r>
      <w:rPr>
        <w:rFonts w:eastAsia="Times New Roman" w:cs="Calibri"/>
        <w:b/>
        <w:bCs/>
        <w:color w:val="000000"/>
        <w:sz w:val="28"/>
        <w:lang w:eastAsia="cs-CZ"/>
      </w:rPr>
      <w:t xml:space="preserve">pro </w:t>
    </w:r>
    <w:r w:rsidR="00A855F0">
      <w:rPr>
        <w:rFonts w:eastAsia="Times New Roman" w:cs="Calibri"/>
        <w:b/>
        <w:bCs/>
        <w:color w:val="000000"/>
        <w:sz w:val="28"/>
        <w:lang w:eastAsia="cs-CZ"/>
      </w:rPr>
      <w:t>prioritní osu 4 v rámci OP PPR</w:t>
    </w:r>
    <w:r w:rsidRPr="007F6804">
      <w:rPr>
        <w:rFonts w:eastAsia="Times New Roman" w:cs="Arial"/>
        <w:b/>
        <w:bCs/>
        <w:color w:val="000000"/>
        <w:sz w:val="28"/>
        <w:szCs w:val="28"/>
        <w:lang w:eastAsia="cs-CZ"/>
      </w:rPr>
      <w:t>, specifický cíl 4.1</w:t>
    </w:r>
    <w:r w:rsidR="001E662F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</w:t>
    </w:r>
    <w:r w:rsidR="001E662F" w:rsidRPr="001E662F">
      <w:rPr>
        <w:rFonts w:eastAsia="Times New Roman" w:cs="Arial"/>
        <w:b/>
        <w:bCs/>
        <w:color w:val="000000"/>
        <w:sz w:val="28"/>
        <w:szCs w:val="28"/>
        <w:lang w:eastAsia="cs-CZ"/>
      </w:rPr>
      <w:t>Navýšení kapacity a zkvalitnění předškolního, základního a středního vzdělávání a zařízení pro poskytování péče o děti do 3 let</w:t>
    </w:r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, </w:t>
    </w:r>
    <w:proofErr w:type="gramStart"/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>aktivit</w:t>
    </w:r>
    <w:r w:rsidR="00BD1EBF">
      <w:rPr>
        <w:rFonts w:eastAsia="Times New Roman" w:cs="Arial"/>
        <w:b/>
        <w:bCs/>
        <w:color w:val="000000"/>
        <w:sz w:val="28"/>
        <w:szCs w:val="28"/>
        <w:lang w:eastAsia="cs-CZ"/>
      </w:rPr>
      <w:t>a</w:t>
    </w:r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 4.1.4</w:t>
    </w:r>
    <w:proofErr w:type="gramEnd"/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</w:t>
    </w:r>
    <w:r w:rsidR="00BD1EBF" w:rsidRPr="00BD1EBF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Navýšení kapacit základního vzdělávání za účelem sociální inkluze </w:t>
    </w:r>
  </w:p>
  <w:p w:rsidR="00F72711" w:rsidRPr="007F6804" w:rsidRDefault="00F72711" w:rsidP="00216396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EFD0262"/>
    <w:multiLevelType w:val="hybridMultilevel"/>
    <w:tmpl w:val="DFD6CE36"/>
    <w:lvl w:ilvl="0" w:tplc="074C3198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73525FF0"/>
    <w:multiLevelType w:val="hybridMultilevel"/>
    <w:tmpl w:val="4C4EA8AA"/>
    <w:lvl w:ilvl="0" w:tplc="CAAE177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86E609F"/>
    <w:multiLevelType w:val="hybridMultilevel"/>
    <w:tmpl w:val="586213D0"/>
    <w:lvl w:ilvl="0" w:tplc="FE6C35F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3"/>
  </w:num>
  <w:num w:numId="8">
    <w:abstractNumId w:val="30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47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1"/>
  </w:num>
  <w:num w:numId="20">
    <w:abstractNumId w:val="48"/>
  </w:num>
  <w:num w:numId="21">
    <w:abstractNumId w:val="0"/>
  </w:num>
  <w:num w:numId="22">
    <w:abstractNumId w:val="22"/>
  </w:num>
  <w:num w:numId="23">
    <w:abstractNumId w:val="37"/>
  </w:num>
  <w:num w:numId="24">
    <w:abstractNumId w:val="44"/>
  </w:num>
  <w:num w:numId="25">
    <w:abstractNumId w:val="15"/>
  </w:num>
  <w:num w:numId="26">
    <w:abstractNumId w:val="13"/>
  </w:num>
  <w:num w:numId="27">
    <w:abstractNumId w:val="6"/>
  </w:num>
  <w:num w:numId="28">
    <w:abstractNumId w:val="45"/>
  </w:num>
  <w:num w:numId="29">
    <w:abstractNumId w:val="16"/>
  </w:num>
  <w:num w:numId="30">
    <w:abstractNumId w:val="8"/>
  </w:num>
  <w:num w:numId="31">
    <w:abstractNumId w:val="32"/>
  </w:num>
  <w:num w:numId="32">
    <w:abstractNumId w:val="20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5"/>
  </w:num>
  <w:num w:numId="42">
    <w:abstractNumId w:val="4"/>
  </w:num>
  <w:num w:numId="43">
    <w:abstractNumId w:val="18"/>
  </w:num>
  <w:num w:numId="44">
    <w:abstractNumId w:val="35"/>
  </w:num>
  <w:num w:numId="45">
    <w:abstractNumId w:val="19"/>
  </w:num>
  <w:num w:numId="46">
    <w:abstractNumId w:val="23"/>
  </w:num>
  <w:num w:numId="47">
    <w:abstractNumId w:val="46"/>
  </w:num>
  <w:num w:numId="48">
    <w:abstractNumId w:val="4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7"/>
    <w:rsid w:val="00002AB3"/>
    <w:rsid w:val="00003C58"/>
    <w:rsid w:val="00011B45"/>
    <w:rsid w:val="00012A08"/>
    <w:rsid w:val="000145FB"/>
    <w:rsid w:val="00021C5E"/>
    <w:rsid w:val="00022F44"/>
    <w:rsid w:val="00031FFD"/>
    <w:rsid w:val="000339A9"/>
    <w:rsid w:val="0003598A"/>
    <w:rsid w:val="0004183A"/>
    <w:rsid w:val="0004515B"/>
    <w:rsid w:val="00045467"/>
    <w:rsid w:val="00053FC1"/>
    <w:rsid w:val="000550ED"/>
    <w:rsid w:val="0006000B"/>
    <w:rsid w:val="000628C8"/>
    <w:rsid w:val="000632BA"/>
    <w:rsid w:val="00063832"/>
    <w:rsid w:val="00065A14"/>
    <w:rsid w:val="00074970"/>
    <w:rsid w:val="00074D99"/>
    <w:rsid w:val="000760FE"/>
    <w:rsid w:val="00076669"/>
    <w:rsid w:val="000777E3"/>
    <w:rsid w:val="00077FAA"/>
    <w:rsid w:val="0008158F"/>
    <w:rsid w:val="000821E6"/>
    <w:rsid w:val="00082E42"/>
    <w:rsid w:val="00083059"/>
    <w:rsid w:val="00084CE8"/>
    <w:rsid w:val="00084ECB"/>
    <w:rsid w:val="00086C68"/>
    <w:rsid w:val="00087C5B"/>
    <w:rsid w:val="00092A1E"/>
    <w:rsid w:val="000A4043"/>
    <w:rsid w:val="000A5510"/>
    <w:rsid w:val="000A5B71"/>
    <w:rsid w:val="000B32C1"/>
    <w:rsid w:val="000B6354"/>
    <w:rsid w:val="000B7CA0"/>
    <w:rsid w:val="000C0096"/>
    <w:rsid w:val="000C5D56"/>
    <w:rsid w:val="000E07C4"/>
    <w:rsid w:val="000E2BD7"/>
    <w:rsid w:val="000E3859"/>
    <w:rsid w:val="000E38D2"/>
    <w:rsid w:val="000E4606"/>
    <w:rsid w:val="000E4EA2"/>
    <w:rsid w:val="000E7AD7"/>
    <w:rsid w:val="000F05F1"/>
    <w:rsid w:val="000F6F9D"/>
    <w:rsid w:val="001013E4"/>
    <w:rsid w:val="0010398C"/>
    <w:rsid w:val="001132F2"/>
    <w:rsid w:val="001133F3"/>
    <w:rsid w:val="00115F02"/>
    <w:rsid w:val="00116AFE"/>
    <w:rsid w:val="00116EA4"/>
    <w:rsid w:val="0012090A"/>
    <w:rsid w:val="001278A1"/>
    <w:rsid w:val="001301F9"/>
    <w:rsid w:val="00134369"/>
    <w:rsid w:val="0013615C"/>
    <w:rsid w:val="0014099A"/>
    <w:rsid w:val="0014191B"/>
    <w:rsid w:val="00142BF0"/>
    <w:rsid w:val="00150042"/>
    <w:rsid w:val="0015137D"/>
    <w:rsid w:val="00154FB2"/>
    <w:rsid w:val="001554E4"/>
    <w:rsid w:val="0015637F"/>
    <w:rsid w:val="00163266"/>
    <w:rsid w:val="00167090"/>
    <w:rsid w:val="00167573"/>
    <w:rsid w:val="0017034D"/>
    <w:rsid w:val="00170517"/>
    <w:rsid w:val="001705E9"/>
    <w:rsid w:val="001708B8"/>
    <w:rsid w:val="0017456F"/>
    <w:rsid w:val="001773B2"/>
    <w:rsid w:val="0017762B"/>
    <w:rsid w:val="00177A31"/>
    <w:rsid w:val="0018121E"/>
    <w:rsid w:val="00190B10"/>
    <w:rsid w:val="001912A1"/>
    <w:rsid w:val="001A2A7E"/>
    <w:rsid w:val="001A3098"/>
    <w:rsid w:val="001A3CA2"/>
    <w:rsid w:val="001A3CFF"/>
    <w:rsid w:val="001A4A81"/>
    <w:rsid w:val="001A548E"/>
    <w:rsid w:val="001A5E82"/>
    <w:rsid w:val="001A7192"/>
    <w:rsid w:val="001B46A0"/>
    <w:rsid w:val="001B4C38"/>
    <w:rsid w:val="001B6A50"/>
    <w:rsid w:val="001B7AF3"/>
    <w:rsid w:val="001C7304"/>
    <w:rsid w:val="001C736F"/>
    <w:rsid w:val="001D04E1"/>
    <w:rsid w:val="001D20C8"/>
    <w:rsid w:val="001D2B92"/>
    <w:rsid w:val="001D3282"/>
    <w:rsid w:val="001D36FC"/>
    <w:rsid w:val="001D4495"/>
    <w:rsid w:val="001D683A"/>
    <w:rsid w:val="001E04DC"/>
    <w:rsid w:val="001E136A"/>
    <w:rsid w:val="001E1DD1"/>
    <w:rsid w:val="001E1DF4"/>
    <w:rsid w:val="001E1EA7"/>
    <w:rsid w:val="001E45B8"/>
    <w:rsid w:val="001E662F"/>
    <w:rsid w:val="001E685A"/>
    <w:rsid w:val="001E7020"/>
    <w:rsid w:val="001F1160"/>
    <w:rsid w:val="001F2526"/>
    <w:rsid w:val="001F30B1"/>
    <w:rsid w:val="001F5167"/>
    <w:rsid w:val="001F6AB7"/>
    <w:rsid w:val="002024FB"/>
    <w:rsid w:val="00202FCF"/>
    <w:rsid w:val="00204BB0"/>
    <w:rsid w:val="002056CD"/>
    <w:rsid w:val="00205AF6"/>
    <w:rsid w:val="00206DF2"/>
    <w:rsid w:val="00207324"/>
    <w:rsid w:val="00207687"/>
    <w:rsid w:val="00207924"/>
    <w:rsid w:val="00207DDB"/>
    <w:rsid w:val="00213ACE"/>
    <w:rsid w:val="00215040"/>
    <w:rsid w:val="00216396"/>
    <w:rsid w:val="0021706F"/>
    <w:rsid w:val="002202CB"/>
    <w:rsid w:val="00222BE7"/>
    <w:rsid w:val="00224FFC"/>
    <w:rsid w:val="00235A73"/>
    <w:rsid w:val="002412E4"/>
    <w:rsid w:val="00241836"/>
    <w:rsid w:val="00245463"/>
    <w:rsid w:val="00245E2F"/>
    <w:rsid w:val="0024628F"/>
    <w:rsid w:val="00247C9D"/>
    <w:rsid w:val="002514B5"/>
    <w:rsid w:val="002608D8"/>
    <w:rsid w:val="00262B70"/>
    <w:rsid w:val="00264AD1"/>
    <w:rsid w:val="00275DAA"/>
    <w:rsid w:val="002766BA"/>
    <w:rsid w:val="00277590"/>
    <w:rsid w:val="002801FB"/>
    <w:rsid w:val="0028280E"/>
    <w:rsid w:val="002866AB"/>
    <w:rsid w:val="00291BFE"/>
    <w:rsid w:val="00293F53"/>
    <w:rsid w:val="002A0AD4"/>
    <w:rsid w:val="002A1739"/>
    <w:rsid w:val="002A2892"/>
    <w:rsid w:val="002A3103"/>
    <w:rsid w:val="002A3D0D"/>
    <w:rsid w:val="002A75DB"/>
    <w:rsid w:val="002B0EBE"/>
    <w:rsid w:val="002B54B5"/>
    <w:rsid w:val="002B6D1A"/>
    <w:rsid w:val="002B7F93"/>
    <w:rsid w:val="002C4CD7"/>
    <w:rsid w:val="002C6604"/>
    <w:rsid w:val="002D0CA2"/>
    <w:rsid w:val="002D1F62"/>
    <w:rsid w:val="002D427B"/>
    <w:rsid w:val="002D42EB"/>
    <w:rsid w:val="002D6E81"/>
    <w:rsid w:val="002E1277"/>
    <w:rsid w:val="002E2C87"/>
    <w:rsid w:val="002E4EB7"/>
    <w:rsid w:val="002E7DCF"/>
    <w:rsid w:val="002F0D97"/>
    <w:rsid w:val="002F2DB0"/>
    <w:rsid w:val="002F38D7"/>
    <w:rsid w:val="002F6334"/>
    <w:rsid w:val="002F7ABE"/>
    <w:rsid w:val="0030076A"/>
    <w:rsid w:val="003054ED"/>
    <w:rsid w:val="00312A55"/>
    <w:rsid w:val="003130B0"/>
    <w:rsid w:val="00314727"/>
    <w:rsid w:val="00314992"/>
    <w:rsid w:val="00315097"/>
    <w:rsid w:val="003166C1"/>
    <w:rsid w:val="00317FC3"/>
    <w:rsid w:val="00321551"/>
    <w:rsid w:val="00321AC0"/>
    <w:rsid w:val="00330061"/>
    <w:rsid w:val="003302E9"/>
    <w:rsid w:val="003371F8"/>
    <w:rsid w:val="003413A5"/>
    <w:rsid w:val="00342E66"/>
    <w:rsid w:val="00344174"/>
    <w:rsid w:val="00344244"/>
    <w:rsid w:val="00344FC4"/>
    <w:rsid w:val="00347570"/>
    <w:rsid w:val="003556F0"/>
    <w:rsid w:val="0036096A"/>
    <w:rsid w:val="003632CA"/>
    <w:rsid w:val="00366949"/>
    <w:rsid w:val="00366E7E"/>
    <w:rsid w:val="00366F01"/>
    <w:rsid w:val="00375251"/>
    <w:rsid w:val="003843EC"/>
    <w:rsid w:val="0038481E"/>
    <w:rsid w:val="003926EB"/>
    <w:rsid w:val="00396E05"/>
    <w:rsid w:val="003A0D57"/>
    <w:rsid w:val="003A170B"/>
    <w:rsid w:val="003B1C57"/>
    <w:rsid w:val="003B474B"/>
    <w:rsid w:val="003C39C9"/>
    <w:rsid w:val="003C713D"/>
    <w:rsid w:val="003D2317"/>
    <w:rsid w:val="003D602A"/>
    <w:rsid w:val="003D6990"/>
    <w:rsid w:val="003E0605"/>
    <w:rsid w:val="003E1221"/>
    <w:rsid w:val="003E5310"/>
    <w:rsid w:val="003E5C4A"/>
    <w:rsid w:val="003E64E2"/>
    <w:rsid w:val="00400DC9"/>
    <w:rsid w:val="00401B3E"/>
    <w:rsid w:val="00406345"/>
    <w:rsid w:val="0040697B"/>
    <w:rsid w:val="004107BD"/>
    <w:rsid w:val="00410CF3"/>
    <w:rsid w:val="00410FBE"/>
    <w:rsid w:val="004126F8"/>
    <w:rsid w:val="004139FE"/>
    <w:rsid w:val="0041416B"/>
    <w:rsid w:val="0041424A"/>
    <w:rsid w:val="00414363"/>
    <w:rsid w:val="00420C6B"/>
    <w:rsid w:val="00422381"/>
    <w:rsid w:val="00422E28"/>
    <w:rsid w:val="00427435"/>
    <w:rsid w:val="004277B3"/>
    <w:rsid w:val="00431365"/>
    <w:rsid w:val="00431EAC"/>
    <w:rsid w:val="00431F36"/>
    <w:rsid w:val="00433688"/>
    <w:rsid w:val="004361BF"/>
    <w:rsid w:val="004373DA"/>
    <w:rsid w:val="00441795"/>
    <w:rsid w:val="004428A5"/>
    <w:rsid w:val="00443385"/>
    <w:rsid w:val="004442A7"/>
    <w:rsid w:val="00444E43"/>
    <w:rsid w:val="004453C4"/>
    <w:rsid w:val="00446700"/>
    <w:rsid w:val="00447769"/>
    <w:rsid w:val="00451C5A"/>
    <w:rsid w:val="00455D9C"/>
    <w:rsid w:val="0045651B"/>
    <w:rsid w:val="00456932"/>
    <w:rsid w:val="00456E8C"/>
    <w:rsid w:val="004577A9"/>
    <w:rsid w:val="004651CF"/>
    <w:rsid w:val="00466931"/>
    <w:rsid w:val="0046760B"/>
    <w:rsid w:val="00467D2E"/>
    <w:rsid w:val="004710D7"/>
    <w:rsid w:val="00474B40"/>
    <w:rsid w:val="00476E5F"/>
    <w:rsid w:val="004875F4"/>
    <w:rsid w:val="004904C0"/>
    <w:rsid w:val="00491527"/>
    <w:rsid w:val="00497B0C"/>
    <w:rsid w:val="004A1012"/>
    <w:rsid w:val="004A4F3F"/>
    <w:rsid w:val="004A5EA8"/>
    <w:rsid w:val="004B1909"/>
    <w:rsid w:val="004B3246"/>
    <w:rsid w:val="004B3A91"/>
    <w:rsid w:val="004E68BD"/>
    <w:rsid w:val="004E7315"/>
    <w:rsid w:val="004F0C59"/>
    <w:rsid w:val="004F2409"/>
    <w:rsid w:val="004F4F21"/>
    <w:rsid w:val="004F6E4D"/>
    <w:rsid w:val="0050492E"/>
    <w:rsid w:val="00505216"/>
    <w:rsid w:val="00505FFB"/>
    <w:rsid w:val="00512A76"/>
    <w:rsid w:val="005131C8"/>
    <w:rsid w:val="00513AD0"/>
    <w:rsid w:val="00514D58"/>
    <w:rsid w:val="00515DB8"/>
    <w:rsid w:val="00516D88"/>
    <w:rsid w:val="00516FD5"/>
    <w:rsid w:val="005172A4"/>
    <w:rsid w:val="00527562"/>
    <w:rsid w:val="00527EE3"/>
    <w:rsid w:val="005321AA"/>
    <w:rsid w:val="00534CBF"/>
    <w:rsid w:val="005427D4"/>
    <w:rsid w:val="005442E2"/>
    <w:rsid w:val="00547451"/>
    <w:rsid w:val="00552499"/>
    <w:rsid w:val="0056098C"/>
    <w:rsid w:val="0056523D"/>
    <w:rsid w:val="005710D9"/>
    <w:rsid w:val="00572D40"/>
    <w:rsid w:val="00575749"/>
    <w:rsid w:val="00575F42"/>
    <w:rsid w:val="00581C04"/>
    <w:rsid w:val="005844B0"/>
    <w:rsid w:val="005879DA"/>
    <w:rsid w:val="00591192"/>
    <w:rsid w:val="005929A9"/>
    <w:rsid w:val="00595A34"/>
    <w:rsid w:val="0059726A"/>
    <w:rsid w:val="005A0122"/>
    <w:rsid w:val="005A1481"/>
    <w:rsid w:val="005A3DF8"/>
    <w:rsid w:val="005A5A87"/>
    <w:rsid w:val="005B28EA"/>
    <w:rsid w:val="005B2ACB"/>
    <w:rsid w:val="005B7FB2"/>
    <w:rsid w:val="005B7FEA"/>
    <w:rsid w:val="005C63F0"/>
    <w:rsid w:val="005D2F1D"/>
    <w:rsid w:val="005D5CFC"/>
    <w:rsid w:val="005D6600"/>
    <w:rsid w:val="005D75D6"/>
    <w:rsid w:val="005E0B09"/>
    <w:rsid w:val="005E1F34"/>
    <w:rsid w:val="005E3FE6"/>
    <w:rsid w:val="005F0693"/>
    <w:rsid w:val="005F45BA"/>
    <w:rsid w:val="006045D1"/>
    <w:rsid w:val="006052A3"/>
    <w:rsid w:val="00607455"/>
    <w:rsid w:val="00610284"/>
    <w:rsid w:val="00620FD2"/>
    <w:rsid w:val="0062125C"/>
    <w:rsid w:val="00622FF0"/>
    <w:rsid w:val="00623266"/>
    <w:rsid w:val="00625399"/>
    <w:rsid w:val="00626FB8"/>
    <w:rsid w:val="00632EDC"/>
    <w:rsid w:val="00636DF8"/>
    <w:rsid w:val="00637C96"/>
    <w:rsid w:val="00644A68"/>
    <w:rsid w:val="00650A86"/>
    <w:rsid w:val="0065177A"/>
    <w:rsid w:val="0065209C"/>
    <w:rsid w:val="00654B62"/>
    <w:rsid w:val="00654DBC"/>
    <w:rsid w:val="00655A33"/>
    <w:rsid w:val="00655DA7"/>
    <w:rsid w:val="00664B79"/>
    <w:rsid w:val="00665117"/>
    <w:rsid w:val="00667BC6"/>
    <w:rsid w:val="006740CE"/>
    <w:rsid w:val="00675523"/>
    <w:rsid w:val="0068015D"/>
    <w:rsid w:val="00680676"/>
    <w:rsid w:val="006812CF"/>
    <w:rsid w:val="00682D9A"/>
    <w:rsid w:val="006857A7"/>
    <w:rsid w:val="00685E7B"/>
    <w:rsid w:val="00686C12"/>
    <w:rsid w:val="00694102"/>
    <w:rsid w:val="006A1ABD"/>
    <w:rsid w:val="006A59DA"/>
    <w:rsid w:val="006B2297"/>
    <w:rsid w:val="006B2959"/>
    <w:rsid w:val="006B2EBF"/>
    <w:rsid w:val="006B30D3"/>
    <w:rsid w:val="006B3E9C"/>
    <w:rsid w:val="006B5252"/>
    <w:rsid w:val="006C0CA5"/>
    <w:rsid w:val="006C4D51"/>
    <w:rsid w:val="006C6F17"/>
    <w:rsid w:val="006C6F49"/>
    <w:rsid w:val="006D06FE"/>
    <w:rsid w:val="006E3558"/>
    <w:rsid w:val="006E6D33"/>
    <w:rsid w:val="006E7572"/>
    <w:rsid w:val="006F0DA1"/>
    <w:rsid w:val="006F1F4F"/>
    <w:rsid w:val="006F58D0"/>
    <w:rsid w:val="006F5E8D"/>
    <w:rsid w:val="0070128C"/>
    <w:rsid w:val="00703854"/>
    <w:rsid w:val="00704974"/>
    <w:rsid w:val="0070522E"/>
    <w:rsid w:val="007064C4"/>
    <w:rsid w:val="00710B79"/>
    <w:rsid w:val="00710D6A"/>
    <w:rsid w:val="0071382C"/>
    <w:rsid w:val="00715369"/>
    <w:rsid w:val="00722495"/>
    <w:rsid w:val="00727728"/>
    <w:rsid w:val="00730091"/>
    <w:rsid w:val="0073126B"/>
    <w:rsid w:val="00731D05"/>
    <w:rsid w:val="007361DE"/>
    <w:rsid w:val="00740573"/>
    <w:rsid w:val="00740C3D"/>
    <w:rsid w:val="007438BE"/>
    <w:rsid w:val="007440E3"/>
    <w:rsid w:val="0074550E"/>
    <w:rsid w:val="007467E1"/>
    <w:rsid w:val="00746BDF"/>
    <w:rsid w:val="00746F7E"/>
    <w:rsid w:val="0074792B"/>
    <w:rsid w:val="00751B82"/>
    <w:rsid w:val="00752360"/>
    <w:rsid w:val="007619BE"/>
    <w:rsid w:val="00761AE5"/>
    <w:rsid w:val="00770147"/>
    <w:rsid w:val="007744F2"/>
    <w:rsid w:val="00774C43"/>
    <w:rsid w:val="007804A0"/>
    <w:rsid w:val="0078107E"/>
    <w:rsid w:val="0078306E"/>
    <w:rsid w:val="00783FC3"/>
    <w:rsid w:val="007845AA"/>
    <w:rsid w:val="00786391"/>
    <w:rsid w:val="007878D1"/>
    <w:rsid w:val="00790468"/>
    <w:rsid w:val="0079046E"/>
    <w:rsid w:val="00791877"/>
    <w:rsid w:val="007938E0"/>
    <w:rsid w:val="007A3F99"/>
    <w:rsid w:val="007A5F6A"/>
    <w:rsid w:val="007C3EBF"/>
    <w:rsid w:val="007C57C5"/>
    <w:rsid w:val="007C6C49"/>
    <w:rsid w:val="007D5BD7"/>
    <w:rsid w:val="007D7964"/>
    <w:rsid w:val="007E42DD"/>
    <w:rsid w:val="007E5228"/>
    <w:rsid w:val="007E646F"/>
    <w:rsid w:val="007E67EE"/>
    <w:rsid w:val="007F15EC"/>
    <w:rsid w:val="007F6804"/>
    <w:rsid w:val="0080081E"/>
    <w:rsid w:val="00803C34"/>
    <w:rsid w:val="00810879"/>
    <w:rsid w:val="0081254C"/>
    <w:rsid w:val="00812AD9"/>
    <w:rsid w:val="00812E59"/>
    <w:rsid w:val="00813CC2"/>
    <w:rsid w:val="0081412A"/>
    <w:rsid w:val="0082222C"/>
    <w:rsid w:val="00822D04"/>
    <w:rsid w:val="00824134"/>
    <w:rsid w:val="00826B90"/>
    <w:rsid w:val="00826D64"/>
    <w:rsid w:val="008346CD"/>
    <w:rsid w:val="00835EC9"/>
    <w:rsid w:val="00840247"/>
    <w:rsid w:val="00842F17"/>
    <w:rsid w:val="0085413B"/>
    <w:rsid w:val="00855F40"/>
    <w:rsid w:val="008564BE"/>
    <w:rsid w:val="00866209"/>
    <w:rsid w:val="00867072"/>
    <w:rsid w:val="008704FB"/>
    <w:rsid w:val="00874FF2"/>
    <w:rsid w:val="00882776"/>
    <w:rsid w:val="00885442"/>
    <w:rsid w:val="0088762B"/>
    <w:rsid w:val="00890F7B"/>
    <w:rsid w:val="00891933"/>
    <w:rsid w:val="008A02A2"/>
    <w:rsid w:val="008B10FD"/>
    <w:rsid w:val="008B20E3"/>
    <w:rsid w:val="008B2FB9"/>
    <w:rsid w:val="008B3A59"/>
    <w:rsid w:val="008B4812"/>
    <w:rsid w:val="008B4FF6"/>
    <w:rsid w:val="008B50D6"/>
    <w:rsid w:val="008C1343"/>
    <w:rsid w:val="008C2EA0"/>
    <w:rsid w:val="008D0235"/>
    <w:rsid w:val="008D4730"/>
    <w:rsid w:val="008D4C89"/>
    <w:rsid w:val="008E1B74"/>
    <w:rsid w:val="008E3904"/>
    <w:rsid w:val="008F2BAC"/>
    <w:rsid w:val="008F5085"/>
    <w:rsid w:val="008F7882"/>
    <w:rsid w:val="0090598C"/>
    <w:rsid w:val="00906DA7"/>
    <w:rsid w:val="00906FBA"/>
    <w:rsid w:val="00913F32"/>
    <w:rsid w:val="009160B5"/>
    <w:rsid w:val="009200AB"/>
    <w:rsid w:val="0092144B"/>
    <w:rsid w:val="0092238F"/>
    <w:rsid w:val="00924C23"/>
    <w:rsid w:val="00925E9D"/>
    <w:rsid w:val="009278AF"/>
    <w:rsid w:val="00932278"/>
    <w:rsid w:val="00933965"/>
    <w:rsid w:val="00934DF6"/>
    <w:rsid w:val="00937BE8"/>
    <w:rsid w:val="00940B9D"/>
    <w:rsid w:val="00941D3B"/>
    <w:rsid w:val="00944BB9"/>
    <w:rsid w:val="00950ACD"/>
    <w:rsid w:val="0095277E"/>
    <w:rsid w:val="009553C8"/>
    <w:rsid w:val="00956571"/>
    <w:rsid w:val="0095692F"/>
    <w:rsid w:val="0096353F"/>
    <w:rsid w:val="009653D6"/>
    <w:rsid w:val="00972AF3"/>
    <w:rsid w:val="00973030"/>
    <w:rsid w:val="00975037"/>
    <w:rsid w:val="009805B2"/>
    <w:rsid w:val="00980B24"/>
    <w:rsid w:val="009826D6"/>
    <w:rsid w:val="0098630F"/>
    <w:rsid w:val="00991EFA"/>
    <w:rsid w:val="00992A5C"/>
    <w:rsid w:val="009A35BD"/>
    <w:rsid w:val="009A4990"/>
    <w:rsid w:val="009A7E00"/>
    <w:rsid w:val="009C2714"/>
    <w:rsid w:val="009C292D"/>
    <w:rsid w:val="009C30FA"/>
    <w:rsid w:val="009C44DC"/>
    <w:rsid w:val="009D0422"/>
    <w:rsid w:val="009D4F22"/>
    <w:rsid w:val="009D50B1"/>
    <w:rsid w:val="009D7544"/>
    <w:rsid w:val="009E6314"/>
    <w:rsid w:val="009F1CAD"/>
    <w:rsid w:val="009F43C2"/>
    <w:rsid w:val="009F46DD"/>
    <w:rsid w:val="009F6463"/>
    <w:rsid w:val="009F7B7E"/>
    <w:rsid w:val="00A020F3"/>
    <w:rsid w:val="00A05FC9"/>
    <w:rsid w:val="00A10863"/>
    <w:rsid w:val="00A10B32"/>
    <w:rsid w:val="00A16819"/>
    <w:rsid w:val="00A207E5"/>
    <w:rsid w:val="00A21D3D"/>
    <w:rsid w:val="00A232EA"/>
    <w:rsid w:val="00A24366"/>
    <w:rsid w:val="00A2745C"/>
    <w:rsid w:val="00A305F8"/>
    <w:rsid w:val="00A30780"/>
    <w:rsid w:val="00A3099E"/>
    <w:rsid w:val="00A37497"/>
    <w:rsid w:val="00A4223B"/>
    <w:rsid w:val="00A42E53"/>
    <w:rsid w:val="00A45AE3"/>
    <w:rsid w:val="00A513E4"/>
    <w:rsid w:val="00A52BA9"/>
    <w:rsid w:val="00A53F6F"/>
    <w:rsid w:val="00A558B0"/>
    <w:rsid w:val="00A60442"/>
    <w:rsid w:val="00A618EA"/>
    <w:rsid w:val="00A63288"/>
    <w:rsid w:val="00A63B2A"/>
    <w:rsid w:val="00A663FE"/>
    <w:rsid w:val="00A66933"/>
    <w:rsid w:val="00A67602"/>
    <w:rsid w:val="00A73DEB"/>
    <w:rsid w:val="00A76C52"/>
    <w:rsid w:val="00A77D9F"/>
    <w:rsid w:val="00A855F0"/>
    <w:rsid w:val="00A909C9"/>
    <w:rsid w:val="00A92BF9"/>
    <w:rsid w:val="00A95562"/>
    <w:rsid w:val="00A956F4"/>
    <w:rsid w:val="00A9570B"/>
    <w:rsid w:val="00A95C05"/>
    <w:rsid w:val="00A96C0E"/>
    <w:rsid w:val="00AA2446"/>
    <w:rsid w:val="00AA3A97"/>
    <w:rsid w:val="00AB2867"/>
    <w:rsid w:val="00AB4B06"/>
    <w:rsid w:val="00AB6B78"/>
    <w:rsid w:val="00AB745C"/>
    <w:rsid w:val="00AC18C4"/>
    <w:rsid w:val="00AC3E1E"/>
    <w:rsid w:val="00AD1051"/>
    <w:rsid w:val="00AD4B8A"/>
    <w:rsid w:val="00AD79E4"/>
    <w:rsid w:val="00AE0ACE"/>
    <w:rsid w:val="00AE0C89"/>
    <w:rsid w:val="00AE1C70"/>
    <w:rsid w:val="00AE42FB"/>
    <w:rsid w:val="00AE63CE"/>
    <w:rsid w:val="00AF0B61"/>
    <w:rsid w:val="00AF0C42"/>
    <w:rsid w:val="00AF263C"/>
    <w:rsid w:val="00AF323B"/>
    <w:rsid w:val="00AF3D78"/>
    <w:rsid w:val="00AF3F1F"/>
    <w:rsid w:val="00AF5520"/>
    <w:rsid w:val="00B005C3"/>
    <w:rsid w:val="00B0441D"/>
    <w:rsid w:val="00B05D77"/>
    <w:rsid w:val="00B0761C"/>
    <w:rsid w:val="00B136BB"/>
    <w:rsid w:val="00B13DB1"/>
    <w:rsid w:val="00B20082"/>
    <w:rsid w:val="00B204CD"/>
    <w:rsid w:val="00B22A25"/>
    <w:rsid w:val="00B26021"/>
    <w:rsid w:val="00B26473"/>
    <w:rsid w:val="00B32715"/>
    <w:rsid w:val="00B3370F"/>
    <w:rsid w:val="00B33CBB"/>
    <w:rsid w:val="00B35902"/>
    <w:rsid w:val="00B37936"/>
    <w:rsid w:val="00B40C80"/>
    <w:rsid w:val="00B4124C"/>
    <w:rsid w:val="00B45217"/>
    <w:rsid w:val="00B506EE"/>
    <w:rsid w:val="00B52645"/>
    <w:rsid w:val="00B55499"/>
    <w:rsid w:val="00B55E0B"/>
    <w:rsid w:val="00B5686E"/>
    <w:rsid w:val="00B61C6D"/>
    <w:rsid w:val="00B671C9"/>
    <w:rsid w:val="00B67247"/>
    <w:rsid w:val="00B70772"/>
    <w:rsid w:val="00B71602"/>
    <w:rsid w:val="00B720FB"/>
    <w:rsid w:val="00B728F4"/>
    <w:rsid w:val="00B756DB"/>
    <w:rsid w:val="00B76E0C"/>
    <w:rsid w:val="00B803D5"/>
    <w:rsid w:val="00B82AF9"/>
    <w:rsid w:val="00B83AF2"/>
    <w:rsid w:val="00B84B81"/>
    <w:rsid w:val="00B90D9E"/>
    <w:rsid w:val="00B92495"/>
    <w:rsid w:val="00BA00D5"/>
    <w:rsid w:val="00BA33D1"/>
    <w:rsid w:val="00BA4A86"/>
    <w:rsid w:val="00BA7527"/>
    <w:rsid w:val="00BB4CD3"/>
    <w:rsid w:val="00BB555F"/>
    <w:rsid w:val="00BB5566"/>
    <w:rsid w:val="00BB6058"/>
    <w:rsid w:val="00BC1AC9"/>
    <w:rsid w:val="00BC20D8"/>
    <w:rsid w:val="00BC37CB"/>
    <w:rsid w:val="00BC40B8"/>
    <w:rsid w:val="00BC4BC9"/>
    <w:rsid w:val="00BD040B"/>
    <w:rsid w:val="00BD1EBF"/>
    <w:rsid w:val="00BD60A5"/>
    <w:rsid w:val="00BD6533"/>
    <w:rsid w:val="00BE4A78"/>
    <w:rsid w:val="00BE5083"/>
    <w:rsid w:val="00BF1DBB"/>
    <w:rsid w:val="00BF6EC4"/>
    <w:rsid w:val="00C0152F"/>
    <w:rsid w:val="00C019C9"/>
    <w:rsid w:val="00C03D7A"/>
    <w:rsid w:val="00C100A8"/>
    <w:rsid w:val="00C13914"/>
    <w:rsid w:val="00C165F0"/>
    <w:rsid w:val="00C16CAF"/>
    <w:rsid w:val="00C23273"/>
    <w:rsid w:val="00C235D3"/>
    <w:rsid w:val="00C249B2"/>
    <w:rsid w:val="00C326E3"/>
    <w:rsid w:val="00C341AF"/>
    <w:rsid w:val="00C37699"/>
    <w:rsid w:val="00C37732"/>
    <w:rsid w:val="00C4096D"/>
    <w:rsid w:val="00C4155E"/>
    <w:rsid w:val="00C46C8E"/>
    <w:rsid w:val="00C50672"/>
    <w:rsid w:val="00C520D0"/>
    <w:rsid w:val="00C52A1D"/>
    <w:rsid w:val="00C56305"/>
    <w:rsid w:val="00C572E4"/>
    <w:rsid w:val="00C62B71"/>
    <w:rsid w:val="00C62E80"/>
    <w:rsid w:val="00C63459"/>
    <w:rsid w:val="00C63BE8"/>
    <w:rsid w:val="00C74FC2"/>
    <w:rsid w:val="00C803D8"/>
    <w:rsid w:val="00C8121C"/>
    <w:rsid w:val="00C90AEC"/>
    <w:rsid w:val="00C91A69"/>
    <w:rsid w:val="00C94064"/>
    <w:rsid w:val="00CA02ED"/>
    <w:rsid w:val="00CA3B72"/>
    <w:rsid w:val="00CA50C9"/>
    <w:rsid w:val="00CB0347"/>
    <w:rsid w:val="00CB1AB8"/>
    <w:rsid w:val="00CB34A4"/>
    <w:rsid w:val="00CC0067"/>
    <w:rsid w:val="00CC24DA"/>
    <w:rsid w:val="00CC49CD"/>
    <w:rsid w:val="00CC653E"/>
    <w:rsid w:val="00CC6971"/>
    <w:rsid w:val="00CC7D4D"/>
    <w:rsid w:val="00CD4484"/>
    <w:rsid w:val="00CE00C8"/>
    <w:rsid w:val="00CE188B"/>
    <w:rsid w:val="00CE4E4F"/>
    <w:rsid w:val="00CE4F12"/>
    <w:rsid w:val="00CE5A8A"/>
    <w:rsid w:val="00CE6E6A"/>
    <w:rsid w:val="00CF1A1F"/>
    <w:rsid w:val="00CF3739"/>
    <w:rsid w:val="00D0427B"/>
    <w:rsid w:val="00D15097"/>
    <w:rsid w:val="00D15FFE"/>
    <w:rsid w:val="00D218C1"/>
    <w:rsid w:val="00D248E2"/>
    <w:rsid w:val="00D24A6B"/>
    <w:rsid w:val="00D32436"/>
    <w:rsid w:val="00D353D4"/>
    <w:rsid w:val="00D37A20"/>
    <w:rsid w:val="00D44A30"/>
    <w:rsid w:val="00D51BE6"/>
    <w:rsid w:val="00D5482A"/>
    <w:rsid w:val="00D5525B"/>
    <w:rsid w:val="00D60F94"/>
    <w:rsid w:val="00D63405"/>
    <w:rsid w:val="00D6354D"/>
    <w:rsid w:val="00D653E7"/>
    <w:rsid w:val="00D6555C"/>
    <w:rsid w:val="00D65600"/>
    <w:rsid w:val="00D7051B"/>
    <w:rsid w:val="00D71A06"/>
    <w:rsid w:val="00D765B7"/>
    <w:rsid w:val="00D803C4"/>
    <w:rsid w:val="00D8173F"/>
    <w:rsid w:val="00D83422"/>
    <w:rsid w:val="00D87BED"/>
    <w:rsid w:val="00D94822"/>
    <w:rsid w:val="00DA13C9"/>
    <w:rsid w:val="00DA333A"/>
    <w:rsid w:val="00DA404D"/>
    <w:rsid w:val="00DA4210"/>
    <w:rsid w:val="00DA4651"/>
    <w:rsid w:val="00DA5353"/>
    <w:rsid w:val="00DA7464"/>
    <w:rsid w:val="00DA750B"/>
    <w:rsid w:val="00DB2027"/>
    <w:rsid w:val="00DB61DE"/>
    <w:rsid w:val="00DC6D42"/>
    <w:rsid w:val="00DC7F01"/>
    <w:rsid w:val="00DD2440"/>
    <w:rsid w:val="00DD3651"/>
    <w:rsid w:val="00DD383F"/>
    <w:rsid w:val="00DD6FED"/>
    <w:rsid w:val="00DD7488"/>
    <w:rsid w:val="00DE0FAE"/>
    <w:rsid w:val="00DE1EE1"/>
    <w:rsid w:val="00DE6B29"/>
    <w:rsid w:val="00DF03CE"/>
    <w:rsid w:val="00DF0658"/>
    <w:rsid w:val="00DF08A2"/>
    <w:rsid w:val="00DF0CCA"/>
    <w:rsid w:val="00E0151A"/>
    <w:rsid w:val="00E112E5"/>
    <w:rsid w:val="00E1346F"/>
    <w:rsid w:val="00E23B6D"/>
    <w:rsid w:val="00E24167"/>
    <w:rsid w:val="00E3487E"/>
    <w:rsid w:val="00E373E2"/>
    <w:rsid w:val="00E418A0"/>
    <w:rsid w:val="00E4605A"/>
    <w:rsid w:val="00E465BC"/>
    <w:rsid w:val="00E510F5"/>
    <w:rsid w:val="00E5144C"/>
    <w:rsid w:val="00E637A3"/>
    <w:rsid w:val="00E64350"/>
    <w:rsid w:val="00E70342"/>
    <w:rsid w:val="00E81E41"/>
    <w:rsid w:val="00E8407F"/>
    <w:rsid w:val="00E8446F"/>
    <w:rsid w:val="00E8508C"/>
    <w:rsid w:val="00E863FA"/>
    <w:rsid w:val="00E87CDA"/>
    <w:rsid w:val="00E93E40"/>
    <w:rsid w:val="00E959EB"/>
    <w:rsid w:val="00E97B01"/>
    <w:rsid w:val="00EA0F63"/>
    <w:rsid w:val="00EA3189"/>
    <w:rsid w:val="00EA7604"/>
    <w:rsid w:val="00EA798B"/>
    <w:rsid w:val="00EB023D"/>
    <w:rsid w:val="00EB7617"/>
    <w:rsid w:val="00EC26FE"/>
    <w:rsid w:val="00EC49CC"/>
    <w:rsid w:val="00EC7127"/>
    <w:rsid w:val="00ED05FA"/>
    <w:rsid w:val="00ED2E13"/>
    <w:rsid w:val="00ED342D"/>
    <w:rsid w:val="00EE08E7"/>
    <w:rsid w:val="00EE12BF"/>
    <w:rsid w:val="00EE2C8B"/>
    <w:rsid w:val="00EE4351"/>
    <w:rsid w:val="00EE7F3F"/>
    <w:rsid w:val="00EF0E6A"/>
    <w:rsid w:val="00EF2291"/>
    <w:rsid w:val="00EF2DA2"/>
    <w:rsid w:val="00F04C56"/>
    <w:rsid w:val="00F11E88"/>
    <w:rsid w:val="00F14511"/>
    <w:rsid w:val="00F1729E"/>
    <w:rsid w:val="00F20CE1"/>
    <w:rsid w:val="00F24D00"/>
    <w:rsid w:val="00F25D8D"/>
    <w:rsid w:val="00F26017"/>
    <w:rsid w:val="00F32264"/>
    <w:rsid w:val="00F35026"/>
    <w:rsid w:val="00F425ED"/>
    <w:rsid w:val="00F427D2"/>
    <w:rsid w:val="00F42986"/>
    <w:rsid w:val="00F45D6B"/>
    <w:rsid w:val="00F475FC"/>
    <w:rsid w:val="00F50113"/>
    <w:rsid w:val="00F53A8E"/>
    <w:rsid w:val="00F57BAB"/>
    <w:rsid w:val="00F601CA"/>
    <w:rsid w:val="00F65D14"/>
    <w:rsid w:val="00F669DB"/>
    <w:rsid w:val="00F725C9"/>
    <w:rsid w:val="00F72711"/>
    <w:rsid w:val="00F72BD1"/>
    <w:rsid w:val="00F75D6A"/>
    <w:rsid w:val="00F842CB"/>
    <w:rsid w:val="00F9512F"/>
    <w:rsid w:val="00FA5BC6"/>
    <w:rsid w:val="00FA7176"/>
    <w:rsid w:val="00FB00CA"/>
    <w:rsid w:val="00FB253A"/>
    <w:rsid w:val="00FB3BCA"/>
    <w:rsid w:val="00FB61DB"/>
    <w:rsid w:val="00FB678B"/>
    <w:rsid w:val="00FC1726"/>
    <w:rsid w:val="00FC1F7F"/>
    <w:rsid w:val="00FC4E16"/>
    <w:rsid w:val="00FC587E"/>
    <w:rsid w:val="00FC6DED"/>
    <w:rsid w:val="00FD0321"/>
    <w:rsid w:val="00FD0C10"/>
    <w:rsid w:val="00FD29AD"/>
    <w:rsid w:val="00FE3E96"/>
    <w:rsid w:val="00FE437B"/>
    <w:rsid w:val="00FE68C9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760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59"/>
    <w:rsid w:val="00E241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760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59"/>
    <w:rsid w:val="00E241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9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8AFD-F843-481B-A61C-FCD2BD7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11</Pages>
  <Words>3262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Šlemrová Denisa ()</dc:creator>
  <cp:lastModifiedBy>Pachlová Lenka (MHMP, FON)</cp:lastModifiedBy>
  <cp:revision>18</cp:revision>
  <cp:lastPrinted>2016-03-10T07:45:00Z</cp:lastPrinted>
  <dcterms:created xsi:type="dcterms:W3CDTF">2016-09-05T13:52:00Z</dcterms:created>
  <dcterms:modified xsi:type="dcterms:W3CDTF">2016-09-29T11:39:00Z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