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711" w:rsidRPr="004E0975" w:rsidRDefault="00CB29CD" w:rsidP="00450711">
      <w:pPr>
        <w:spacing w:after="0" w:line="240" w:lineRule="auto"/>
        <w:jc w:val="both"/>
        <w:rPr>
          <w:rStyle w:val="Siln"/>
          <w:rFonts w:ascii="Arial" w:eastAsia="Times New Roman" w:hAnsi="Arial" w:cs="Arial"/>
          <w:sz w:val="28"/>
          <w:lang w:eastAsia="cs-CZ"/>
        </w:rPr>
      </w:pPr>
      <w:r>
        <w:rPr>
          <w:rStyle w:val="Siln"/>
          <w:rFonts w:ascii="Arial" w:eastAsia="Times New Roman" w:hAnsi="Arial" w:cs="Arial"/>
          <w:sz w:val="28"/>
          <w:lang w:eastAsia="cs-CZ"/>
        </w:rPr>
        <w:t>Příloha č. 2</w:t>
      </w:r>
      <w:r w:rsidR="00450711" w:rsidRPr="004E0975">
        <w:rPr>
          <w:rStyle w:val="Siln"/>
          <w:rFonts w:ascii="Arial" w:eastAsia="Times New Roman" w:hAnsi="Arial" w:cs="Arial"/>
          <w:sz w:val="28"/>
          <w:lang w:eastAsia="cs-CZ"/>
        </w:rPr>
        <w:t xml:space="preserve"> výzvy k předkládání žádostí o podporu v rámci OP Praha – pól růstu ČR</w:t>
      </w:r>
      <w:r w:rsidR="00586901" w:rsidRPr="004E0975">
        <w:rPr>
          <w:rStyle w:val="Siln"/>
          <w:rFonts w:ascii="Arial" w:eastAsia="Times New Roman" w:hAnsi="Arial" w:cs="Arial"/>
          <w:sz w:val="28"/>
          <w:lang w:eastAsia="cs-CZ"/>
        </w:rPr>
        <w:t xml:space="preserve"> </w:t>
      </w:r>
      <w:r w:rsidR="00052A70" w:rsidRPr="004E0975">
        <w:rPr>
          <w:rStyle w:val="Siln"/>
          <w:rFonts w:ascii="Arial" w:eastAsia="Times New Roman" w:hAnsi="Arial" w:cs="Arial"/>
          <w:sz w:val="28"/>
          <w:lang w:eastAsia="cs-CZ"/>
        </w:rPr>
        <w:t>č.</w:t>
      </w:r>
      <w:r w:rsidR="00586901" w:rsidRPr="004E0975">
        <w:rPr>
          <w:rStyle w:val="Siln"/>
          <w:rFonts w:ascii="Arial" w:eastAsia="Times New Roman" w:hAnsi="Arial" w:cs="Arial"/>
          <w:sz w:val="28"/>
          <w:lang w:eastAsia="cs-CZ"/>
        </w:rPr>
        <w:t xml:space="preserve"> 1</w:t>
      </w:r>
      <w:r w:rsidR="001020AE" w:rsidRPr="004E0975">
        <w:rPr>
          <w:rStyle w:val="Siln"/>
          <w:rFonts w:ascii="Arial" w:eastAsia="Times New Roman" w:hAnsi="Arial" w:cs="Arial"/>
          <w:sz w:val="28"/>
          <w:lang w:eastAsia="cs-CZ"/>
        </w:rPr>
        <w:t>2</w:t>
      </w:r>
      <w:r w:rsidR="00586901" w:rsidRPr="004E0975">
        <w:rPr>
          <w:rStyle w:val="Siln"/>
          <w:rFonts w:ascii="Arial" w:eastAsia="Times New Roman" w:hAnsi="Arial" w:cs="Arial"/>
          <w:sz w:val="28"/>
          <w:lang w:eastAsia="cs-CZ"/>
        </w:rPr>
        <w:t xml:space="preserve"> </w:t>
      </w:r>
      <w:r w:rsidR="001020AE" w:rsidRPr="004E0975">
        <w:rPr>
          <w:rStyle w:val="Siln"/>
          <w:rFonts w:ascii="Arial" w:eastAsia="Times New Roman" w:hAnsi="Arial" w:cs="Arial"/>
          <w:sz w:val="28"/>
          <w:lang w:eastAsia="cs-CZ"/>
        </w:rPr>
        <w:t>Energetické úspory v městských objektech</w:t>
      </w:r>
      <w:r w:rsidR="00586901" w:rsidRPr="004E0975">
        <w:rPr>
          <w:rStyle w:val="Siln"/>
          <w:rFonts w:ascii="Arial" w:eastAsia="Times New Roman" w:hAnsi="Arial" w:cs="Arial"/>
          <w:sz w:val="28"/>
          <w:lang w:eastAsia="cs-CZ"/>
        </w:rPr>
        <w:t xml:space="preserve"> </w:t>
      </w:r>
      <w:r w:rsidR="00450711" w:rsidRPr="004E0975">
        <w:rPr>
          <w:rStyle w:val="Siln"/>
          <w:rFonts w:ascii="Arial" w:eastAsia="Times New Roman" w:hAnsi="Arial" w:cs="Arial"/>
          <w:sz w:val="28"/>
          <w:lang w:eastAsia="cs-CZ"/>
        </w:rPr>
        <w:t xml:space="preserve">vyhlášené dne </w:t>
      </w:r>
      <w:r w:rsidR="004C2E1C" w:rsidRPr="004E0975">
        <w:rPr>
          <w:rStyle w:val="Siln"/>
          <w:rFonts w:ascii="Arial" w:eastAsia="Times New Roman" w:hAnsi="Arial" w:cs="Arial"/>
          <w:sz w:val="28"/>
          <w:lang w:eastAsia="cs-CZ"/>
        </w:rPr>
        <w:t>1</w:t>
      </w:r>
      <w:r w:rsidR="001020AE" w:rsidRPr="004E0975">
        <w:rPr>
          <w:rStyle w:val="Siln"/>
          <w:rFonts w:ascii="Arial" w:eastAsia="Times New Roman" w:hAnsi="Arial" w:cs="Arial"/>
          <w:sz w:val="28"/>
          <w:lang w:eastAsia="cs-CZ"/>
        </w:rPr>
        <w:t>1</w:t>
      </w:r>
      <w:r w:rsidR="00450711" w:rsidRPr="004E0975">
        <w:rPr>
          <w:rStyle w:val="Siln"/>
          <w:rFonts w:ascii="Arial" w:eastAsia="Times New Roman" w:hAnsi="Arial" w:cs="Arial"/>
          <w:sz w:val="28"/>
          <w:lang w:eastAsia="cs-CZ"/>
        </w:rPr>
        <w:t xml:space="preserve">. </w:t>
      </w:r>
      <w:r w:rsidR="001020AE" w:rsidRPr="004E0975">
        <w:rPr>
          <w:rStyle w:val="Siln"/>
          <w:rFonts w:ascii="Arial" w:eastAsia="Times New Roman" w:hAnsi="Arial" w:cs="Arial"/>
          <w:sz w:val="28"/>
          <w:lang w:eastAsia="cs-CZ"/>
        </w:rPr>
        <w:t>ledna</w:t>
      </w:r>
      <w:r w:rsidR="00450711" w:rsidRPr="004E0975">
        <w:rPr>
          <w:rStyle w:val="Siln"/>
          <w:rFonts w:ascii="Arial" w:eastAsia="Times New Roman" w:hAnsi="Arial" w:cs="Arial"/>
          <w:sz w:val="28"/>
          <w:lang w:eastAsia="cs-CZ"/>
        </w:rPr>
        <w:t xml:space="preserve"> 201</w:t>
      </w:r>
      <w:r w:rsidR="001020AE" w:rsidRPr="004E0975">
        <w:rPr>
          <w:rStyle w:val="Siln"/>
          <w:rFonts w:ascii="Arial" w:eastAsia="Times New Roman" w:hAnsi="Arial" w:cs="Arial"/>
          <w:sz w:val="28"/>
          <w:lang w:eastAsia="cs-CZ"/>
        </w:rPr>
        <w:t>6</w:t>
      </w:r>
    </w:p>
    <w:p w:rsidR="0004043D" w:rsidRPr="004E0975" w:rsidRDefault="0004043D" w:rsidP="00450711">
      <w:pPr>
        <w:spacing w:after="0" w:line="240" w:lineRule="auto"/>
        <w:jc w:val="both"/>
        <w:rPr>
          <w:rStyle w:val="Siln"/>
          <w:rFonts w:ascii="Arial" w:eastAsia="Times New Roman" w:hAnsi="Arial" w:cs="Arial"/>
          <w:lang w:eastAsia="cs-CZ"/>
        </w:rPr>
      </w:pPr>
    </w:p>
    <w:p w:rsidR="00F54EDE" w:rsidRPr="004E0975" w:rsidRDefault="001020AE" w:rsidP="00450711">
      <w:pPr>
        <w:spacing w:after="0" w:line="240" w:lineRule="auto"/>
        <w:jc w:val="both"/>
        <w:rPr>
          <w:rStyle w:val="Siln"/>
          <w:rFonts w:ascii="Arial" w:eastAsia="Times New Roman" w:hAnsi="Arial" w:cs="Arial"/>
          <w:sz w:val="24"/>
          <w:lang w:eastAsia="cs-CZ"/>
        </w:rPr>
      </w:pPr>
      <w:r w:rsidRPr="004E0975">
        <w:rPr>
          <w:rStyle w:val="Siln"/>
          <w:rFonts w:ascii="Arial" w:eastAsia="Times New Roman" w:hAnsi="Arial" w:cs="Arial"/>
          <w:sz w:val="24"/>
          <w:lang w:eastAsia="cs-CZ"/>
        </w:rPr>
        <w:t>Informace o podmínkách veřejné podpory:</w:t>
      </w:r>
    </w:p>
    <w:p w:rsidR="001020AE" w:rsidRPr="004E0975" w:rsidRDefault="001020AE" w:rsidP="00450711">
      <w:pPr>
        <w:spacing w:after="0" w:line="240" w:lineRule="auto"/>
        <w:jc w:val="both"/>
        <w:rPr>
          <w:rStyle w:val="Siln"/>
          <w:rFonts w:ascii="Arial" w:eastAsia="Times New Roman" w:hAnsi="Arial" w:cs="Arial"/>
          <w:lang w:eastAsia="cs-CZ"/>
        </w:rPr>
      </w:pPr>
    </w:p>
    <w:p w:rsidR="001020AE" w:rsidRPr="004E0975" w:rsidRDefault="001020AE" w:rsidP="004E0975">
      <w:pPr>
        <w:pStyle w:val="Styl2"/>
        <w:numPr>
          <w:ilvl w:val="0"/>
          <w:numId w:val="7"/>
        </w:numPr>
        <w:rPr>
          <w:rFonts w:ascii="Arial" w:hAnsi="Arial"/>
        </w:rPr>
      </w:pPr>
      <w:r w:rsidRPr="004E0975">
        <w:rPr>
          <w:rFonts w:ascii="Arial" w:hAnsi="Arial"/>
        </w:rPr>
        <w:t>Obecné podmínky</w:t>
      </w:r>
    </w:p>
    <w:p w:rsidR="001020AE" w:rsidRPr="004E0975" w:rsidRDefault="001020AE" w:rsidP="001020AE">
      <w:pPr>
        <w:pStyle w:val="Styl1"/>
        <w:ind w:firstLine="0"/>
        <w:rPr>
          <w:rFonts w:ascii="Arial" w:hAnsi="Arial"/>
        </w:rPr>
      </w:pPr>
    </w:p>
    <w:p w:rsidR="001020AE" w:rsidRDefault="001020AE" w:rsidP="004E0975">
      <w:pPr>
        <w:pStyle w:val="Styl2"/>
        <w:numPr>
          <w:ilvl w:val="1"/>
          <w:numId w:val="7"/>
        </w:numPr>
        <w:rPr>
          <w:rFonts w:ascii="Arial" w:hAnsi="Arial"/>
        </w:rPr>
      </w:pPr>
      <w:r w:rsidRPr="004E0975">
        <w:rPr>
          <w:rFonts w:ascii="Arial" w:hAnsi="Arial"/>
        </w:rPr>
        <w:t>Postup stanovení režimu podpory pro jednotlivé projekty</w:t>
      </w:r>
    </w:p>
    <w:p w:rsidR="004E0975" w:rsidRPr="004E0975" w:rsidRDefault="004E0975" w:rsidP="004E0975">
      <w:pPr>
        <w:pStyle w:val="Styl2"/>
        <w:numPr>
          <w:ilvl w:val="0"/>
          <w:numId w:val="0"/>
        </w:numPr>
        <w:ind w:left="792"/>
        <w:rPr>
          <w:rFonts w:ascii="Arial" w:hAnsi="Arial"/>
        </w:rPr>
      </w:pPr>
    </w:p>
    <w:p w:rsidR="001020AE" w:rsidRPr="004E0975" w:rsidRDefault="001020AE" w:rsidP="004E0975">
      <w:pPr>
        <w:rPr>
          <w:rFonts w:ascii="Arial" w:hAnsi="Arial" w:cs="Arial"/>
        </w:rPr>
      </w:pPr>
      <w:r w:rsidRPr="004E0975">
        <w:rPr>
          <w:rFonts w:ascii="Arial" w:hAnsi="Arial" w:cs="Arial"/>
        </w:rPr>
        <w:t xml:space="preserve">Vyhlašovatel stanovil pro danou výzvu režimy podpory dle bodu </w:t>
      </w:r>
      <w:r w:rsidR="0010471D">
        <w:rPr>
          <w:rFonts w:ascii="Arial" w:hAnsi="Arial" w:cs="Arial"/>
        </w:rPr>
        <w:t>1.3</w:t>
      </w:r>
      <w:bookmarkStart w:id="0" w:name="_GoBack"/>
      <w:bookmarkEnd w:id="0"/>
      <w:r w:rsidRPr="004E0975">
        <w:rPr>
          <w:rFonts w:ascii="Arial" w:hAnsi="Arial" w:cs="Arial"/>
        </w:rPr>
        <w:t xml:space="preserve"> níže.</w:t>
      </w:r>
    </w:p>
    <w:p w:rsidR="001020AE" w:rsidRPr="004E0975" w:rsidRDefault="001020AE" w:rsidP="001020AE">
      <w:pPr>
        <w:pStyle w:val="Zkladntext"/>
        <w:rPr>
          <w:rFonts w:cs="Arial"/>
          <w:sz w:val="22"/>
          <w:szCs w:val="22"/>
        </w:rPr>
      </w:pPr>
      <w:r w:rsidRPr="004E0975">
        <w:rPr>
          <w:rFonts w:cs="Arial"/>
          <w:sz w:val="22"/>
          <w:szCs w:val="22"/>
        </w:rPr>
        <w:t>Volbu vhodného režimu veřejné podpory provede ve fázi projektové žádosti žadatel tím, že režim podpory označí v souladu s výzvou ve studii proveditelnosti. Tato fáze stanovení režimu veřejné podpory není závazná a slouží tomu, aby žadatel mohl upravit nastavení projektové žádosti zvolenému režimu veřejné podpory.</w:t>
      </w:r>
    </w:p>
    <w:p w:rsidR="001020AE" w:rsidRPr="004E0975" w:rsidRDefault="001020AE" w:rsidP="001020AE">
      <w:pPr>
        <w:pStyle w:val="Zkladntext"/>
        <w:rPr>
          <w:rFonts w:cs="Arial"/>
          <w:sz w:val="22"/>
          <w:szCs w:val="22"/>
        </w:rPr>
      </w:pPr>
    </w:p>
    <w:p w:rsidR="001020AE" w:rsidRPr="004E0975" w:rsidRDefault="001020AE" w:rsidP="001020AE">
      <w:pPr>
        <w:pStyle w:val="Zkladntext"/>
        <w:rPr>
          <w:rFonts w:cs="Arial"/>
          <w:sz w:val="22"/>
          <w:szCs w:val="22"/>
        </w:rPr>
      </w:pPr>
      <w:r w:rsidRPr="004E0975">
        <w:rPr>
          <w:rFonts w:cs="Arial"/>
          <w:sz w:val="22"/>
          <w:szCs w:val="22"/>
        </w:rPr>
        <w:t>Finální stanovení režimu veřejné podpory provede vyhlašovatel ve smlouvě o poskytnutí podpory v návaznosti na posouzení, hodnocení a negociaci s vybraným žadatelem tak, aby poskytnutá podpora byla v souladu s pravidly veřejné podpory ve smyslu čl. 107 odst. 1 Smlouvy o fungování Evropské unie (SFEU).</w:t>
      </w:r>
    </w:p>
    <w:p w:rsidR="001020AE" w:rsidRPr="004E0975" w:rsidRDefault="001020AE" w:rsidP="001020AE">
      <w:pPr>
        <w:pStyle w:val="Zkladntext"/>
        <w:rPr>
          <w:rFonts w:cs="Arial"/>
          <w:sz w:val="22"/>
          <w:szCs w:val="22"/>
        </w:rPr>
      </w:pPr>
    </w:p>
    <w:p w:rsidR="001020AE" w:rsidRDefault="001020AE" w:rsidP="001020AE">
      <w:pPr>
        <w:pStyle w:val="Styl2"/>
        <w:numPr>
          <w:ilvl w:val="1"/>
          <w:numId w:val="7"/>
        </w:numPr>
        <w:rPr>
          <w:rFonts w:ascii="Arial" w:hAnsi="Arial"/>
        </w:rPr>
      </w:pPr>
      <w:r w:rsidRPr="004E0975">
        <w:rPr>
          <w:rFonts w:ascii="Arial" w:hAnsi="Arial"/>
        </w:rPr>
        <w:t>Obecné podmínky poskytnutí podpory</w:t>
      </w:r>
    </w:p>
    <w:p w:rsidR="004E0975" w:rsidRPr="004E0975" w:rsidRDefault="004E0975" w:rsidP="004E0975">
      <w:pPr>
        <w:pStyle w:val="Styl2"/>
        <w:numPr>
          <w:ilvl w:val="0"/>
          <w:numId w:val="0"/>
        </w:numPr>
        <w:ind w:left="792"/>
        <w:rPr>
          <w:rFonts w:ascii="Arial" w:hAnsi="Arial"/>
        </w:rPr>
      </w:pPr>
    </w:p>
    <w:p w:rsidR="001020AE" w:rsidRPr="004E0975" w:rsidRDefault="001020AE" w:rsidP="004E0975">
      <w:pPr>
        <w:jc w:val="both"/>
        <w:rPr>
          <w:rFonts w:ascii="Arial" w:hAnsi="Arial" w:cs="Arial"/>
        </w:rPr>
      </w:pPr>
      <w:r w:rsidRPr="004E0975">
        <w:rPr>
          <w:rFonts w:ascii="Arial" w:hAnsi="Arial" w:cs="Arial"/>
        </w:rPr>
        <w:t>V rámci této výzvy nelze poskytnout podporu ve prospěch podniku, vůči němuž byl v návaznosti na rozhodnutí Evropské Komise (dále také jen “Komise“), jímž je podpora prohlášena za protiprávní a neslučitelnou s vnitřním trhem, vystaven inkasní příkaz.</w:t>
      </w:r>
    </w:p>
    <w:p w:rsidR="001020AE" w:rsidRPr="004E0975" w:rsidRDefault="001020AE" w:rsidP="001020AE">
      <w:pPr>
        <w:pStyle w:val="Zkladntext"/>
        <w:rPr>
          <w:rFonts w:cs="Arial"/>
          <w:sz w:val="22"/>
          <w:szCs w:val="22"/>
        </w:rPr>
      </w:pPr>
      <w:r w:rsidRPr="004E0975">
        <w:rPr>
          <w:rFonts w:cs="Arial"/>
          <w:sz w:val="22"/>
          <w:szCs w:val="22"/>
        </w:rPr>
        <w:t>V rámci této výzvy nelze poskytnout podporu podniku v obtížích ve smyslu předpisů EU o veřejné podpoře.</w:t>
      </w:r>
    </w:p>
    <w:p w:rsidR="001020AE" w:rsidRPr="004E0975" w:rsidRDefault="001020AE" w:rsidP="004E0975">
      <w:pPr>
        <w:pStyle w:val="Zkladntext"/>
        <w:spacing w:line="276" w:lineRule="auto"/>
        <w:rPr>
          <w:rFonts w:cs="Arial"/>
          <w:sz w:val="22"/>
          <w:szCs w:val="22"/>
        </w:rPr>
      </w:pPr>
      <w:r w:rsidRPr="004E0975">
        <w:rPr>
          <w:rFonts w:cs="Arial"/>
          <w:sz w:val="22"/>
          <w:szCs w:val="22"/>
        </w:rPr>
        <w:t xml:space="preserve">U projektů, u nichž bude poskytnutí podpory z Operačního programu Praha – pól růstu ČR (dále jen „OP PPR“) zakládat veřejnou podporu nebo podporu </w:t>
      </w:r>
      <w:r w:rsidRPr="004E0975">
        <w:rPr>
          <w:rFonts w:cs="Arial"/>
          <w:i/>
          <w:sz w:val="22"/>
          <w:szCs w:val="22"/>
        </w:rPr>
        <w:t>de minimis</w:t>
      </w:r>
      <w:r w:rsidRPr="004E0975">
        <w:rPr>
          <w:rFonts w:cs="Arial"/>
          <w:sz w:val="22"/>
          <w:szCs w:val="22"/>
        </w:rPr>
        <w:t xml:space="preserve">, budou – pokud to bude relevantní – aplikovány předpisy EU stanovující horní hranici financování takového projektu z veřejných zdrojů (tzv. intenzitu veřejné podpory) jakož i další omezení ohledně způsobilých nákladů, a pod. Výše této hranice se odvíjí od typu podpořené aktivity, subjektu příjemce a v některých případech také od specifik cílové skupiny projektu. Pro podporu </w:t>
      </w:r>
      <w:r w:rsidRPr="004E0975">
        <w:rPr>
          <w:rFonts w:cs="Arial"/>
          <w:i/>
          <w:sz w:val="22"/>
          <w:szCs w:val="22"/>
        </w:rPr>
        <w:t>de minimis</w:t>
      </w:r>
      <w:r w:rsidRPr="004E0975">
        <w:rPr>
          <w:rFonts w:cs="Arial"/>
          <w:sz w:val="22"/>
          <w:szCs w:val="22"/>
        </w:rPr>
        <w:t xml:space="preserve"> je limitem objem podpory pro jeden podnik a vymezené období. Více informací lze nalézt v Obecné části pravidel pro žadatele a příjemce v rámci OP PPR (konkrétní odkaz na elektronickou verzi tohoto dokumentu viz část 11.1 této výzvy). V důsledku toho je možné, že projekt nebude z veřejných zdrojů podpořen v maximálním rozsahu s ohledem na omezení v části 3.8 této výzvy.</w:t>
      </w:r>
    </w:p>
    <w:p w:rsidR="001020AE" w:rsidRPr="004E0975" w:rsidRDefault="001020AE" w:rsidP="001020AE">
      <w:pPr>
        <w:pStyle w:val="Zkladntext"/>
        <w:rPr>
          <w:rFonts w:cs="Arial"/>
          <w:sz w:val="22"/>
          <w:szCs w:val="22"/>
        </w:rPr>
      </w:pPr>
    </w:p>
    <w:p w:rsidR="001020AE" w:rsidRPr="004E0975" w:rsidRDefault="001020AE" w:rsidP="004E0975">
      <w:pPr>
        <w:pStyle w:val="Styl2"/>
        <w:numPr>
          <w:ilvl w:val="1"/>
          <w:numId w:val="7"/>
        </w:numPr>
        <w:rPr>
          <w:rFonts w:ascii="Arial" w:hAnsi="Arial"/>
        </w:rPr>
      </w:pPr>
      <w:r w:rsidRPr="004E0975">
        <w:rPr>
          <w:rFonts w:ascii="Arial" w:hAnsi="Arial"/>
        </w:rPr>
        <w:t>Režimy podpory</w:t>
      </w:r>
    </w:p>
    <w:p w:rsidR="001020AE" w:rsidRPr="004E0975" w:rsidRDefault="001020AE" w:rsidP="001020AE">
      <w:pPr>
        <w:rPr>
          <w:rFonts w:ascii="Arial" w:hAnsi="Arial" w:cs="Arial"/>
        </w:rPr>
      </w:pPr>
    </w:p>
    <w:p w:rsidR="001020AE" w:rsidRPr="004E0975" w:rsidRDefault="001020AE" w:rsidP="001020AE">
      <w:pPr>
        <w:pStyle w:val="Zkladntext"/>
        <w:rPr>
          <w:rFonts w:cs="Arial"/>
          <w:sz w:val="22"/>
          <w:szCs w:val="22"/>
        </w:rPr>
      </w:pPr>
      <w:r w:rsidRPr="004E0975">
        <w:rPr>
          <w:rFonts w:cs="Arial"/>
          <w:sz w:val="22"/>
          <w:szCs w:val="22"/>
        </w:rPr>
        <w:t>V rámci této výzvy jsou připuštěny následující režimy podpory:</w:t>
      </w:r>
    </w:p>
    <w:p w:rsidR="001020AE" w:rsidRPr="004E0975" w:rsidRDefault="001020AE" w:rsidP="001020AE">
      <w:pPr>
        <w:pStyle w:val="Zkladntext"/>
        <w:rPr>
          <w:rFonts w:cs="Arial"/>
          <w:sz w:val="22"/>
          <w:szCs w:val="22"/>
        </w:rPr>
      </w:pPr>
    </w:p>
    <w:p w:rsidR="001020AE" w:rsidRPr="004E0975" w:rsidRDefault="001020AE" w:rsidP="001020AE">
      <w:pPr>
        <w:pStyle w:val="Zkladntext"/>
        <w:numPr>
          <w:ilvl w:val="0"/>
          <w:numId w:val="8"/>
        </w:numPr>
        <w:rPr>
          <w:rFonts w:cs="Arial"/>
          <w:sz w:val="22"/>
          <w:szCs w:val="22"/>
        </w:rPr>
      </w:pPr>
      <w:r w:rsidRPr="004E0975">
        <w:rPr>
          <w:rFonts w:cs="Arial"/>
          <w:sz w:val="22"/>
          <w:szCs w:val="22"/>
        </w:rPr>
        <w:t>Režim podpory nezakládající veřejnou podporu - z důvodů nenaplnění znaků veřejné podpory de čl. 107 Smlouvy o fungování Evropské unie (dále také jen "SFEU");</w:t>
      </w:r>
    </w:p>
    <w:p w:rsidR="001020AE" w:rsidRPr="004E0975" w:rsidRDefault="001020AE" w:rsidP="001020AE">
      <w:pPr>
        <w:pStyle w:val="Zkladntext"/>
        <w:numPr>
          <w:ilvl w:val="0"/>
          <w:numId w:val="8"/>
        </w:numPr>
        <w:rPr>
          <w:rFonts w:cs="Arial"/>
          <w:sz w:val="22"/>
          <w:szCs w:val="22"/>
        </w:rPr>
      </w:pPr>
      <w:r w:rsidRPr="004E0975">
        <w:rPr>
          <w:rFonts w:cs="Arial"/>
          <w:sz w:val="22"/>
          <w:szCs w:val="22"/>
        </w:rPr>
        <w:t xml:space="preserve">Režim veřejné podpory slučitelné s vnitřním trhem bez nutnosti notifikace (dále také jen „slučitelná podpora“) - služby obecného hospodářského zájmu dle Nařízení </w:t>
      </w:r>
      <w:r w:rsidR="00752CBC" w:rsidRPr="00374C66">
        <w:rPr>
          <w:sz w:val="22"/>
          <w:szCs w:val="22"/>
        </w:rPr>
        <w:t>Evropského parlamentu a Rady</w:t>
      </w:r>
      <w:r w:rsidRPr="004E0975">
        <w:rPr>
          <w:rFonts w:cs="Arial"/>
          <w:sz w:val="22"/>
          <w:szCs w:val="22"/>
        </w:rPr>
        <w:t xml:space="preserve"> (EU) č. 1370/2007 ze dne 23. října 2007, o veřejných službách v přepravě cestujících po železnici a silnici a o zrušení nařízení Rady (EHS) č. 1191/69 a č. 1107/70, Úř. věst. L 315, 3.12.2007, s. 1—13 (dále také jen "N1370/2007");</w:t>
      </w:r>
    </w:p>
    <w:p w:rsidR="001020AE" w:rsidRPr="004E0975" w:rsidRDefault="001020AE" w:rsidP="001020AE">
      <w:pPr>
        <w:pStyle w:val="Zkladntext"/>
        <w:numPr>
          <w:ilvl w:val="0"/>
          <w:numId w:val="8"/>
        </w:numPr>
        <w:rPr>
          <w:rFonts w:cs="Arial"/>
          <w:sz w:val="22"/>
          <w:szCs w:val="22"/>
        </w:rPr>
      </w:pPr>
      <w:r w:rsidRPr="004E0975">
        <w:rPr>
          <w:rFonts w:cs="Arial"/>
          <w:sz w:val="22"/>
          <w:szCs w:val="22"/>
        </w:rPr>
        <w:t xml:space="preserve">Režim podpory </w:t>
      </w:r>
      <w:r w:rsidRPr="004E0975">
        <w:rPr>
          <w:rFonts w:cs="Arial"/>
          <w:i/>
          <w:sz w:val="22"/>
          <w:szCs w:val="22"/>
        </w:rPr>
        <w:t>de minimis</w:t>
      </w:r>
      <w:r w:rsidRPr="004E0975">
        <w:rPr>
          <w:rFonts w:cs="Arial"/>
          <w:sz w:val="22"/>
          <w:szCs w:val="22"/>
        </w:rPr>
        <w:t xml:space="preserve"> dle Nařízení Komise (EU) č. 1407/2013ze dne 18. prosince 2013 o použití článků 107 a 108 Smlouvy o fungování Evropské unie na podporu </w:t>
      </w:r>
      <w:r w:rsidRPr="004E0975">
        <w:rPr>
          <w:rFonts w:cs="Arial"/>
          <w:i/>
          <w:sz w:val="22"/>
          <w:szCs w:val="22"/>
        </w:rPr>
        <w:t>de minimis</w:t>
      </w:r>
      <w:r w:rsidRPr="004E0975">
        <w:rPr>
          <w:rFonts w:cs="Arial"/>
          <w:sz w:val="22"/>
          <w:szCs w:val="22"/>
        </w:rPr>
        <w:t>, Úř. věst. L 352, 24.12.2013, s. 1—8 (dále také jen "</w:t>
      </w:r>
      <w:r w:rsidRPr="004E0975">
        <w:rPr>
          <w:rFonts w:cs="Arial"/>
          <w:i/>
          <w:sz w:val="22"/>
          <w:szCs w:val="22"/>
        </w:rPr>
        <w:t>de minimis</w:t>
      </w:r>
      <w:r w:rsidRPr="004E0975">
        <w:rPr>
          <w:rFonts w:cs="Arial"/>
          <w:sz w:val="22"/>
          <w:szCs w:val="22"/>
        </w:rPr>
        <w:t xml:space="preserve">" nebo "Nařízení </w:t>
      </w:r>
      <w:r w:rsidRPr="004E0975">
        <w:rPr>
          <w:rFonts w:cs="Arial"/>
          <w:i/>
          <w:sz w:val="22"/>
          <w:szCs w:val="22"/>
        </w:rPr>
        <w:t>de minimis</w:t>
      </w:r>
      <w:r w:rsidRPr="004E0975">
        <w:rPr>
          <w:rFonts w:cs="Arial"/>
          <w:sz w:val="22"/>
          <w:szCs w:val="22"/>
        </w:rPr>
        <w:t>");</w:t>
      </w:r>
    </w:p>
    <w:p w:rsidR="001020AE" w:rsidRPr="004E0975" w:rsidRDefault="001020AE" w:rsidP="001020AE">
      <w:pPr>
        <w:pStyle w:val="Zkladntext"/>
        <w:numPr>
          <w:ilvl w:val="0"/>
          <w:numId w:val="8"/>
        </w:numPr>
        <w:rPr>
          <w:rFonts w:cs="Arial"/>
          <w:sz w:val="22"/>
          <w:szCs w:val="22"/>
        </w:rPr>
      </w:pPr>
      <w:r w:rsidRPr="004E0975">
        <w:rPr>
          <w:rFonts w:cs="Arial"/>
          <w:sz w:val="22"/>
          <w:szCs w:val="22"/>
        </w:rPr>
        <w:t xml:space="preserve">Režim podpory Nařízení Komise (EU) č. 360/2012 ze dne 25. dubna 2012 o použití článků 107 a 108 Smlouvy o fungování Evropské unie na podporu </w:t>
      </w:r>
      <w:r w:rsidRPr="004E0975">
        <w:rPr>
          <w:rFonts w:cs="Arial"/>
          <w:i/>
          <w:sz w:val="22"/>
          <w:szCs w:val="22"/>
        </w:rPr>
        <w:t>de minimis</w:t>
      </w:r>
      <w:r w:rsidRPr="004E0975">
        <w:rPr>
          <w:rFonts w:cs="Arial"/>
          <w:sz w:val="22"/>
          <w:szCs w:val="22"/>
        </w:rPr>
        <w:t xml:space="preserve"> udílenou podnikům poskytujícím služby obecného hospodářského zájmu, Úř. věst. L 114, 26.4.2012, s. 8—13, (dále také jen "SGEI </w:t>
      </w:r>
      <w:r w:rsidRPr="004E0975">
        <w:rPr>
          <w:rFonts w:cs="Arial"/>
          <w:i/>
          <w:sz w:val="22"/>
          <w:szCs w:val="22"/>
        </w:rPr>
        <w:t>de minimis</w:t>
      </w:r>
      <w:r w:rsidRPr="004E0975">
        <w:rPr>
          <w:rFonts w:cs="Arial"/>
          <w:sz w:val="22"/>
          <w:szCs w:val="22"/>
        </w:rPr>
        <w:t>" a "Nařízení SGEI");</w:t>
      </w:r>
    </w:p>
    <w:p w:rsidR="001020AE" w:rsidRPr="004E0975" w:rsidRDefault="001020AE" w:rsidP="001020AE">
      <w:pPr>
        <w:pStyle w:val="Zkladntext"/>
        <w:numPr>
          <w:ilvl w:val="0"/>
          <w:numId w:val="8"/>
        </w:numPr>
        <w:rPr>
          <w:rFonts w:cs="Arial"/>
          <w:sz w:val="22"/>
          <w:szCs w:val="22"/>
        </w:rPr>
      </w:pPr>
      <w:r w:rsidRPr="004E0975">
        <w:rPr>
          <w:rFonts w:cs="Arial"/>
          <w:sz w:val="22"/>
          <w:szCs w:val="22"/>
        </w:rPr>
        <w:t>Režim podpory SGEI dle Rozhodnutí Komise ze dne 20. prosince 2011 o použití čl. 106 odst. 2 Smlouvy o fungování Evropské unie na státní podporu ve formě vyrovnávací platby za závazek veřejné služby udělené určitým podnikům pověřeným poskytováním služeb obecného hospodářského zájmu, Úř. věst. L 7, 11.1.2012, s. 3—10 (oznámeno pod číslem K(2011) 9380), Úř. věst. L 7, 11.1.2012, s. 3—10, (dále také jen "SGEI" a "Rozhodnutí SGEI");</w:t>
      </w:r>
    </w:p>
    <w:p w:rsidR="001020AE" w:rsidRPr="004E0975" w:rsidRDefault="001020AE" w:rsidP="001020AE">
      <w:pPr>
        <w:pStyle w:val="Zkladntext"/>
        <w:numPr>
          <w:ilvl w:val="0"/>
          <w:numId w:val="8"/>
        </w:numPr>
        <w:rPr>
          <w:rFonts w:cs="Arial"/>
          <w:sz w:val="22"/>
          <w:szCs w:val="22"/>
        </w:rPr>
      </w:pPr>
      <w:r w:rsidRPr="004E0975">
        <w:rPr>
          <w:rFonts w:cs="Arial"/>
          <w:sz w:val="22"/>
          <w:szCs w:val="22"/>
        </w:rPr>
        <w:t>Režim podpory SGEI nezakládajícím veřejnou podporu dle Rozsudku  Altmark (C-280/00) (dále také jen "Rozsudek Al</w:t>
      </w:r>
      <w:r w:rsidR="00EF587D">
        <w:rPr>
          <w:rFonts w:cs="Arial"/>
          <w:sz w:val="22"/>
          <w:szCs w:val="22"/>
        </w:rPr>
        <w:t>t</w:t>
      </w:r>
      <w:r w:rsidRPr="004E0975">
        <w:rPr>
          <w:rFonts w:cs="Arial"/>
          <w:sz w:val="22"/>
          <w:szCs w:val="22"/>
        </w:rPr>
        <w:t>mark").</w:t>
      </w:r>
    </w:p>
    <w:p w:rsidR="001020AE" w:rsidRPr="004E0975" w:rsidRDefault="001020AE" w:rsidP="001020AE">
      <w:pPr>
        <w:pStyle w:val="Zkladntext"/>
        <w:rPr>
          <w:rFonts w:cs="Arial"/>
          <w:sz w:val="22"/>
          <w:szCs w:val="22"/>
        </w:rPr>
      </w:pPr>
    </w:p>
    <w:p w:rsidR="001020AE" w:rsidRPr="004E0975" w:rsidRDefault="001020AE" w:rsidP="004E0975">
      <w:pPr>
        <w:jc w:val="both"/>
        <w:rPr>
          <w:rFonts w:ascii="Arial" w:hAnsi="Arial" w:cs="Arial"/>
          <w:bCs/>
        </w:rPr>
      </w:pPr>
      <w:r w:rsidRPr="004E0975">
        <w:rPr>
          <w:rFonts w:ascii="Arial" w:hAnsi="Arial" w:cs="Arial"/>
          <w:bCs/>
        </w:rPr>
        <w:t>Podmínky stanovené níže jsou stanoveny jako další podmínky nad rámec podmínek upravených v jiných částech této výzvy. Níže uvedené podmínky nelze vykládat jako rozšíření podmínek stanovených v jiné části této výzvy.</w:t>
      </w:r>
    </w:p>
    <w:p w:rsidR="001020AE" w:rsidRPr="004E0975" w:rsidRDefault="001020AE" w:rsidP="001020AE">
      <w:pPr>
        <w:pStyle w:val="Zkladntext"/>
        <w:rPr>
          <w:rFonts w:cs="Arial"/>
          <w:sz w:val="22"/>
          <w:szCs w:val="22"/>
        </w:rPr>
      </w:pPr>
    </w:p>
    <w:p w:rsidR="001020AE" w:rsidRDefault="001020AE" w:rsidP="001020AE">
      <w:pPr>
        <w:pStyle w:val="Styl2"/>
        <w:rPr>
          <w:rFonts w:ascii="Arial" w:hAnsi="Arial"/>
        </w:rPr>
      </w:pPr>
      <w:r w:rsidRPr="004E0975">
        <w:rPr>
          <w:rFonts w:ascii="Arial" w:hAnsi="Arial"/>
        </w:rPr>
        <w:t xml:space="preserve">Režim podpory nezakládající veřejnou podporu </w:t>
      </w:r>
    </w:p>
    <w:p w:rsidR="004E0975" w:rsidRPr="004E0975" w:rsidRDefault="004E0975" w:rsidP="004E0975">
      <w:pPr>
        <w:pStyle w:val="Styl2"/>
        <w:numPr>
          <w:ilvl w:val="0"/>
          <w:numId w:val="0"/>
        </w:numPr>
        <w:ind w:left="1224"/>
        <w:rPr>
          <w:rFonts w:ascii="Arial" w:hAnsi="Arial"/>
        </w:rPr>
      </w:pPr>
    </w:p>
    <w:p w:rsidR="001020AE" w:rsidRPr="004E0975" w:rsidRDefault="001020AE" w:rsidP="001020AE">
      <w:pPr>
        <w:pStyle w:val="Zkladntext"/>
        <w:rPr>
          <w:rFonts w:cs="Arial"/>
          <w:sz w:val="22"/>
          <w:szCs w:val="22"/>
        </w:rPr>
      </w:pPr>
      <w:r w:rsidRPr="004E0975">
        <w:rPr>
          <w:rFonts w:cs="Arial"/>
          <w:sz w:val="22"/>
          <w:szCs w:val="22"/>
        </w:rPr>
        <w:t>V tomto režimu lze poskytnout podporu v případě, že podpořený projekt nenaplňuje jeden ze znaků veřejné podpory dle čl. 107 SFEU (zejména podpora nehospodářských činností ve smyslu platných výkladových dokumentů Evropské Komise, podpora projektu nemůže narušit hospodářskou soutěž nebo nemá dopad na obchod mezi členskými státy; opatření ryze lokální povahy a pod.)</w:t>
      </w:r>
    </w:p>
    <w:p w:rsidR="001020AE" w:rsidRPr="004E0975" w:rsidRDefault="001020AE" w:rsidP="001020AE">
      <w:pPr>
        <w:pStyle w:val="Odstavecseseznamem"/>
        <w:ind w:left="-284"/>
        <w:rPr>
          <w:rFonts w:ascii="Arial" w:hAnsi="Arial" w:cs="Arial"/>
        </w:rPr>
      </w:pPr>
    </w:p>
    <w:p w:rsidR="001020AE" w:rsidRDefault="001020AE" w:rsidP="001020AE">
      <w:pPr>
        <w:pStyle w:val="Styl2"/>
        <w:rPr>
          <w:rFonts w:ascii="Arial" w:hAnsi="Arial"/>
        </w:rPr>
      </w:pPr>
      <w:r w:rsidRPr="004E0975">
        <w:rPr>
          <w:rFonts w:ascii="Arial" w:hAnsi="Arial"/>
        </w:rPr>
        <w:t>Režim podpory slučitelné se společným služby obecného hospodářského zájmu</w:t>
      </w:r>
    </w:p>
    <w:p w:rsidR="004E0975" w:rsidRPr="004E0975" w:rsidRDefault="004E0975" w:rsidP="004E0975">
      <w:pPr>
        <w:pStyle w:val="Styl2"/>
        <w:numPr>
          <w:ilvl w:val="0"/>
          <w:numId w:val="0"/>
        </w:numPr>
        <w:ind w:left="1224"/>
        <w:rPr>
          <w:rFonts w:ascii="Arial" w:hAnsi="Arial"/>
        </w:rPr>
      </w:pPr>
    </w:p>
    <w:p w:rsidR="001020AE" w:rsidRPr="004E0975" w:rsidRDefault="001020AE" w:rsidP="004E0975">
      <w:pPr>
        <w:jc w:val="both"/>
        <w:rPr>
          <w:rFonts w:ascii="Arial" w:hAnsi="Arial" w:cs="Arial"/>
        </w:rPr>
      </w:pPr>
      <w:r w:rsidRPr="004E0975">
        <w:rPr>
          <w:rFonts w:ascii="Arial" w:hAnsi="Arial" w:cs="Arial"/>
        </w:rPr>
        <w:t>V tomto režimu je možné poskytnout podporu projekty v oblasti kolejové a silniční přepravy cestujících dle N1370/2007 pro příjemce Dopravní podnik Hl.m.P.</w:t>
      </w:r>
    </w:p>
    <w:p w:rsidR="001020AE" w:rsidRPr="004E0975" w:rsidRDefault="001020AE" w:rsidP="001020AE">
      <w:pPr>
        <w:pStyle w:val="Zkladntext"/>
        <w:rPr>
          <w:rFonts w:eastAsiaTheme="minorHAnsi" w:cs="Arial"/>
          <w:sz w:val="22"/>
          <w:szCs w:val="22"/>
          <w:lang w:eastAsia="en-US"/>
        </w:rPr>
      </w:pPr>
    </w:p>
    <w:p w:rsidR="001020AE" w:rsidRPr="004E0975" w:rsidRDefault="001020AE" w:rsidP="004E0975">
      <w:pPr>
        <w:pStyle w:val="Styl2"/>
        <w:rPr>
          <w:rFonts w:ascii="Arial" w:eastAsia="Times New Roman" w:hAnsi="Arial"/>
          <w:lang w:eastAsia="cs-CZ"/>
        </w:rPr>
      </w:pPr>
      <w:r w:rsidRPr="004E0975">
        <w:rPr>
          <w:rFonts w:ascii="Arial" w:hAnsi="Arial"/>
        </w:rPr>
        <w:lastRenderedPageBreak/>
        <w:t xml:space="preserve">Režim podpory </w:t>
      </w:r>
      <w:r w:rsidRPr="004E0975">
        <w:rPr>
          <w:rFonts w:ascii="Arial" w:hAnsi="Arial"/>
          <w:i/>
        </w:rPr>
        <w:t>de minimis</w:t>
      </w:r>
      <w:r w:rsidRPr="004E0975">
        <w:rPr>
          <w:rFonts w:ascii="Arial" w:hAnsi="Arial"/>
        </w:rPr>
        <w:t xml:space="preserve"> </w:t>
      </w:r>
    </w:p>
    <w:p w:rsidR="004E0975" w:rsidRPr="004E0975" w:rsidRDefault="004E0975" w:rsidP="004E0975">
      <w:pPr>
        <w:pStyle w:val="Styl2"/>
        <w:numPr>
          <w:ilvl w:val="0"/>
          <w:numId w:val="0"/>
        </w:numPr>
        <w:ind w:left="1224"/>
        <w:rPr>
          <w:rFonts w:ascii="Arial" w:eastAsia="Times New Roman" w:hAnsi="Arial"/>
          <w:lang w:eastAsia="cs-CZ"/>
        </w:rPr>
      </w:pPr>
    </w:p>
    <w:p w:rsidR="001020AE" w:rsidRPr="004E0975" w:rsidRDefault="001020AE" w:rsidP="004E0975">
      <w:pPr>
        <w:jc w:val="both"/>
        <w:rPr>
          <w:rFonts w:ascii="Arial" w:hAnsi="Arial" w:cs="Arial"/>
        </w:rPr>
      </w:pPr>
      <w:r w:rsidRPr="004E0975">
        <w:rPr>
          <w:rFonts w:ascii="Arial" w:hAnsi="Arial" w:cs="Arial"/>
        </w:rPr>
        <w:t xml:space="preserve">V tomto režimu lze poskytnout podporu </w:t>
      </w:r>
      <w:r w:rsidRPr="004E0975">
        <w:rPr>
          <w:rFonts w:ascii="Arial" w:hAnsi="Arial" w:cs="Arial"/>
          <w:i/>
        </w:rPr>
        <w:t>de minimis</w:t>
      </w:r>
      <w:r w:rsidRPr="004E0975">
        <w:rPr>
          <w:rFonts w:ascii="Arial" w:hAnsi="Arial" w:cs="Arial"/>
        </w:rPr>
        <w:t xml:space="preserve"> v souladu s Nařízením </w:t>
      </w:r>
      <w:r w:rsidRPr="004E0975">
        <w:rPr>
          <w:rFonts w:ascii="Arial" w:hAnsi="Arial" w:cs="Arial"/>
          <w:i/>
        </w:rPr>
        <w:t>de minimis</w:t>
      </w:r>
      <w:r w:rsidRPr="004E0975">
        <w:rPr>
          <w:rFonts w:ascii="Arial" w:hAnsi="Arial" w:cs="Arial"/>
        </w:rPr>
        <w:t xml:space="preserve">, tj. podporu, kdy kumulovaná podpora daného příjemce z veřejných zdrojů </w:t>
      </w:r>
      <w:r w:rsidRPr="004E0975">
        <w:rPr>
          <w:rFonts w:ascii="Arial" w:hAnsi="Arial" w:cs="Arial"/>
          <w:i/>
        </w:rPr>
        <w:t>de minims</w:t>
      </w:r>
      <w:r w:rsidRPr="004E0975">
        <w:rPr>
          <w:rFonts w:ascii="Arial" w:hAnsi="Arial" w:cs="Arial"/>
        </w:rPr>
        <w:t xml:space="preserve"> za poslední tři po sobě navazujících jednoletá účetní období nepřesáhne částku </w:t>
      </w:r>
      <w:r w:rsidRPr="004E0975">
        <w:rPr>
          <w:rFonts w:ascii="Arial" w:hAnsi="Arial" w:cs="Arial"/>
          <w:b/>
        </w:rPr>
        <w:t>200.000,- EUR</w:t>
      </w:r>
      <w:r w:rsidRPr="004E0975">
        <w:rPr>
          <w:rFonts w:ascii="Arial" w:hAnsi="Arial" w:cs="Arial"/>
        </w:rPr>
        <w:t xml:space="preserve"> dle centrálního registru </w:t>
      </w:r>
      <w:r w:rsidRPr="004E0975">
        <w:rPr>
          <w:rFonts w:ascii="Arial" w:hAnsi="Arial" w:cs="Arial"/>
          <w:i/>
        </w:rPr>
        <w:t>de minimis</w:t>
      </w:r>
      <w:r w:rsidRPr="004E0975">
        <w:rPr>
          <w:rFonts w:ascii="Arial" w:hAnsi="Arial" w:cs="Arial"/>
        </w:rPr>
        <w:t xml:space="preserve"> vedeného v souladu s ust. zákona č. 215/2004 Sb., o úpravě některých vztahů v oblasti veřejné podpory a o změně zákona o podpoře výzkumu a vývoje, ve znění pozdějších předpisů a ust. vyhlášky č. 465/2009 Sb., o údajích zaznamenávaných do centrálního registru podpor malého rozsahu.</w:t>
      </w:r>
    </w:p>
    <w:p w:rsidR="001020AE" w:rsidRDefault="001020AE" w:rsidP="001020AE">
      <w:pPr>
        <w:pStyle w:val="Styl2"/>
        <w:rPr>
          <w:rFonts w:ascii="Arial" w:hAnsi="Arial"/>
        </w:rPr>
      </w:pPr>
      <w:r w:rsidRPr="004E0975">
        <w:rPr>
          <w:rFonts w:ascii="Arial" w:hAnsi="Arial"/>
        </w:rPr>
        <w:t xml:space="preserve">Režim podpory SGEI </w:t>
      </w:r>
      <w:r w:rsidRPr="004E0975">
        <w:rPr>
          <w:rFonts w:ascii="Arial" w:hAnsi="Arial"/>
          <w:i/>
        </w:rPr>
        <w:t>de minimis</w:t>
      </w:r>
      <w:r w:rsidRPr="004E0975">
        <w:rPr>
          <w:rFonts w:ascii="Arial" w:hAnsi="Arial"/>
        </w:rPr>
        <w:t xml:space="preserve"> - specifické podmínky</w:t>
      </w:r>
    </w:p>
    <w:p w:rsidR="004E0975" w:rsidRPr="004E0975" w:rsidRDefault="004E0975" w:rsidP="004E0975">
      <w:pPr>
        <w:pStyle w:val="Styl2"/>
        <w:numPr>
          <w:ilvl w:val="0"/>
          <w:numId w:val="0"/>
        </w:numPr>
        <w:ind w:left="1224"/>
        <w:rPr>
          <w:rFonts w:ascii="Arial" w:hAnsi="Arial"/>
        </w:rPr>
      </w:pPr>
    </w:p>
    <w:p w:rsidR="001020AE" w:rsidRPr="004E0975" w:rsidRDefault="001020AE" w:rsidP="004E0975">
      <w:pPr>
        <w:jc w:val="both"/>
        <w:rPr>
          <w:rFonts w:ascii="Arial" w:hAnsi="Arial" w:cs="Arial"/>
        </w:rPr>
      </w:pPr>
      <w:r w:rsidRPr="004E0975">
        <w:rPr>
          <w:rFonts w:ascii="Arial" w:hAnsi="Arial" w:cs="Arial"/>
        </w:rPr>
        <w:t xml:space="preserve">V tomto režimu lze poskytnou podporu </w:t>
      </w:r>
      <w:r w:rsidRPr="004E0975">
        <w:rPr>
          <w:rFonts w:ascii="Arial" w:hAnsi="Arial" w:cs="Arial"/>
          <w:i/>
        </w:rPr>
        <w:t>de minimis</w:t>
      </w:r>
      <w:r w:rsidRPr="004E0975">
        <w:rPr>
          <w:rFonts w:ascii="Arial" w:hAnsi="Arial" w:cs="Arial"/>
        </w:rPr>
        <w:t xml:space="preserve"> </w:t>
      </w:r>
      <w:r w:rsidRPr="004E0975">
        <w:rPr>
          <w:rFonts w:ascii="Arial" w:hAnsi="Arial" w:cs="Arial"/>
          <w:b/>
        </w:rPr>
        <w:t>na služby obecného hospodářského zájmu (SGEI)</w:t>
      </w:r>
      <w:r w:rsidRPr="004E0975">
        <w:rPr>
          <w:rFonts w:ascii="Arial" w:hAnsi="Arial" w:cs="Arial"/>
        </w:rPr>
        <w:t xml:space="preserve"> za podmínky že kumulovaná podpora daného příjemce z veřejných zdrojů v tomto režimu za poslední tři po sobě navazujících jednoletá účetní období nepřesáhne částku </w:t>
      </w:r>
      <w:r w:rsidRPr="004E0975">
        <w:rPr>
          <w:rFonts w:ascii="Arial" w:hAnsi="Arial" w:cs="Arial"/>
          <w:b/>
        </w:rPr>
        <w:t>500.000,- EUR</w:t>
      </w:r>
      <w:r w:rsidRPr="004E0975">
        <w:rPr>
          <w:rFonts w:ascii="Arial" w:hAnsi="Arial" w:cs="Arial"/>
        </w:rPr>
        <w:t xml:space="preserve"> dle centrálního registru </w:t>
      </w:r>
      <w:r w:rsidRPr="004E0975">
        <w:rPr>
          <w:rFonts w:ascii="Arial" w:hAnsi="Arial" w:cs="Arial"/>
          <w:i/>
        </w:rPr>
        <w:t>de minimis</w:t>
      </w:r>
      <w:r w:rsidRPr="004E0975">
        <w:rPr>
          <w:rFonts w:ascii="Arial" w:hAnsi="Arial" w:cs="Arial"/>
        </w:rPr>
        <w:t xml:space="preserve"> vedeného v souladu s ust. zákona č. 215/2004 Sb., o úpravě některých vztahů v oblasti veřejné podpory a o změně zákona o podpoře výzkumu a vývoje, ve znění pozdějších předpisů a ust. vyhlášky č. 465/2009 Sb., o údajích zaznamenávaných do centrálního registru podpor malého rozsahu.</w:t>
      </w:r>
    </w:p>
    <w:p w:rsidR="001020AE" w:rsidRPr="004E0975" w:rsidRDefault="001020AE" w:rsidP="004E0975">
      <w:pPr>
        <w:jc w:val="both"/>
        <w:rPr>
          <w:rFonts w:ascii="Arial" w:hAnsi="Arial" w:cs="Arial"/>
        </w:rPr>
      </w:pPr>
      <w:r w:rsidRPr="004E0975">
        <w:rPr>
          <w:rFonts w:ascii="Arial" w:hAnsi="Arial" w:cs="Arial"/>
        </w:rPr>
        <w:t xml:space="preserve">Podporu </w:t>
      </w:r>
      <w:r w:rsidRPr="004E0975">
        <w:rPr>
          <w:rFonts w:ascii="Arial" w:hAnsi="Arial" w:cs="Arial"/>
          <w:i/>
        </w:rPr>
        <w:t>de minimis</w:t>
      </w:r>
      <w:r w:rsidRPr="004E0975">
        <w:rPr>
          <w:rFonts w:ascii="Arial" w:hAnsi="Arial" w:cs="Arial"/>
        </w:rPr>
        <w:t xml:space="preserve"> SGEI </w:t>
      </w:r>
      <w:r w:rsidRPr="004E0975">
        <w:rPr>
          <w:rFonts w:ascii="Arial" w:hAnsi="Arial" w:cs="Arial"/>
          <w:b/>
        </w:rPr>
        <w:t>nelze</w:t>
      </w:r>
      <w:r w:rsidRPr="004E0975">
        <w:rPr>
          <w:rFonts w:ascii="Arial" w:hAnsi="Arial" w:cs="Arial"/>
        </w:rPr>
        <w:t xml:space="preserve"> </w:t>
      </w:r>
      <w:r w:rsidRPr="004E0975">
        <w:rPr>
          <w:rFonts w:ascii="Arial" w:hAnsi="Arial" w:cs="Arial"/>
          <w:b/>
        </w:rPr>
        <w:t>kumulovat se státní podporou na tytéž způsobilé náklady</w:t>
      </w:r>
      <w:r w:rsidRPr="004E0975">
        <w:rPr>
          <w:rFonts w:ascii="Arial" w:hAnsi="Arial" w:cs="Arial"/>
        </w:rPr>
        <w:t>, pokud by taková kumulace zvýšila intenzitu podpory nad míru intenzity, která je pro specifické okolnosti každého případu stanovena v nařízení o blokové výjimce nebo v rozhodnutí Komise.</w:t>
      </w:r>
    </w:p>
    <w:p w:rsidR="001020AE" w:rsidRPr="004E0975" w:rsidRDefault="001020AE" w:rsidP="004E0975">
      <w:pPr>
        <w:jc w:val="both"/>
        <w:rPr>
          <w:rFonts w:ascii="Arial" w:hAnsi="Arial" w:cs="Arial"/>
        </w:rPr>
      </w:pPr>
      <w:r w:rsidRPr="004E0975">
        <w:rPr>
          <w:rFonts w:ascii="Arial" w:hAnsi="Arial" w:cs="Arial"/>
        </w:rPr>
        <w:t xml:space="preserve">Podporu </w:t>
      </w:r>
      <w:r w:rsidRPr="004E0975">
        <w:rPr>
          <w:rFonts w:ascii="Arial" w:hAnsi="Arial" w:cs="Arial"/>
          <w:i/>
        </w:rPr>
        <w:t>de minimis</w:t>
      </w:r>
      <w:r w:rsidRPr="004E0975">
        <w:rPr>
          <w:rFonts w:ascii="Arial" w:hAnsi="Arial" w:cs="Arial"/>
        </w:rPr>
        <w:t xml:space="preserve"> SGEI lze </w:t>
      </w:r>
      <w:r w:rsidRPr="004E0975">
        <w:rPr>
          <w:rFonts w:ascii="Arial" w:hAnsi="Arial" w:cs="Arial"/>
          <w:b/>
        </w:rPr>
        <w:t xml:space="preserve">kumulovat s podporou </w:t>
      </w:r>
      <w:r w:rsidRPr="004E0975">
        <w:rPr>
          <w:rFonts w:ascii="Arial" w:hAnsi="Arial" w:cs="Arial"/>
          <w:b/>
          <w:i/>
        </w:rPr>
        <w:t>de minimis</w:t>
      </w:r>
      <w:r w:rsidRPr="004E0975">
        <w:rPr>
          <w:rFonts w:ascii="Arial" w:hAnsi="Arial" w:cs="Arial"/>
        </w:rPr>
        <w:t xml:space="preserve"> podle jiných nařízení o podpoře </w:t>
      </w:r>
      <w:r w:rsidRPr="004E0975">
        <w:rPr>
          <w:rFonts w:ascii="Arial" w:hAnsi="Arial" w:cs="Arial"/>
          <w:i/>
        </w:rPr>
        <w:t>de minimis</w:t>
      </w:r>
      <w:r w:rsidRPr="004E0975">
        <w:rPr>
          <w:rFonts w:ascii="Arial" w:hAnsi="Arial" w:cs="Arial"/>
        </w:rPr>
        <w:t xml:space="preserve"> až do stropu 500.000,- EUR.</w:t>
      </w:r>
    </w:p>
    <w:p w:rsidR="001020AE" w:rsidRPr="004E0975" w:rsidRDefault="001020AE" w:rsidP="001020AE">
      <w:pPr>
        <w:pStyle w:val="Zkladntext"/>
        <w:rPr>
          <w:rFonts w:cs="Arial"/>
          <w:sz w:val="22"/>
          <w:szCs w:val="22"/>
        </w:rPr>
      </w:pPr>
    </w:p>
    <w:p w:rsidR="004E0975" w:rsidRPr="004E0975" w:rsidRDefault="001020AE" w:rsidP="004E0975">
      <w:pPr>
        <w:rPr>
          <w:rFonts w:ascii="Arial" w:hAnsi="Arial" w:cs="Arial"/>
          <w:b/>
        </w:rPr>
      </w:pPr>
      <w:r w:rsidRPr="004E0975">
        <w:rPr>
          <w:rFonts w:ascii="Arial" w:hAnsi="Arial" w:cs="Arial"/>
          <w:b/>
        </w:rPr>
        <w:t xml:space="preserve">Podporu </w:t>
      </w:r>
      <w:r w:rsidRPr="004E0975">
        <w:rPr>
          <w:rFonts w:ascii="Arial" w:hAnsi="Arial" w:cs="Arial"/>
          <w:b/>
          <w:i/>
        </w:rPr>
        <w:t>de minimis</w:t>
      </w:r>
      <w:r w:rsidRPr="004E0975">
        <w:rPr>
          <w:rFonts w:ascii="Arial" w:hAnsi="Arial" w:cs="Arial"/>
          <w:b/>
        </w:rPr>
        <w:t xml:space="preserve"> SGEI nelze kumulovat s žádnou vyrovnávací platbou </w:t>
      </w:r>
      <w:r w:rsidRPr="004E0975">
        <w:rPr>
          <w:rFonts w:ascii="Arial" w:hAnsi="Arial" w:cs="Arial"/>
          <w:b/>
          <w:u w:val="single"/>
        </w:rPr>
        <w:t>na tutéž službu obecného hospodářského zájmu</w:t>
      </w:r>
      <w:r w:rsidRPr="004E0975">
        <w:rPr>
          <w:rFonts w:ascii="Arial" w:hAnsi="Arial" w:cs="Arial"/>
          <w:b/>
        </w:rPr>
        <w:t xml:space="preserve"> bez ohledu na to, zda tato vyrovnávací platba představuje, nebo nepředstavuje státní podporu!</w:t>
      </w:r>
    </w:p>
    <w:p w:rsidR="001020AE" w:rsidRDefault="001020AE" w:rsidP="001020AE">
      <w:pPr>
        <w:pStyle w:val="Styl2"/>
        <w:rPr>
          <w:rFonts w:ascii="Arial" w:hAnsi="Arial"/>
        </w:rPr>
      </w:pPr>
      <w:r w:rsidRPr="004E0975">
        <w:rPr>
          <w:rFonts w:ascii="Arial" w:hAnsi="Arial"/>
        </w:rPr>
        <w:t>Režim slučitelné podpory SGEI dle Rozhodnutí SGEI - specifické podmínky</w:t>
      </w:r>
    </w:p>
    <w:p w:rsidR="004E0975" w:rsidRPr="004E0975" w:rsidRDefault="004E0975" w:rsidP="004E0975">
      <w:pPr>
        <w:pStyle w:val="Styl2"/>
        <w:numPr>
          <w:ilvl w:val="0"/>
          <w:numId w:val="0"/>
        </w:numPr>
        <w:ind w:left="1224"/>
        <w:rPr>
          <w:rFonts w:ascii="Arial" w:hAnsi="Arial"/>
        </w:rPr>
      </w:pPr>
    </w:p>
    <w:p w:rsidR="001020AE" w:rsidRPr="004E0975" w:rsidRDefault="001020AE" w:rsidP="004E0975">
      <w:pPr>
        <w:jc w:val="both"/>
        <w:rPr>
          <w:rFonts w:ascii="Arial" w:hAnsi="Arial" w:cs="Arial"/>
        </w:rPr>
      </w:pPr>
      <w:r w:rsidRPr="004E0975">
        <w:rPr>
          <w:rFonts w:ascii="Arial" w:hAnsi="Arial" w:cs="Arial"/>
        </w:rPr>
        <w:t>V tomto režimu lze poskytnout podporu ve formě vyrovnávací platby za závazek veřejné služby udělenou podnikům pověřeným poskytováním služeb obecného hospodářského zájmu SGEI, která spadá pod některou z kategorií dle článku 2 Rozhodnutí SGEI (mj. obecná kategorie SGEI mimo oblast dopravy a dopravní infrastruktury do 15 mil EUR a taktéž dalších služeb sociální péče bez stropového omezení).</w:t>
      </w:r>
    </w:p>
    <w:p w:rsidR="001020AE" w:rsidRPr="004E0975" w:rsidRDefault="001020AE" w:rsidP="004E0975">
      <w:pPr>
        <w:jc w:val="both"/>
        <w:rPr>
          <w:rFonts w:ascii="Arial" w:hAnsi="Arial" w:cs="Arial"/>
        </w:rPr>
      </w:pPr>
      <w:r w:rsidRPr="004E0975">
        <w:rPr>
          <w:rFonts w:ascii="Arial" w:hAnsi="Arial" w:cs="Arial"/>
          <w:shd w:val="clear" w:color="auto" w:fill="FFFFFF"/>
        </w:rPr>
        <w:t>Doba, na kterou je podnik pověřen poskytováním služby obecného hospodářského zájmu, nesmí přes</w:t>
      </w:r>
      <w:r w:rsidR="004E0975">
        <w:rPr>
          <w:rFonts w:ascii="Arial" w:hAnsi="Arial" w:cs="Arial"/>
          <w:shd w:val="clear" w:color="auto" w:fill="FFFFFF"/>
        </w:rPr>
        <w:t>á</w:t>
      </w:r>
      <w:r w:rsidRPr="004E0975">
        <w:rPr>
          <w:rFonts w:ascii="Arial" w:hAnsi="Arial" w:cs="Arial"/>
          <w:shd w:val="clear" w:color="auto" w:fill="FFFFFF"/>
        </w:rPr>
        <w:t>hnout deset let. Výjimku představuje pouze případ, kdy se vyžaduje velká investice, kterou je nutno umořit během delšího období v souladu s obecně přijímanými účetními zásadami.</w:t>
      </w:r>
    </w:p>
    <w:p w:rsidR="001020AE" w:rsidRPr="004E0975" w:rsidRDefault="001020AE" w:rsidP="004E0975">
      <w:pPr>
        <w:pStyle w:val="Zkladntext"/>
        <w:rPr>
          <w:rFonts w:cs="Arial"/>
          <w:sz w:val="22"/>
          <w:szCs w:val="22"/>
        </w:rPr>
      </w:pPr>
    </w:p>
    <w:p w:rsidR="004E0975" w:rsidRPr="004E0975" w:rsidRDefault="001020AE" w:rsidP="004E0975">
      <w:pPr>
        <w:jc w:val="both"/>
        <w:rPr>
          <w:rFonts w:ascii="Arial" w:hAnsi="Arial" w:cs="Arial"/>
          <w:shd w:val="clear" w:color="auto" w:fill="FFFFFF"/>
        </w:rPr>
      </w:pPr>
      <w:r w:rsidRPr="004E0975">
        <w:rPr>
          <w:rFonts w:ascii="Arial" w:hAnsi="Arial" w:cs="Arial"/>
          <w:shd w:val="clear" w:color="auto" w:fill="FFFFFF"/>
        </w:rPr>
        <w:lastRenderedPageBreak/>
        <w:t>Výše vyrovnávací platby nepřesáhne rozsah nezbytný k pokrytí čistých nákladů vynaložených při plnění závazků veřejné služby. Další podrobnosti stanoví článek 5 Rozhodnutí SGEI s tím, že podpora dle této výzvy se nepoužije na úhradu jakéhokoliv zisku.</w:t>
      </w:r>
    </w:p>
    <w:p w:rsidR="001020AE" w:rsidRDefault="001020AE" w:rsidP="001020AE">
      <w:pPr>
        <w:pStyle w:val="Styl2"/>
        <w:rPr>
          <w:rFonts w:ascii="Arial" w:hAnsi="Arial"/>
        </w:rPr>
      </w:pPr>
      <w:r w:rsidRPr="004E0975">
        <w:rPr>
          <w:rFonts w:ascii="Arial" w:hAnsi="Arial"/>
        </w:rPr>
        <w:t>Režim podpory SGEI nezakládající veřejnou podporu dle Rozsudku Altmark - specifické podmínky</w:t>
      </w:r>
    </w:p>
    <w:p w:rsidR="004E0975" w:rsidRPr="004E0975" w:rsidRDefault="004E0975" w:rsidP="004E0975">
      <w:pPr>
        <w:pStyle w:val="Styl2"/>
        <w:numPr>
          <w:ilvl w:val="0"/>
          <w:numId w:val="0"/>
        </w:numPr>
        <w:ind w:left="1224"/>
        <w:rPr>
          <w:rFonts w:ascii="Arial" w:hAnsi="Arial"/>
        </w:rPr>
      </w:pPr>
    </w:p>
    <w:p w:rsidR="001020AE" w:rsidRPr="004E0975" w:rsidRDefault="001020AE" w:rsidP="001020AE">
      <w:pPr>
        <w:rPr>
          <w:rFonts w:ascii="Arial" w:hAnsi="Arial" w:cs="Arial"/>
        </w:rPr>
      </w:pPr>
      <w:r w:rsidRPr="004E0975">
        <w:rPr>
          <w:rFonts w:ascii="Arial" w:hAnsi="Arial" w:cs="Arial"/>
        </w:rPr>
        <w:t>V tomto režimu lze výjimečně poskytnout podporu za podmínek naplnění všech čtyřech podmínek Rozsudku Altmark:</w:t>
      </w:r>
    </w:p>
    <w:p w:rsidR="001020AE" w:rsidRPr="004E0975" w:rsidRDefault="001020AE" w:rsidP="001020AE">
      <w:pPr>
        <w:ind w:left="708"/>
        <w:rPr>
          <w:rFonts w:ascii="Arial" w:hAnsi="Arial" w:cs="Arial"/>
        </w:rPr>
      </w:pPr>
      <w:r w:rsidRPr="004E0975">
        <w:rPr>
          <w:rFonts w:ascii="Arial" w:hAnsi="Arial" w:cs="Arial"/>
        </w:rPr>
        <w:t xml:space="preserve">1. subjekt, který je příjemcem vyrovnávací platby, </w:t>
      </w:r>
      <w:r w:rsidRPr="004E0975">
        <w:rPr>
          <w:rFonts w:ascii="Arial" w:hAnsi="Arial" w:cs="Arial"/>
          <w:b/>
        </w:rPr>
        <w:t>musí být výkonem SGEI pověřen</w:t>
      </w:r>
      <w:r w:rsidRPr="004E0975">
        <w:rPr>
          <w:rFonts w:ascii="Arial" w:hAnsi="Arial" w:cs="Arial"/>
        </w:rPr>
        <w:t>, a to jasně vymezeným způsobem;</w:t>
      </w:r>
    </w:p>
    <w:p w:rsidR="001020AE" w:rsidRPr="004E0975" w:rsidRDefault="001020AE" w:rsidP="001020AE">
      <w:pPr>
        <w:ind w:left="708"/>
        <w:rPr>
          <w:rFonts w:ascii="Arial" w:hAnsi="Arial" w:cs="Arial"/>
        </w:rPr>
      </w:pPr>
      <w:r w:rsidRPr="004E0975">
        <w:rPr>
          <w:rFonts w:ascii="Arial" w:hAnsi="Arial" w:cs="Arial"/>
          <w:b/>
        </w:rPr>
        <w:t xml:space="preserve">2. ukazatele </w:t>
      </w:r>
      <w:r w:rsidRPr="004E0975">
        <w:rPr>
          <w:rFonts w:ascii="Arial" w:hAnsi="Arial" w:cs="Arial"/>
        </w:rPr>
        <w:t>pro kalkulaci výše vyrovnávací platby</w:t>
      </w:r>
      <w:r w:rsidRPr="004E0975">
        <w:rPr>
          <w:rFonts w:ascii="Arial" w:hAnsi="Arial" w:cs="Arial"/>
          <w:b/>
        </w:rPr>
        <w:t xml:space="preserve"> musí být stanoveny předem a objektivním způsobem</w:t>
      </w:r>
      <w:r w:rsidRPr="004E0975">
        <w:rPr>
          <w:rFonts w:ascii="Arial" w:hAnsi="Arial" w:cs="Arial"/>
        </w:rPr>
        <w:t>;</w:t>
      </w:r>
    </w:p>
    <w:p w:rsidR="001020AE" w:rsidRPr="004E0975" w:rsidRDefault="001020AE" w:rsidP="001020AE">
      <w:pPr>
        <w:ind w:left="708"/>
        <w:rPr>
          <w:rFonts w:ascii="Arial" w:hAnsi="Arial" w:cs="Arial"/>
        </w:rPr>
      </w:pPr>
      <w:r w:rsidRPr="004E0975">
        <w:rPr>
          <w:rFonts w:ascii="Arial" w:hAnsi="Arial" w:cs="Arial"/>
          <w:b/>
        </w:rPr>
        <w:t>3. výše vyrovnávací platby</w:t>
      </w:r>
      <w:r w:rsidRPr="004E0975">
        <w:rPr>
          <w:rFonts w:ascii="Arial" w:hAnsi="Arial" w:cs="Arial"/>
        </w:rPr>
        <w:t xml:space="preserve"> nesmí překročit </w:t>
      </w:r>
      <w:r w:rsidRPr="004E0975">
        <w:rPr>
          <w:rFonts w:ascii="Arial" w:hAnsi="Arial" w:cs="Arial"/>
          <w:u w:val="single"/>
        </w:rPr>
        <w:t xml:space="preserve">náklady vynaložené subjektem při plnění závazku veřejné služby po odečtení příslušných příjmů z tohoto závazku a přičtení přiměřeného zisku </w:t>
      </w:r>
      <w:r w:rsidRPr="004E0975">
        <w:rPr>
          <w:rFonts w:ascii="Arial" w:hAnsi="Arial" w:cs="Arial"/>
        </w:rPr>
        <w:t>(nástroje proti překompenzaci); a</w:t>
      </w:r>
    </w:p>
    <w:p w:rsidR="001020AE" w:rsidRPr="004E0975" w:rsidRDefault="001020AE" w:rsidP="001020AE">
      <w:pPr>
        <w:ind w:left="708"/>
        <w:rPr>
          <w:rFonts w:ascii="Arial" w:hAnsi="Arial" w:cs="Arial"/>
          <w:b/>
        </w:rPr>
      </w:pPr>
      <w:r w:rsidRPr="004E0975">
        <w:rPr>
          <w:rFonts w:ascii="Arial" w:hAnsi="Arial" w:cs="Arial"/>
          <w:b/>
        </w:rPr>
        <w:t>4. platí že buďto:</w:t>
      </w:r>
    </w:p>
    <w:p w:rsidR="001020AE" w:rsidRPr="004E0975" w:rsidRDefault="001020AE" w:rsidP="001020AE">
      <w:pPr>
        <w:pStyle w:val="Odstavecseseznamem"/>
        <w:numPr>
          <w:ilvl w:val="0"/>
          <w:numId w:val="9"/>
        </w:numPr>
        <w:spacing w:after="120" w:line="240" w:lineRule="auto"/>
        <w:jc w:val="both"/>
        <w:rPr>
          <w:rFonts w:ascii="Arial" w:hAnsi="Arial" w:cs="Arial"/>
          <w:b/>
        </w:rPr>
      </w:pPr>
      <w:r w:rsidRPr="004E0975">
        <w:rPr>
          <w:rFonts w:ascii="Arial" w:hAnsi="Arial" w:cs="Arial"/>
          <w:b/>
        </w:rPr>
        <w:t>subjekt pověřený výkonem veřejné služby byl</w:t>
      </w:r>
      <w:r w:rsidRPr="004E0975">
        <w:rPr>
          <w:rFonts w:ascii="Arial" w:hAnsi="Arial" w:cs="Arial"/>
        </w:rPr>
        <w:t xml:space="preserve"> vybrán v rámci výběrového řízení </w:t>
      </w:r>
      <w:r w:rsidRPr="004E0975">
        <w:rPr>
          <w:rFonts w:ascii="Arial" w:hAnsi="Arial" w:cs="Arial"/>
          <w:b/>
        </w:rPr>
        <w:t>umožňující vybrat zájemce schopného poskytovat tyto služby za nejmenších nákladů</w:t>
      </w:r>
      <w:r w:rsidRPr="004E0975">
        <w:rPr>
          <w:rFonts w:ascii="Arial" w:hAnsi="Arial" w:cs="Arial"/>
        </w:rPr>
        <w:t>; nebo</w:t>
      </w:r>
    </w:p>
    <w:p w:rsidR="001020AE" w:rsidRPr="004E0975" w:rsidRDefault="001020AE" w:rsidP="001020AE">
      <w:pPr>
        <w:pStyle w:val="Odstavecseseznamem"/>
        <w:numPr>
          <w:ilvl w:val="0"/>
          <w:numId w:val="9"/>
        </w:numPr>
        <w:spacing w:after="120" w:line="240" w:lineRule="auto"/>
        <w:jc w:val="both"/>
        <w:rPr>
          <w:rFonts w:ascii="Arial" w:hAnsi="Arial" w:cs="Arial"/>
        </w:rPr>
      </w:pPr>
      <w:r w:rsidRPr="004E0975">
        <w:rPr>
          <w:rFonts w:ascii="Arial" w:hAnsi="Arial" w:cs="Arial"/>
          <w:b/>
        </w:rPr>
        <w:t>kompenzace byla stanovena na základě</w:t>
      </w:r>
      <w:r w:rsidRPr="004E0975">
        <w:rPr>
          <w:rFonts w:ascii="Arial" w:hAnsi="Arial" w:cs="Arial"/>
        </w:rPr>
        <w:t xml:space="preserve"> analýzy nákladů, jež by na výkon veřejné služby vynaložil průměrný, řádně řízený podnik, </w:t>
      </w:r>
      <w:r w:rsidRPr="004E0975">
        <w:rPr>
          <w:rFonts w:ascii="Arial" w:hAnsi="Arial" w:cs="Arial"/>
          <w:b/>
        </w:rPr>
        <w:t>jež disponuje odpovídajícími technickými prostředky k plnění výkonu dané veřejné služby.</w:t>
      </w:r>
    </w:p>
    <w:p w:rsidR="00450711" w:rsidRPr="004E0975" w:rsidRDefault="00450711">
      <w:pPr>
        <w:rPr>
          <w:rFonts w:ascii="Arial" w:hAnsi="Arial" w:cs="Arial"/>
        </w:rPr>
      </w:pPr>
    </w:p>
    <w:sectPr w:rsidR="00450711" w:rsidRPr="004E0975" w:rsidSect="007A517B">
      <w:headerReference w:type="default" r:id="rId8"/>
      <w:footerReference w:type="default" r:id="rId9"/>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76" w:rsidRDefault="004E3176" w:rsidP="004E3176">
      <w:pPr>
        <w:spacing w:after="0" w:line="240" w:lineRule="auto"/>
      </w:pPr>
      <w:r>
        <w:separator/>
      </w:r>
    </w:p>
  </w:endnote>
  <w:endnote w:type="continuationSeparator" w:id="0">
    <w:p w:rsidR="004E3176" w:rsidRDefault="004E3176" w:rsidP="004E3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3375319"/>
      <w:docPartObj>
        <w:docPartGallery w:val="Page Numbers (Bottom of Page)"/>
        <w:docPartUnique/>
      </w:docPartObj>
    </w:sdtPr>
    <w:sdtEndPr/>
    <w:sdtContent>
      <w:p w:rsidR="004E3176" w:rsidRDefault="00586A5F">
        <w:pPr>
          <w:pStyle w:val="Zpat"/>
          <w:jc w:val="right"/>
        </w:pPr>
        <w:r>
          <w:fldChar w:fldCharType="begin"/>
        </w:r>
        <w:r w:rsidR="004E3176">
          <w:instrText>PAGE   \* MERGEFORMAT</w:instrText>
        </w:r>
        <w:r>
          <w:fldChar w:fldCharType="separate"/>
        </w:r>
        <w:r w:rsidR="00374C66">
          <w:rPr>
            <w:noProof/>
          </w:rPr>
          <w:t>4</w:t>
        </w:r>
        <w:r>
          <w:fldChar w:fldCharType="end"/>
        </w:r>
      </w:p>
    </w:sdtContent>
  </w:sdt>
  <w:p w:rsidR="004E3176" w:rsidRDefault="004E31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76" w:rsidRDefault="004E3176" w:rsidP="004E3176">
      <w:pPr>
        <w:spacing w:after="0" w:line="240" w:lineRule="auto"/>
      </w:pPr>
      <w:r>
        <w:separator/>
      </w:r>
    </w:p>
  </w:footnote>
  <w:footnote w:type="continuationSeparator" w:id="0">
    <w:p w:rsidR="004E3176" w:rsidRDefault="004E3176" w:rsidP="004E31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F18" w:rsidRDefault="00613F18" w:rsidP="00613F18">
    <w:pPr>
      <w:pStyle w:val="Zhlav"/>
    </w:pPr>
    <w:r>
      <w:rPr>
        <w:noProof/>
        <w:lang w:eastAsia="cs-CZ"/>
      </w:rPr>
      <w:drawing>
        <wp:anchor distT="0" distB="0" distL="114300" distR="114300" simplePos="0" relativeHeight="251661312" behindDoc="1" locked="0" layoutInCell="1" allowOverlap="1">
          <wp:simplePos x="0" y="0"/>
          <wp:positionH relativeFrom="column">
            <wp:posOffset>-147320</wp:posOffset>
          </wp:positionH>
          <wp:positionV relativeFrom="paragraph">
            <wp:posOffset>-163830</wp:posOffset>
          </wp:positionV>
          <wp:extent cx="3473532" cy="9906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73532" cy="990600"/>
                  </a:xfrm>
                  <a:prstGeom prst="rect">
                    <a:avLst/>
                  </a:prstGeom>
                </pic:spPr>
              </pic:pic>
            </a:graphicData>
          </a:graphic>
        </wp:anchor>
      </w:drawing>
    </w:r>
    <w:r>
      <w:rPr>
        <w:noProof/>
        <w:lang w:eastAsia="cs-CZ"/>
      </w:rPr>
      <w:drawing>
        <wp:anchor distT="0" distB="0" distL="114300" distR="114300" simplePos="0" relativeHeight="251660288" behindDoc="1" locked="0" layoutInCell="1" allowOverlap="1">
          <wp:simplePos x="0" y="0"/>
          <wp:positionH relativeFrom="column">
            <wp:posOffset>-4445</wp:posOffset>
          </wp:positionH>
          <wp:positionV relativeFrom="paragraph">
            <wp:posOffset>-163830</wp:posOffset>
          </wp:positionV>
          <wp:extent cx="3473532" cy="9906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Z_RO_C_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84676" cy="993778"/>
                  </a:xfrm>
                  <a:prstGeom prst="rect">
                    <a:avLst/>
                  </a:prstGeom>
                </pic:spPr>
              </pic:pic>
            </a:graphicData>
          </a:graphic>
        </wp:anchor>
      </w:drawing>
    </w:r>
    <w:r>
      <w:rPr>
        <w:noProof/>
        <w:lang w:eastAsia="cs-CZ"/>
      </w:rPr>
      <w:drawing>
        <wp:anchor distT="0" distB="0" distL="114300" distR="114300" simplePos="0" relativeHeight="251659264" behindDoc="0" locked="0" layoutInCell="1" allowOverlap="1">
          <wp:simplePos x="0" y="0"/>
          <wp:positionH relativeFrom="column">
            <wp:posOffset>5111115</wp:posOffset>
          </wp:positionH>
          <wp:positionV relativeFrom="paragraph">
            <wp:posOffset>39370</wp:posOffset>
          </wp:positionV>
          <wp:extent cx="609600" cy="609600"/>
          <wp:effectExtent l="0" t="0" r="0" b="0"/>
          <wp:wrapSquare wrapText="bothSides"/>
          <wp:docPr id="4" name="Obrázek 4" descr="Praha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aha_c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p>
  <w:p w:rsidR="00613F18" w:rsidRDefault="00613F1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046A"/>
    <w:multiLevelType w:val="hybridMultilevel"/>
    <w:tmpl w:val="181A19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6A54238"/>
    <w:multiLevelType w:val="hybridMultilevel"/>
    <w:tmpl w:val="06C62724"/>
    <w:lvl w:ilvl="0" w:tplc="5060CB3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C40601E"/>
    <w:multiLevelType w:val="hybridMultilevel"/>
    <w:tmpl w:val="662AC312"/>
    <w:lvl w:ilvl="0" w:tplc="FFFFFFFF">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
    <w:nsid w:val="58BC5AA2"/>
    <w:multiLevelType w:val="multilevel"/>
    <w:tmpl w:val="22D83B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pStyle w:val="Styl2"/>
      <w:lvlText w:val="%1.%2.%3."/>
      <w:lvlJc w:val="left"/>
      <w:pPr>
        <w:ind w:left="1224" w:hanging="504"/>
      </w:pPr>
    </w:lvl>
    <w:lvl w:ilvl="3">
      <w:start w:val="1"/>
      <w:numFmt w:val="decimal"/>
      <w:pStyle w:val="Styl5"/>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A006AE3"/>
    <w:multiLevelType w:val="hybridMultilevel"/>
    <w:tmpl w:val="E62A68EE"/>
    <w:lvl w:ilvl="0" w:tplc="E00E1D4C">
      <w:start w:val="1"/>
      <w:numFmt w:val="bullet"/>
      <w:lvlText w:val=""/>
      <w:lvlJc w:val="left"/>
      <w:pPr>
        <w:ind w:left="720" w:hanging="360"/>
      </w:pPr>
      <w:rPr>
        <w:rFonts w:ascii="Symbol" w:hAnsi="Symbol" w:hint="default"/>
      </w:rPr>
    </w:lvl>
    <w:lvl w:ilvl="1" w:tplc="335A8B2C">
      <w:start w:val="1"/>
      <w:numFmt w:val="bullet"/>
      <w:lvlText w:val="o"/>
      <w:lvlJc w:val="left"/>
      <w:pPr>
        <w:ind w:left="1440" w:hanging="360"/>
      </w:pPr>
      <w:rPr>
        <w:rFonts w:ascii="Courier New" w:hAnsi="Courier New" w:cs="Courier New" w:hint="default"/>
      </w:rPr>
    </w:lvl>
    <w:lvl w:ilvl="2" w:tplc="93105EB2">
      <w:start w:val="1"/>
      <w:numFmt w:val="bullet"/>
      <w:lvlText w:val=""/>
      <w:lvlJc w:val="left"/>
      <w:pPr>
        <w:ind w:left="2160" w:hanging="360"/>
      </w:pPr>
      <w:rPr>
        <w:rFonts w:ascii="Wingdings" w:hAnsi="Wingdings" w:hint="default"/>
      </w:rPr>
    </w:lvl>
    <w:lvl w:ilvl="3" w:tplc="59F0B598">
      <w:start w:val="1"/>
      <w:numFmt w:val="bullet"/>
      <w:lvlText w:val=""/>
      <w:lvlJc w:val="left"/>
      <w:pPr>
        <w:ind w:left="2880" w:hanging="360"/>
      </w:pPr>
      <w:rPr>
        <w:rFonts w:ascii="Symbol" w:hAnsi="Symbol" w:hint="default"/>
      </w:rPr>
    </w:lvl>
    <w:lvl w:ilvl="4" w:tplc="2738D9EA">
      <w:start w:val="1"/>
      <w:numFmt w:val="bullet"/>
      <w:lvlText w:val="o"/>
      <w:lvlJc w:val="left"/>
      <w:pPr>
        <w:ind w:left="3600" w:hanging="360"/>
      </w:pPr>
      <w:rPr>
        <w:rFonts w:ascii="Courier New" w:hAnsi="Courier New" w:cs="Courier New" w:hint="default"/>
      </w:rPr>
    </w:lvl>
    <w:lvl w:ilvl="5" w:tplc="6600A186">
      <w:start w:val="1"/>
      <w:numFmt w:val="bullet"/>
      <w:lvlText w:val=""/>
      <w:lvlJc w:val="left"/>
      <w:pPr>
        <w:ind w:left="4320" w:hanging="360"/>
      </w:pPr>
      <w:rPr>
        <w:rFonts w:ascii="Wingdings" w:hAnsi="Wingdings" w:hint="default"/>
      </w:rPr>
    </w:lvl>
    <w:lvl w:ilvl="6" w:tplc="3E86F658">
      <w:start w:val="1"/>
      <w:numFmt w:val="bullet"/>
      <w:lvlText w:val=""/>
      <w:lvlJc w:val="left"/>
      <w:pPr>
        <w:ind w:left="5040" w:hanging="360"/>
      </w:pPr>
      <w:rPr>
        <w:rFonts w:ascii="Symbol" w:hAnsi="Symbol" w:hint="default"/>
      </w:rPr>
    </w:lvl>
    <w:lvl w:ilvl="7" w:tplc="1006F18C">
      <w:start w:val="1"/>
      <w:numFmt w:val="bullet"/>
      <w:lvlText w:val="o"/>
      <w:lvlJc w:val="left"/>
      <w:pPr>
        <w:ind w:left="5760" w:hanging="360"/>
      </w:pPr>
      <w:rPr>
        <w:rFonts w:ascii="Courier New" w:hAnsi="Courier New" w:cs="Courier New" w:hint="default"/>
      </w:rPr>
    </w:lvl>
    <w:lvl w:ilvl="8" w:tplc="43AA4306">
      <w:start w:val="1"/>
      <w:numFmt w:val="bullet"/>
      <w:lvlText w:val=""/>
      <w:lvlJc w:val="left"/>
      <w:pPr>
        <w:ind w:left="6480" w:hanging="360"/>
      </w:pPr>
      <w:rPr>
        <w:rFonts w:ascii="Wingdings" w:hAnsi="Wingdings" w:hint="default"/>
      </w:rPr>
    </w:lvl>
  </w:abstractNum>
  <w:abstractNum w:abstractNumId="5">
    <w:nsid w:val="604F0655"/>
    <w:multiLevelType w:val="hybridMultilevel"/>
    <w:tmpl w:val="34AAE616"/>
    <w:lvl w:ilvl="0" w:tplc="5060CB3A">
      <w:numFmt w:val="bullet"/>
      <w:lvlText w:val="-"/>
      <w:lvlJc w:val="left"/>
      <w:pPr>
        <w:ind w:left="1080" w:hanging="360"/>
      </w:pPr>
      <w:rPr>
        <w:rFonts w:ascii="Arial" w:eastAsiaTheme="minorHAns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nsid w:val="645E3FBF"/>
    <w:multiLevelType w:val="multilevel"/>
    <w:tmpl w:val="24FA0096"/>
    <w:lvl w:ilvl="0">
      <w:start w:val="1"/>
      <w:numFmt w:val="decimal"/>
      <w:pStyle w:val="Nadpis1"/>
      <w:lvlText w:val="%1."/>
      <w:lvlJc w:val="left"/>
      <w:pPr>
        <w:ind w:left="360" w:hanging="360"/>
      </w:pPr>
    </w:lvl>
    <w:lvl w:ilvl="1">
      <w:start w:val="1"/>
      <w:numFmt w:val="decimal"/>
      <w:pStyle w:val="PPNadpis2"/>
      <w:lvlText w:val="%1.%2."/>
      <w:lvlJc w:val="left"/>
      <w:pPr>
        <w:ind w:left="3552" w:hanging="432"/>
      </w:pPr>
    </w:lvl>
    <w:lvl w:ilvl="2">
      <w:start w:val="1"/>
      <w:numFmt w:val="decimal"/>
      <w:pStyle w:val="Nadpis3"/>
      <w:lvlText w:val="%1.%2.%3."/>
      <w:lvlJc w:val="left"/>
      <w:pPr>
        <w:ind w:left="1224" w:hanging="504"/>
      </w:pPr>
    </w:lvl>
    <w:lvl w:ilvl="3">
      <w:start w:val="1"/>
      <w:numFmt w:val="decimal"/>
      <w:pStyle w:val="Nadpis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6FD5104"/>
    <w:multiLevelType w:val="hybridMultilevel"/>
    <w:tmpl w:val="86A83B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7A83CFE"/>
    <w:multiLevelType w:val="hybridMultilevel"/>
    <w:tmpl w:val="22EAC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50711"/>
    <w:rsid w:val="0004043D"/>
    <w:rsid w:val="00052A70"/>
    <w:rsid w:val="000B6D85"/>
    <w:rsid w:val="001020AE"/>
    <w:rsid w:val="0010471D"/>
    <w:rsid w:val="00220B2F"/>
    <w:rsid w:val="002401F4"/>
    <w:rsid w:val="00374C66"/>
    <w:rsid w:val="0041205A"/>
    <w:rsid w:val="00450711"/>
    <w:rsid w:val="004C2E1C"/>
    <w:rsid w:val="004D79E6"/>
    <w:rsid w:val="004E0975"/>
    <w:rsid w:val="004E3176"/>
    <w:rsid w:val="00586901"/>
    <w:rsid w:val="00586A5F"/>
    <w:rsid w:val="00613F18"/>
    <w:rsid w:val="00691FB0"/>
    <w:rsid w:val="00740B67"/>
    <w:rsid w:val="00752CBC"/>
    <w:rsid w:val="007A517B"/>
    <w:rsid w:val="00873813"/>
    <w:rsid w:val="0094206C"/>
    <w:rsid w:val="00AB1C18"/>
    <w:rsid w:val="00C30F71"/>
    <w:rsid w:val="00C8232B"/>
    <w:rsid w:val="00CB29CD"/>
    <w:rsid w:val="00EF587D"/>
    <w:rsid w:val="00F54EDE"/>
    <w:rsid w:val="00FC5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0711"/>
  </w:style>
  <w:style w:type="paragraph" w:styleId="Nadpis1">
    <w:name w:val="heading 1"/>
    <w:basedOn w:val="Nadpis2"/>
    <w:next w:val="Normln"/>
    <w:link w:val="Nadpis1Char"/>
    <w:uiPriority w:val="9"/>
    <w:qFormat/>
    <w:rsid w:val="001020AE"/>
    <w:pPr>
      <w:numPr>
        <w:numId w:val="6"/>
      </w:numPr>
      <w:spacing w:before="120" w:after="120" w:line="240" w:lineRule="auto"/>
      <w:jc w:val="both"/>
      <w:outlineLvl w:val="0"/>
    </w:pPr>
    <w:rPr>
      <w:rFonts w:ascii="Arial" w:hAnsi="Arial"/>
      <w:bCs w:val="0"/>
      <w:iCs/>
      <w:color w:val="000000" w:themeColor="text1"/>
      <w:sz w:val="24"/>
      <w:szCs w:val="28"/>
      <w:lang w:eastAsia="cs-CZ"/>
    </w:rPr>
  </w:style>
  <w:style w:type="paragraph" w:styleId="Nadpis2">
    <w:name w:val="heading 2"/>
    <w:basedOn w:val="Normln"/>
    <w:next w:val="Normln"/>
    <w:link w:val="Nadpis2Char"/>
    <w:uiPriority w:val="9"/>
    <w:semiHidden/>
    <w:unhideWhenUsed/>
    <w:qFormat/>
    <w:rsid w:val="001020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450711"/>
    <w:rPr>
      <w:b/>
      <w:bCs/>
    </w:rPr>
  </w:style>
  <w:style w:type="character" w:styleId="Hypertextovodkaz">
    <w:name w:val="Hyperlink"/>
    <w:basedOn w:val="Standardnpsmoodstavce"/>
    <w:uiPriority w:val="99"/>
    <w:unhideWhenUsed/>
    <w:rsid w:val="0041205A"/>
    <w:rPr>
      <w:color w:val="0000FF" w:themeColor="hyperlink"/>
      <w:u w:val="single"/>
    </w:rPr>
  </w:style>
  <w:style w:type="character" w:styleId="Odkaznakoment">
    <w:name w:val="annotation reference"/>
    <w:basedOn w:val="Standardnpsmoodstavce"/>
    <w:uiPriority w:val="99"/>
    <w:semiHidden/>
    <w:unhideWhenUsed/>
    <w:rsid w:val="0041205A"/>
    <w:rPr>
      <w:sz w:val="16"/>
      <w:szCs w:val="16"/>
    </w:rPr>
  </w:style>
  <w:style w:type="paragraph" w:styleId="Textkomente">
    <w:name w:val="annotation text"/>
    <w:basedOn w:val="Normln"/>
    <w:link w:val="TextkomenteChar"/>
    <w:uiPriority w:val="99"/>
    <w:semiHidden/>
    <w:unhideWhenUsed/>
    <w:rsid w:val="0041205A"/>
    <w:pPr>
      <w:spacing w:line="240" w:lineRule="auto"/>
    </w:pPr>
    <w:rPr>
      <w:sz w:val="20"/>
      <w:szCs w:val="20"/>
    </w:rPr>
  </w:style>
  <w:style w:type="character" w:customStyle="1" w:styleId="TextkomenteChar">
    <w:name w:val="Text komentáře Char"/>
    <w:basedOn w:val="Standardnpsmoodstavce"/>
    <w:link w:val="Textkomente"/>
    <w:uiPriority w:val="99"/>
    <w:semiHidden/>
    <w:rsid w:val="0041205A"/>
    <w:rPr>
      <w:sz w:val="20"/>
      <w:szCs w:val="20"/>
    </w:rPr>
  </w:style>
  <w:style w:type="paragraph" w:styleId="Pedmtkomente">
    <w:name w:val="annotation subject"/>
    <w:basedOn w:val="Textkomente"/>
    <w:next w:val="Textkomente"/>
    <w:link w:val="PedmtkomenteChar"/>
    <w:uiPriority w:val="99"/>
    <w:semiHidden/>
    <w:unhideWhenUsed/>
    <w:rsid w:val="0041205A"/>
    <w:rPr>
      <w:b/>
      <w:bCs/>
    </w:rPr>
  </w:style>
  <w:style w:type="character" w:customStyle="1" w:styleId="PedmtkomenteChar">
    <w:name w:val="Předmět komentáře Char"/>
    <w:basedOn w:val="TextkomenteChar"/>
    <w:link w:val="Pedmtkomente"/>
    <w:uiPriority w:val="99"/>
    <w:semiHidden/>
    <w:rsid w:val="0041205A"/>
    <w:rPr>
      <w:b/>
      <w:bCs/>
      <w:sz w:val="20"/>
      <w:szCs w:val="20"/>
    </w:rPr>
  </w:style>
  <w:style w:type="paragraph" w:styleId="Textbubliny">
    <w:name w:val="Balloon Text"/>
    <w:basedOn w:val="Normln"/>
    <w:link w:val="TextbublinyChar"/>
    <w:uiPriority w:val="99"/>
    <w:semiHidden/>
    <w:unhideWhenUsed/>
    <w:rsid w:val="004120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205A"/>
    <w:rPr>
      <w:rFonts w:ascii="Tahoma" w:hAnsi="Tahoma" w:cs="Tahoma"/>
      <w:sz w:val="16"/>
      <w:szCs w:val="16"/>
    </w:rPr>
  </w:style>
  <w:style w:type="paragraph" w:styleId="Odstavecseseznamem">
    <w:name w:val="List Paragraph"/>
    <w:aliases w:val="Odstavec_muj,Nad"/>
    <w:basedOn w:val="Normln"/>
    <w:link w:val="OdstavecseseznamemChar"/>
    <w:uiPriority w:val="34"/>
    <w:qFormat/>
    <w:rsid w:val="0004043D"/>
    <w:pPr>
      <w:ind w:left="720"/>
      <w:contextualSpacing/>
    </w:pPr>
  </w:style>
  <w:style w:type="paragraph" w:styleId="Zhlav">
    <w:name w:val="header"/>
    <w:basedOn w:val="Normln"/>
    <w:link w:val="ZhlavChar"/>
    <w:uiPriority w:val="99"/>
    <w:unhideWhenUsed/>
    <w:rsid w:val="004E31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3176"/>
  </w:style>
  <w:style w:type="paragraph" w:styleId="Zpat">
    <w:name w:val="footer"/>
    <w:basedOn w:val="Normln"/>
    <w:link w:val="ZpatChar"/>
    <w:uiPriority w:val="99"/>
    <w:unhideWhenUsed/>
    <w:rsid w:val="004E3176"/>
    <w:pPr>
      <w:tabs>
        <w:tab w:val="center" w:pos="4536"/>
        <w:tab w:val="right" w:pos="9072"/>
      </w:tabs>
      <w:spacing w:after="0" w:line="240" w:lineRule="auto"/>
    </w:pPr>
  </w:style>
  <w:style w:type="character" w:customStyle="1" w:styleId="ZpatChar">
    <w:name w:val="Zápatí Char"/>
    <w:basedOn w:val="Standardnpsmoodstavce"/>
    <w:link w:val="Zpat"/>
    <w:uiPriority w:val="99"/>
    <w:rsid w:val="004E3176"/>
  </w:style>
  <w:style w:type="character" w:customStyle="1" w:styleId="Nadpis1Char">
    <w:name w:val="Nadpis 1 Char"/>
    <w:basedOn w:val="Standardnpsmoodstavce"/>
    <w:link w:val="Nadpis1"/>
    <w:uiPriority w:val="9"/>
    <w:rsid w:val="001020AE"/>
    <w:rPr>
      <w:rFonts w:ascii="Arial" w:eastAsiaTheme="majorEastAsia" w:hAnsi="Arial" w:cstheme="majorBidi"/>
      <w:b/>
      <w:iCs/>
      <w:color w:val="000000" w:themeColor="text1"/>
      <w:sz w:val="24"/>
      <w:szCs w:val="28"/>
      <w:lang w:eastAsia="cs-CZ"/>
    </w:rPr>
  </w:style>
  <w:style w:type="paragraph" w:styleId="Zkladntext">
    <w:name w:val="Body Text"/>
    <w:basedOn w:val="Normln"/>
    <w:link w:val="ZkladntextChar"/>
    <w:uiPriority w:val="99"/>
    <w:semiHidden/>
    <w:unhideWhenUsed/>
    <w:rsid w:val="001020AE"/>
    <w:pPr>
      <w:spacing w:after="12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uiPriority w:val="99"/>
    <w:semiHidden/>
    <w:rsid w:val="001020AE"/>
    <w:rPr>
      <w:rFonts w:ascii="Arial" w:eastAsia="Times New Roman" w:hAnsi="Arial" w:cs="Times New Roman"/>
      <w:sz w:val="20"/>
      <w:szCs w:val="24"/>
      <w:lang w:eastAsia="cs-CZ"/>
    </w:rPr>
  </w:style>
  <w:style w:type="character" w:customStyle="1" w:styleId="OdstavecseseznamemChar">
    <w:name w:val="Odstavec se seznamem Char"/>
    <w:aliases w:val="Odstavec_muj Char,Nad Char"/>
    <w:basedOn w:val="Standardnpsmoodstavce"/>
    <w:link w:val="Odstavecseseznamem"/>
    <w:uiPriority w:val="34"/>
    <w:locked/>
    <w:rsid w:val="001020AE"/>
  </w:style>
  <w:style w:type="paragraph" w:customStyle="1" w:styleId="Nadpis3">
    <w:name w:val="Nadpis3"/>
    <w:basedOn w:val="Nadpis1"/>
    <w:qFormat/>
    <w:rsid w:val="001020AE"/>
    <w:pPr>
      <w:numPr>
        <w:ilvl w:val="2"/>
      </w:numPr>
      <w:tabs>
        <w:tab w:val="num" w:pos="360"/>
      </w:tabs>
      <w:ind w:left="2160" w:hanging="360"/>
    </w:pPr>
    <w:rPr>
      <w:sz w:val="22"/>
    </w:rPr>
  </w:style>
  <w:style w:type="paragraph" w:customStyle="1" w:styleId="Nadpis4">
    <w:name w:val="Nadpis4"/>
    <w:basedOn w:val="Nadpis1"/>
    <w:qFormat/>
    <w:rsid w:val="001020AE"/>
    <w:pPr>
      <w:numPr>
        <w:ilvl w:val="3"/>
      </w:numPr>
      <w:tabs>
        <w:tab w:val="num" w:pos="360"/>
      </w:tabs>
      <w:ind w:left="2880" w:hanging="360"/>
    </w:pPr>
    <w:rPr>
      <w:sz w:val="22"/>
    </w:rPr>
  </w:style>
  <w:style w:type="paragraph" w:customStyle="1" w:styleId="PPNadpis2">
    <w:name w:val="PP Nadpis 2"/>
    <w:basedOn w:val="Nadpis1"/>
    <w:qFormat/>
    <w:rsid w:val="001020AE"/>
    <w:pPr>
      <w:numPr>
        <w:ilvl w:val="1"/>
      </w:numPr>
      <w:tabs>
        <w:tab w:val="num" w:pos="360"/>
      </w:tabs>
      <w:ind w:left="431" w:hanging="431"/>
    </w:pPr>
  </w:style>
  <w:style w:type="character" w:customStyle="1" w:styleId="Styl1Char">
    <w:name w:val="Styl1 Char"/>
    <w:basedOn w:val="OdstavecseseznamemChar"/>
    <w:link w:val="Styl1"/>
    <w:locked/>
    <w:rsid w:val="001020AE"/>
    <w:rPr>
      <w:rFonts w:cs="Arial"/>
      <w:b/>
      <w:bCs/>
    </w:rPr>
  </w:style>
  <w:style w:type="paragraph" w:customStyle="1" w:styleId="Styl1">
    <w:name w:val="Styl1"/>
    <w:basedOn w:val="Odstavecseseznamem"/>
    <w:link w:val="Styl1Char"/>
    <w:qFormat/>
    <w:rsid w:val="001020AE"/>
    <w:pPr>
      <w:overflowPunct w:val="0"/>
      <w:autoSpaceDE w:val="0"/>
      <w:autoSpaceDN w:val="0"/>
      <w:adjustRightInd w:val="0"/>
      <w:spacing w:after="120" w:line="240" w:lineRule="auto"/>
      <w:ind w:left="1224" w:hanging="504"/>
      <w:jc w:val="both"/>
    </w:pPr>
    <w:rPr>
      <w:rFonts w:cs="Arial"/>
      <w:b/>
      <w:bCs/>
    </w:rPr>
  </w:style>
  <w:style w:type="character" w:customStyle="1" w:styleId="Styl2Char">
    <w:name w:val="Styl2 Char"/>
    <w:basedOn w:val="OdstavecseseznamemChar"/>
    <w:link w:val="Styl2"/>
    <w:locked/>
    <w:rsid w:val="001020AE"/>
    <w:rPr>
      <w:rFonts w:cs="Arial"/>
      <w:b/>
      <w:bCs/>
    </w:rPr>
  </w:style>
  <w:style w:type="paragraph" w:customStyle="1" w:styleId="Styl2">
    <w:name w:val="Styl2"/>
    <w:basedOn w:val="Odstavecseseznamem"/>
    <w:link w:val="Styl2Char"/>
    <w:qFormat/>
    <w:rsid w:val="001020AE"/>
    <w:pPr>
      <w:numPr>
        <w:ilvl w:val="2"/>
        <w:numId w:val="7"/>
      </w:numPr>
      <w:overflowPunct w:val="0"/>
      <w:autoSpaceDE w:val="0"/>
      <w:autoSpaceDN w:val="0"/>
      <w:adjustRightInd w:val="0"/>
      <w:spacing w:after="0" w:line="240" w:lineRule="auto"/>
      <w:jc w:val="both"/>
    </w:pPr>
    <w:rPr>
      <w:rFonts w:cs="Arial"/>
      <w:b/>
      <w:bCs/>
    </w:rPr>
  </w:style>
  <w:style w:type="character" w:customStyle="1" w:styleId="Styl5Char">
    <w:name w:val="Styl5 Char"/>
    <w:basedOn w:val="Styl2Char"/>
    <w:link w:val="Styl5"/>
    <w:locked/>
    <w:rsid w:val="001020AE"/>
    <w:rPr>
      <w:rFonts w:cs="Arial"/>
      <w:b/>
      <w:bCs/>
    </w:rPr>
  </w:style>
  <w:style w:type="paragraph" w:customStyle="1" w:styleId="Styl5">
    <w:name w:val="Styl5"/>
    <w:basedOn w:val="Styl2"/>
    <w:link w:val="Styl5Char"/>
    <w:qFormat/>
    <w:rsid w:val="001020AE"/>
    <w:pPr>
      <w:numPr>
        <w:ilvl w:val="3"/>
      </w:numPr>
    </w:pPr>
  </w:style>
  <w:style w:type="character" w:customStyle="1" w:styleId="Nadpis2Char">
    <w:name w:val="Nadpis 2 Char"/>
    <w:basedOn w:val="Standardnpsmoodstavce"/>
    <w:link w:val="Nadpis2"/>
    <w:uiPriority w:val="9"/>
    <w:semiHidden/>
    <w:rsid w:val="001020A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50711"/>
  </w:style>
  <w:style w:type="paragraph" w:styleId="Nadpis1">
    <w:name w:val="heading 1"/>
    <w:basedOn w:val="Nadpis2"/>
    <w:next w:val="Normln"/>
    <w:link w:val="Nadpis1Char"/>
    <w:uiPriority w:val="9"/>
    <w:qFormat/>
    <w:rsid w:val="001020AE"/>
    <w:pPr>
      <w:numPr>
        <w:numId w:val="6"/>
      </w:numPr>
      <w:spacing w:before="120" w:after="120" w:line="240" w:lineRule="auto"/>
      <w:jc w:val="both"/>
      <w:outlineLvl w:val="0"/>
    </w:pPr>
    <w:rPr>
      <w:rFonts w:ascii="Arial" w:hAnsi="Arial"/>
      <w:bCs w:val="0"/>
      <w:iCs/>
      <w:color w:val="000000" w:themeColor="text1"/>
      <w:sz w:val="24"/>
      <w:szCs w:val="28"/>
      <w:lang w:eastAsia="cs-CZ"/>
    </w:rPr>
  </w:style>
  <w:style w:type="paragraph" w:styleId="Nadpis2">
    <w:name w:val="heading 2"/>
    <w:basedOn w:val="Normln"/>
    <w:next w:val="Normln"/>
    <w:link w:val="Nadpis2Char"/>
    <w:uiPriority w:val="9"/>
    <w:semiHidden/>
    <w:unhideWhenUsed/>
    <w:qFormat/>
    <w:rsid w:val="001020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450711"/>
    <w:rPr>
      <w:b/>
      <w:bCs/>
    </w:rPr>
  </w:style>
  <w:style w:type="character" w:styleId="Hypertextovodkaz">
    <w:name w:val="Hyperlink"/>
    <w:basedOn w:val="Standardnpsmoodstavce"/>
    <w:uiPriority w:val="99"/>
    <w:unhideWhenUsed/>
    <w:rsid w:val="0041205A"/>
    <w:rPr>
      <w:color w:val="0000FF" w:themeColor="hyperlink"/>
      <w:u w:val="single"/>
    </w:rPr>
  </w:style>
  <w:style w:type="character" w:styleId="Odkaznakoment">
    <w:name w:val="annotation reference"/>
    <w:basedOn w:val="Standardnpsmoodstavce"/>
    <w:uiPriority w:val="99"/>
    <w:semiHidden/>
    <w:unhideWhenUsed/>
    <w:rsid w:val="0041205A"/>
    <w:rPr>
      <w:sz w:val="16"/>
      <w:szCs w:val="16"/>
    </w:rPr>
  </w:style>
  <w:style w:type="paragraph" w:styleId="Textkomente">
    <w:name w:val="annotation text"/>
    <w:basedOn w:val="Normln"/>
    <w:link w:val="TextkomenteChar"/>
    <w:uiPriority w:val="99"/>
    <w:semiHidden/>
    <w:unhideWhenUsed/>
    <w:rsid w:val="0041205A"/>
    <w:pPr>
      <w:spacing w:line="240" w:lineRule="auto"/>
    </w:pPr>
    <w:rPr>
      <w:sz w:val="20"/>
      <w:szCs w:val="20"/>
    </w:rPr>
  </w:style>
  <w:style w:type="character" w:customStyle="1" w:styleId="TextkomenteChar">
    <w:name w:val="Text komentáře Char"/>
    <w:basedOn w:val="Standardnpsmoodstavce"/>
    <w:link w:val="Textkomente"/>
    <w:uiPriority w:val="99"/>
    <w:semiHidden/>
    <w:rsid w:val="0041205A"/>
    <w:rPr>
      <w:sz w:val="20"/>
      <w:szCs w:val="20"/>
    </w:rPr>
  </w:style>
  <w:style w:type="paragraph" w:styleId="Pedmtkomente">
    <w:name w:val="annotation subject"/>
    <w:basedOn w:val="Textkomente"/>
    <w:next w:val="Textkomente"/>
    <w:link w:val="PedmtkomenteChar"/>
    <w:uiPriority w:val="99"/>
    <w:semiHidden/>
    <w:unhideWhenUsed/>
    <w:rsid w:val="0041205A"/>
    <w:rPr>
      <w:b/>
      <w:bCs/>
    </w:rPr>
  </w:style>
  <w:style w:type="character" w:customStyle="1" w:styleId="PedmtkomenteChar">
    <w:name w:val="Předmět komentáře Char"/>
    <w:basedOn w:val="TextkomenteChar"/>
    <w:link w:val="Pedmtkomente"/>
    <w:uiPriority w:val="99"/>
    <w:semiHidden/>
    <w:rsid w:val="0041205A"/>
    <w:rPr>
      <w:b/>
      <w:bCs/>
      <w:sz w:val="20"/>
      <w:szCs w:val="20"/>
    </w:rPr>
  </w:style>
  <w:style w:type="paragraph" w:styleId="Textbubliny">
    <w:name w:val="Balloon Text"/>
    <w:basedOn w:val="Normln"/>
    <w:link w:val="TextbublinyChar"/>
    <w:uiPriority w:val="99"/>
    <w:semiHidden/>
    <w:unhideWhenUsed/>
    <w:rsid w:val="0041205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205A"/>
    <w:rPr>
      <w:rFonts w:ascii="Tahoma" w:hAnsi="Tahoma" w:cs="Tahoma"/>
      <w:sz w:val="16"/>
      <w:szCs w:val="16"/>
    </w:rPr>
  </w:style>
  <w:style w:type="paragraph" w:styleId="Odstavecseseznamem">
    <w:name w:val="List Paragraph"/>
    <w:aliases w:val="Odstavec_muj,Nad"/>
    <w:basedOn w:val="Normln"/>
    <w:link w:val="OdstavecseseznamemChar"/>
    <w:uiPriority w:val="34"/>
    <w:qFormat/>
    <w:rsid w:val="0004043D"/>
    <w:pPr>
      <w:ind w:left="720"/>
      <w:contextualSpacing/>
    </w:pPr>
  </w:style>
  <w:style w:type="paragraph" w:styleId="Zhlav">
    <w:name w:val="header"/>
    <w:basedOn w:val="Normln"/>
    <w:link w:val="ZhlavChar"/>
    <w:uiPriority w:val="99"/>
    <w:unhideWhenUsed/>
    <w:rsid w:val="004E317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E3176"/>
  </w:style>
  <w:style w:type="paragraph" w:styleId="Zpat">
    <w:name w:val="footer"/>
    <w:basedOn w:val="Normln"/>
    <w:link w:val="ZpatChar"/>
    <w:uiPriority w:val="99"/>
    <w:unhideWhenUsed/>
    <w:rsid w:val="004E3176"/>
    <w:pPr>
      <w:tabs>
        <w:tab w:val="center" w:pos="4536"/>
        <w:tab w:val="right" w:pos="9072"/>
      </w:tabs>
      <w:spacing w:after="0" w:line="240" w:lineRule="auto"/>
    </w:pPr>
  </w:style>
  <w:style w:type="character" w:customStyle="1" w:styleId="ZpatChar">
    <w:name w:val="Zápatí Char"/>
    <w:basedOn w:val="Standardnpsmoodstavce"/>
    <w:link w:val="Zpat"/>
    <w:uiPriority w:val="99"/>
    <w:rsid w:val="004E3176"/>
  </w:style>
  <w:style w:type="character" w:customStyle="1" w:styleId="Nadpis1Char">
    <w:name w:val="Nadpis 1 Char"/>
    <w:basedOn w:val="Standardnpsmoodstavce"/>
    <w:link w:val="Nadpis1"/>
    <w:uiPriority w:val="9"/>
    <w:rsid w:val="001020AE"/>
    <w:rPr>
      <w:rFonts w:ascii="Arial" w:eastAsiaTheme="majorEastAsia" w:hAnsi="Arial" w:cstheme="majorBidi"/>
      <w:b/>
      <w:iCs/>
      <w:color w:val="000000" w:themeColor="text1"/>
      <w:sz w:val="24"/>
      <w:szCs w:val="28"/>
      <w:lang w:eastAsia="cs-CZ"/>
    </w:rPr>
  </w:style>
  <w:style w:type="paragraph" w:styleId="Zkladntext">
    <w:name w:val="Body Text"/>
    <w:basedOn w:val="Normln"/>
    <w:link w:val="ZkladntextChar"/>
    <w:uiPriority w:val="99"/>
    <w:semiHidden/>
    <w:unhideWhenUsed/>
    <w:rsid w:val="001020AE"/>
    <w:pPr>
      <w:spacing w:after="120" w:line="240" w:lineRule="auto"/>
      <w:jc w:val="both"/>
    </w:pPr>
    <w:rPr>
      <w:rFonts w:ascii="Arial" w:eastAsia="Times New Roman" w:hAnsi="Arial" w:cs="Times New Roman"/>
      <w:sz w:val="20"/>
      <w:szCs w:val="24"/>
      <w:lang w:eastAsia="cs-CZ"/>
    </w:rPr>
  </w:style>
  <w:style w:type="character" w:customStyle="1" w:styleId="ZkladntextChar">
    <w:name w:val="Základní text Char"/>
    <w:basedOn w:val="Standardnpsmoodstavce"/>
    <w:link w:val="Zkladntext"/>
    <w:uiPriority w:val="99"/>
    <w:semiHidden/>
    <w:rsid w:val="001020AE"/>
    <w:rPr>
      <w:rFonts w:ascii="Arial" w:eastAsia="Times New Roman" w:hAnsi="Arial" w:cs="Times New Roman"/>
      <w:sz w:val="20"/>
      <w:szCs w:val="24"/>
      <w:lang w:eastAsia="cs-CZ"/>
    </w:rPr>
  </w:style>
  <w:style w:type="character" w:customStyle="1" w:styleId="OdstavecseseznamemChar">
    <w:name w:val="Odstavec se seznamem Char"/>
    <w:aliases w:val="Odstavec_muj Char,Nad Char"/>
    <w:basedOn w:val="Standardnpsmoodstavce"/>
    <w:link w:val="Odstavecseseznamem"/>
    <w:uiPriority w:val="34"/>
    <w:locked/>
    <w:rsid w:val="001020AE"/>
  </w:style>
  <w:style w:type="paragraph" w:customStyle="1" w:styleId="Nadpis3">
    <w:name w:val="Nadpis3"/>
    <w:basedOn w:val="Nadpis1"/>
    <w:qFormat/>
    <w:rsid w:val="001020AE"/>
    <w:pPr>
      <w:numPr>
        <w:ilvl w:val="2"/>
      </w:numPr>
      <w:tabs>
        <w:tab w:val="num" w:pos="360"/>
      </w:tabs>
      <w:ind w:left="2160" w:hanging="360"/>
    </w:pPr>
    <w:rPr>
      <w:sz w:val="22"/>
    </w:rPr>
  </w:style>
  <w:style w:type="paragraph" w:customStyle="1" w:styleId="Nadpis4">
    <w:name w:val="Nadpis4"/>
    <w:basedOn w:val="Nadpis1"/>
    <w:qFormat/>
    <w:rsid w:val="001020AE"/>
    <w:pPr>
      <w:numPr>
        <w:ilvl w:val="3"/>
      </w:numPr>
      <w:tabs>
        <w:tab w:val="num" w:pos="360"/>
      </w:tabs>
      <w:ind w:left="2880" w:hanging="360"/>
    </w:pPr>
    <w:rPr>
      <w:sz w:val="22"/>
    </w:rPr>
  </w:style>
  <w:style w:type="paragraph" w:customStyle="1" w:styleId="PPNadpis2">
    <w:name w:val="PP Nadpis 2"/>
    <w:basedOn w:val="Nadpis1"/>
    <w:qFormat/>
    <w:rsid w:val="001020AE"/>
    <w:pPr>
      <w:numPr>
        <w:ilvl w:val="1"/>
      </w:numPr>
      <w:tabs>
        <w:tab w:val="num" w:pos="360"/>
      </w:tabs>
      <w:ind w:left="431" w:hanging="431"/>
    </w:pPr>
  </w:style>
  <w:style w:type="character" w:customStyle="1" w:styleId="Styl1Char">
    <w:name w:val="Styl1 Char"/>
    <w:basedOn w:val="OdstavecseseznamemChar"/>
    <w:link w:val="Styl1"/>
    <w:locked/>
    <w:rsid w:val="001020AE"/>
    <w:rPr>
      <w:rFonts w:cs="Arial"/>
      <w:b/>
      <w:bCs/>
    </w:rPr>
  </w:style>
  <w:style w:type="paragraph" w:customStyle="1" w:styleId="Styl1">
    <w:name w:val="Styl1"/>
    <w:basedOn w:val="Odstavecseseznamem"/>
    <w:link w:val="Styl1Char"/>
    <w:qFormat/>
    <w:rsid w:val="001020AE"/>
    <w:pPr>
      <w:overflowPunct w:val="0"/>
      <w:autoSpaceDE w:val="0"/>
      <w:autoSpaceDN w:val="0"/>
      <w:adjustRightInd w:val="0"/>
      <w:spacing w:after="120" w:line="240" w:lineRule="auto"/>
      <w:ind w:left="1224" w:hanging="504"/>
      <w:jc w:val="both"/>
    </w:pPr>
    <w:rPr>
      <w:rFonts w:cs="Arial"/>
      <w:b/>
      <w:bCs/>
    </w:rPr>
  </w:style>
  <w:style w:type="character" w:customStyle="1" w:styleId="Styl2Char">
    <w:name w:val="Styl2 Char"/>
    <w:basedOn w:val="OdstavecseseznamemChar"/>
    <w:link w:val="Styl2"/>
    <w:locked/>
    <w:rsid w:val="001020AE"/>
    <w:rPr>
      <w:rFonts w:cs="Arial"/>
      <w:b/>
      <w:bCs/>
    </w:rPr>
  </w:style>
  <w:style w:type="paragraph" w:customStyle="1" w:styleId="Styl2">
    <w:name w:val="Styl2"/>
    <w:basedOn w:val="Odstavecseseznamem"/>
    <w:link w:val="Styl2Char"/>
    <w:qFormat/>
    <w:rsid w:val="001020AE"/>
    <w:pPr>
      <w:numPr>
        <w:ilvl w:val="2"/>
        <w:numId w:val="7"/>
      </w:numPr>
      <w:overflowPunct w:val="0"/>
      <w:autoSpaceDE w:val="0"/>
      <w:autoSpaceDN w:val="0"/>
      <w:adjustRightInd w:val="0"/>
      <w:spacing w:after="0" w:line="240" w:lineRule="auto"/>
      <w:jc w:val="both"/>
    </w:pPr>
    <w:rPr>
      <w:rFonts w:cs="Arial"/>
      <w:b/>
      <w:bCs/>
    </w:rPr>
  </w:style>
  <w:style w:type="character" w:customStyle="1" w:styleId="Styl5Char">
    <w:name w:val="Styl5 Char"/>
    <w:basedOn w:val="Styl2Char"/>
    <w:link w:val="Styl5"/>
    <w:locked/>
    <w:rsid w:val="001020AE"/>
    <w:rPr>
      <w:rFonts w:cs="Arial"/>
      <w:b/>
      <w:bCs/>
    </w:rPr>
  </w:style>
  <w:style w:type="paragraph" w:customStyle="1" w:styleId="Styl5">
    <w:name w:val="Styl5"/>
    <w:basedOn w:val="Styl2"/>
    <w:link w:val="Styl5Char"/>
    <w:qFormat/>
    <w:rsid w:val="001020AE"/>
    <w:pPr>
      <w:numPr>
        <w:ilvl w:val="3"/>
      </w:numPr>
    </w:pPr>
  </w:style>
  <w:style w:type="character" w:customStyle="1" w:styleId="Nadpis2Char">
    <w:name w:val="Nadpis 2 Char"/>
    <w:basedOn w:val="Standardnpsmoodstavce"/>
    <w:link w:val="Nadpis2"/>
    <w:uiPriority w:val="9"/>
    <w:semiHidden/>
    <w:rsid w:val="001020A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81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1275</Words>
  <Characters>7528</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Bořkovcová Nina (MHMP)</dc:creator>
  <cp:lastModifiedBy>Fuka Tereza (MHMP, FON)</cp:lastModifiedBy>
  <cp:revision>11</cp:revision>
  <dcterms:created xsi:type="dcterms:W3CDTF">2015-11-26T16:19:00Z</dcterms:created>
  <dcterms:modified xsi:type="dcterms:W3CDTF">2016-01-04T14:38:00Z</dcterms:modified>
</cp:coreProperties>
</file>