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2A" w:rsidRPr="00571855" w:rsidRDefault="0086352A" w:rsidP="0086352A">
      <w:pPr>
        <w:pStyle w:val="Zhlav"/>
        <w:rPr>
          <w:rStyle w:val="Nadpis1Char"/>
        </w:rPr>
      </w:pPr>
      <w:bookmarkStart w:id="0" w:name="_Toc529884937"/>
      <w:bookmarkStart w:id="1" w:name="_Toc532805538"/>
      <w:bookmarkStart w:id="2" w:name="_GoBack"/>
      <w:bookmarkEnd w:id="2"/>
      <w:r w:rsidRPr="00571855">
        <w:rPr>
          <w:rStyle w:val="Nadpis1Char"/>
        </w:rPr>
        <w:t>Čestné prohlášení žadatele o splnění podmínek týkajících se podniků v obtížích</w:t>
      </w:r>
      <w:bookmarkEnd w:id="0"/>
      <w:bookmarkEnd w:id="1"/>
    </w:p>
    <w:p w:rsidR="0086352A" w:rsidRPr="00D15A14" w:rsidRDefault="0086352A" w:rsidP="0086352A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6197"/>
      </w:tblGrid>
      <w:tr w:rsidR="0086352A" w:rsidRPr="00EB4367" w:rsidTr="00AF055F">
        <w:trPr>
          <w:trHeight w:val="526"/>
        </w:trPr>
        <w:tc>
          <w:tcPr>
            <w:tcW w:w="2943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B4367">
              <w:rPr>
                <w:rFonts w:cs="Arial"/>
                <w:b/>
                <w:bCs/>
              </w:rPr>
              <w:t>Název projektu / Registrační číslo projektu</w:t>
            </w:r>
            <w:r w:rsidRPr="00EB4367">
              <w:rPr>
                <w:rStyle w:val="Znakapoznpodarou"/>
                <w:rFonts w:cs="Arial"/>
                <w:b/>
                <w:bCs/>
              </w:rPr>
              <w:footnoteReference w:id="1"/>
            </w:r>
            <w:r w:rsidRPr="00EB4367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495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6352A" w:rsidRPr="00EB4367" w:rsidTr="00AF055F">
        <w:trPr>
          <w:trHeight w:val="635"/>
        </w:trPr>
        <w:tc>
          <w:tcPr>
            <w:tcW w:w="2943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Název subjektu / Jméno žadatele o podporu</w:t>
            </w:r>
          </w:p>
        </w:tc>
        <w:tc>
          <w:tcPr>
            <w:tcW w:w="6495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6352A" w:rsidRPr="00EB4367" w:rsidTr="00AF055F">
        <w:trPr>
          <w:trHeight w:val="460"/>
        </w:trPr>
        <w:tc>
          <w:tcPr>
            <w:tcW w:w="2943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6352A" w:rsidRPr="00EB4367" w:rsidTr="00AF055F">
        <w:trPr>
          <w:trHeight w:val="460"/>
        </w:trPr>
        <w:tc>
          <w:tcPr>
            <w:tcW w:w="2943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EB4367">
              <w:rPr>
                <w:rFonts w:cs="Arial"/>
                <w:b/>
                <w:bCs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  <w:tr w:rsidR="0086352A" w:rsidRPr="00EB4367" w:rsidTr="00AF055F">
        <w:trPr>
          <w:trHeight w:val="460"/>
        </w:trPr>
        <w:tc>
          <w:tcPr>
            <w:tcW w:w="2943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B4367">
              <w:rPr>
                <w:rFonts w:cs="Arial"/>
                <w:b/>
                <w:bCs/>
              </w:rPr>
              <w:t>Statutární zástupce, příp. jiná osoba oprávněná jednat</w:t>
            </w:r>
          </w:p>
        </w:tc>
        <w:tc>
          <w:tcPr>
            <w:tcW w:w="6495" w:type="dxa"/>
            <w:vAlign w:val="center"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:rsidR="0086352A" w:rsidRDefault="0086352A" w:rsidP="0086352A">
      <w:pPr>
        <w:autoSpaceDE w:val="0"/>
        <w:autoSpaceDN w:val="0"/>
        <w:adjustRightInd w:val="0"/>
        <w:rPr>
          <w:rFonts w:cs="Arial"/>
          <w:b/>
        </w:rPr>
      </w:pPr>
    </w:p>
    <w:p w:rsidR="0086352A" w:rsidRDefault="0086352A" w:rsidP="0086352A">
      <w:pPr>
        <w:pStyle w:val="Odstavecseseznamem"/>
        <w:autoSpaceDE w:val="0"/>
        <w:autoSpaceDN w:val="0"/>
        <w:adjustRightInd w:val="0"/>
        <w:ind w:left="0"/>
        <w:rPr>
          <w:rFonts w:cs="Arial"/>
        </w:rPr>
      </w:pPr>
      <w:r w:rsidRPr="00173ED9">
        <w:rPr>
          <w:rFonts w:cs="Arial"/>
        </w:rPr>
        <w:t xml:space="preserve">Žadatel </w:t>
      </w:r>
      <w:r w:rsidRPr="00173ED9">
        <w:rPr>
          <w:rFonts w:cs="Arial"/>
          <w:b/>
        </w:rPr>
        <w:t>prohlašuje, že není podnikem v obtížích</w:t>
      </w:r>
      <w:r>
        <w:rPr>
          <w:rFonts w:cs="Arial"/>
        </w:rPr>
        <w:t xml:space="preserve"> ve smyslu čl. 2, odst. 18 Nařízení Komise (EU) </w:t>
      </w:r>
      <w:r w:rsidRPr="00DF0C63">
        <w:rPr>
          <w:rFonts w:cs="Arial"/>
        </w:rPr>
        <w:t>č. 651/2014</w:t>
      </w:r>
      <w:r>
        <w:rPr>
          <w:rFonts w:cs="Arial"/>
        </w:rPr>
        <w:t>,</w:t>
      </w:r>
      <w:r w:rsidRPr="00DF0C63">
        <w:rPr>
          <w:rFonts w:cs="Arial"/>
        </w:rPr>
        <w:t xml:space="preserve"> kterým se v souladu s články 107 a 108 Smlouvy prohlašují určité kategorie podpory za slučitelné s vnitřním trhem</w:t>
      </w:r>
      <w:r>
        <w:rPr>
          <w:rFonts w:cs="Arial"/>
        </w:rPr>
        <w:t>.</w:t>
      </w:r>
    </w:p>
    <w:p w:rsidR="0086352A" w:rsidRDefault="0086352A" w:rsidP="0086352A">
      <w:pPr>
        <w:pStyle w:val="Odstavecseseznamem"/>
        <w:autoSpaceDE w:val="0"/>
        <w:autoSpaceDN w:val="0"/>
        <w:adjustRightInd w:val="0"/>
        <w:ind w:left="0"/>
        <w:rPr>
          <w:rFonts w:cs="Arial"/>
        </w:rPr>
      </w:pPr>
    </w:p>
    <w:p w:rsidR="0086352A" w:rsidRDefault="0086352A" w:rsidP="0086352A">
      <w:pPr>
        <w:pStyle w:val="Odstavecseseznamem"/>
        <w:autoSpaceDE w:val="0"/>
        <w:autoSpaceDN w:val="0"/>
        <w:adjustRightInd w:val="0"/>
        <w:ind w:left="0"/>
        <w:rPr>
          <w:rFonts w:cs="Arial"/>
        </w:rPr>
      </w:pPr>
    </w:p>
    <w:p w:rsidR="0086352A" w:rsidRDefault="0086352A" w:rsidP="0086352A">
      <w:pPr>
        <w:pStyle w:val="Odstavecseseznamem"/>
        <w:autoSpaceDE w:val="0"/>
        <w:autoSpaceDN w:val="0"/>
        <w:adjustRightInd w:val="0"/>
        <w:ind w:left="0"/>
        <w:rPr>
          <w:rFonts w:cs="Arial"/>
        </w:rPr>
      </w:pPr>
      <w:r w:rsidRPr="00173ED9">
        <w:rPr>
          <w:rFonts w:cs="Arial"/>
        </w:rPr>
        <w:t>Žadatel tedy</w:t>
      </w:r>
      <w:r w:rsidRPr="00173ED9">
        <w:rPr>
          <w:rFonts w:cs="Arial"/>
          <w:b/>
        </w:rPr>
        <w:t xml:space="preserve"> prohlašuje, že u něj nenastala ani jedna</w:t>
      </w:r>
      <w:r>
        <w:rPr>
          <w:rFonts w:cs="Arial"/>
        </w:rPr>
        <w:t xml:space="preserve"> ze situací uvedených dále pod písmeny a) – e):</w:t>
      </w:r>
    </w:p>
    <w:p w:rsidR="0086352A" w:rsidRDefault="0086352A" w:rsidP="0086352A">
      <w:pPr>
        <w:pStyle w:val="Odstavecseseznamem"/>
        <w:autoSpaceDE w:val="0"/>
        <w:autoSpaceDN w:val="0"/>
        <w:adjustRightInd w:val="0"/>
        <w:ind w:left="0"/>
        <w:rPr>
          <w:rFonts w:cs="Arial"/>
          <w:color w:val="000000"/>
        </w:rPr>
      </w:pPr>
    </w:p>
    <w:p w:rsidR="0086352A" w:rsidRDefault="0086352A" w:rsidP="0086352A">
      <w:pPr>
        <w:pStyle w:val="Odstavecseseznamem"/>
        <w:autoSpaceDE w:val="0"/>
        <w:autoSpaceDN w:val="0"/>
        <w:adjustRightInd w:val="0"/>
        <w:ind w:left="0"/>
        <w:rPr>
          <w:rFonts w:cs="Arial"/>
          <w:color w:val="000000"/>
        </w:rPr>
      </w:pPr>
      <w:r w:rsidRPr="002F0745">
        <w:rPr>
          <w:rFonts w:cs="Arial"/>
          <w:color w:val="000000"/>
        </w:rPr>
        <w:t>a) v případě společnosti s ručením omezen</w:t>
      </w:r>
      <w:r>
        <w:rPr>
          <w:rFonts w:cs="Arial"/>
          <w:color w:val="000000"/>
        </w:rPr>
        <w:t>ým (například</w:t>
      </w:r>
      <w:r w:rsidRPr="002F0745">
        <w:rPr>
          <w:rFonts w:cs="Arial"/>
          <w:color w:val="000000"/>
        </w:rPr>
        <w:t xml:space="preserve"> subjekty s právní formou s.r.o. nebo a.s.) situace, kdy</w:t>
      </w:r>
      <w:r>
        <w:rPr>
          <w:rFonts w:cs="Arial"/>
          <w:color w:val="000000"/>
        </w:rPr>
        <w:t xml:space="preserve"> by</w:t>
      </w:r>
      <w:r w:rsidRPr="002F0745">
        <w:rPr>
          <w:rFonts w:cs="Arial"/>
          <w:color w:val="000000"/>
        </w:rPr>
        <w:t xml:space="preserve"> v důsledku kumulace ztrát došlo ke ztrátě více než poloviny upsaného základního kapitálu. Tento případ nastává, když je výsledek odečtení kumulovaných ztrát od rezerv</w:t>
      </w:r>
      <w:r>
        <w:rPr>
          <w:rFonts w:cs="Arial"/>
          <w:color w:val="000000"/>
        </w:rPr>
        <w:t xml:space="preserve"> </w:t>
      </w:r>
      <w:r w:rsidRPr="002F0745">
        <w:rPr>
          <w:rFonts w:cs="Arial"/>
          <w:color w:val="000000"/>
        </w:rPr>
        <w:t>(a všech dalších prvků, jež se obecně považují za kapitál společnosti) negativní a svou výší překračuje polovinu upsaného základního kapitálu,</w:t>
      </w:r>
    </w:p>
    <w:p w:rsidR="0086352A" w:rsidRPr="00DF0C63" w:rsidRDefault="0086352A" w:rsidP="0086352A">
      <w:pPr>
        <w:pStyle w:val="Odstavecseseznamem"/>
        <w:autoSpaceDE w:val="0"/>
        <w:autoSpaceDN w:val="0"/>
        <w:adjustRightInd w:val="0"/>
        <w:ind w:left="0"/>
        <w:rPr>
          <w:rFonts w:cs="Arial"/>
        </w:rPr>
      </w:pPr>
    </w:p>
    <w:p w:rsidR="0086352A" w:rsidRPr="002F0745" w:rsidRDefault="0086352A" w:rsidP="0086352A">
      <w:pPr>
        <w:autoSpaceDN w:val="0"/>
        <w:spacing w:after="120"/>
        <w:rPr>
          <w:rFonts w:cs="Arial"/>
          <w:color w:val="000000"/>
          <w:szCs w:val="20"/>
        </w:rPr>
      </w:pPr>
      <w:r w:rsidRPr="002F0745">
        <w:rPr>
          <w:rFonts w:cs="Arial"/>
          <w:color w:val="000000"/>
          <w:szCs w:val="20"/>
        </w:rPr>
        <w:t>b) v případě společnosti, v níž alespoň někteří společníci plně ručí za závazky společnos</w:t>
      </w:r>
      <w:r>
        <w:rPr>
          <w:rFonts w:cs="Arial"/>
          <w:color w:val="000000"/>
          <w:szCs w:val="20"/>
        </w:rPr>
        <w:t>ti (například</w:t>
      </w:r>
      <w:r w:rsidRPr="002F0745">
        <w:rPr>
          <w:rFonts w:cs="Arial"/>
          <w:color w:val="000000"/>
          <w:szCs w:val="20"/>
        </w:rPr>
        <w:t xml:space="preserve"> subjekty s formou veřejná obchodní společnost nebo komanditní společnost), situace, kdy</w:t>
      </w:r>
      <w:r>
        <w:rPr>
          <w:rFonts w:cs="Arial"/>
          <w:color w:val="000000"/>
          <w:szCs w:val="20"/>
        </w:rPr>
        <w:t xml:space="preserve"> by</w:t>
      </w:r>
      <w:r w:rsidRPr="002F0745">
        <w:rPr>
          <w:rFonts w:cs="Arial"/>
          <w:color w:val="000000"/>
          <w:szCs w:val="20"/>
        </w:rPr>
        <w:t xml:space="preserve"> v důsledku kumulace ztrát došlo ke ztrátě více než poloviny kapitálu společnosti zaznamenaného v účetnictví této společnosti,</w:t>
      </w:r>
    </w:p>
    <w:p w:rsidR="0086352A" w:rsidRPr="00094E38" w:rsidRDefault="0086352A" w:rsidP="0086352A">
      <w:pPr>
        <w:autoSpaceDN w:val="0"/>
        <w:spacing w:after="120"/>
        <w:rPr>
          <w:rFonts w:cs="Arial"/>
          <w:color w:val="000000"/>
          <w:szCs w:val="20"/>
        </w:rPr>
      </w:pPr>
      <w:r w:rsidRPr="002F0745">
        <w:rPr>
          <w:rFonts w:cs="Arial"/>
          <w:color w:val="000000"/>
          <w:szCs w:val="20"/>
        </w:rPr>
        <w:t>c)</w:t>
      </w:r>
      <w:r>
        <w:rPr>
          <w:rFonts w:cs="Arial"/>
          <w:color w:val="000000"/>
          <w:szCs w:val="20"/>
        </w:rPr>
        <w:t xml:space="preserve"> J</w:t>
      </w:r>
      <w:r w:rsidRPr="00094E38">
        <w:rPr>
          <w:rFonts w:cs="Arial"/>
          <w:color w:val="000000"/>
          <w:szCs w:val="20"/>
        </w:rPr>
        <w:t xml:space="preserve">estliže vůči podniku bylo zahájeno kolektivní úpadkové řízení nebo tento podnik splňuje kritéria vnitrostátního práva pro zahájení kolektivního úpadkového řízení na žádost svých věřitelů. </w:t>
      </w:r>
    </w:p>
    <w:p w:rsidR="0086352A" w:rsidRPr="002F0745" w:rsidRDefault="0086352A" w:rsidP="0086352A">
      <w:pPr>
        <w:autoSpaceDN w:val="0"/>
        <w:spacing w:after="120"/>
        <w:rPr>
          <w:rFonts w:cs="Arial"/>
          <w:color w:val="000000"/>
          <w:szCs w:val="20"/>
        </w:rPr>
      </w:pPr>
      <w:r w:rsidRPr="00094E38">
        <w:rPr>
          <w:rFonts w:cs="Arial"/>
          <w:color w:val="000000"/>
          <w:szCs w:val="20"/>
        </w:rPr>
        <w:t>K naplnění tohoto kritéria dochází, pokud bylo vůči podniku zahájeno insolvenční řízení</w:t>
      </w:r>
      <w:r>
        <w:rPr>
          <w:rFonts w:cs="Arial"/>
          <w:color w:val="000000"/>
          <w:szCs w:val="20"/>
        </w:rPr>
        <w:t xml:space="preserve"> nebo vydání</w:t>
      </w:r>
      <w:r w:rsidRPr="002F0745">
        <w:rPr>
          <w:rFonts w:cs="Arial"/>
          <w:color w:val="000000"/>
          <w:szCs w:val="20"/>
        </w:rPr>
        <w:t xml:space="preserve"> rozhodnutí </w:t>
      </w:r>
      <w:r>
        <w:rPr>
          <w:rFonts w:cs="Arial"/>
          <w:color w:val="000000"/>
          <w:szCs w:val="20"/>
        </w:rPr>
        <w:t>o úpadku ve smyslu</w:t>
      </w:r>
      <w:r w:rsidRPr="002F0745">
        <w:rPr>
          <w:rFonts w:cs="Arial"/>
          <w:color w:val="000000"/>
          <w:szCs w:val="20"/>
        </w:rPr>
        <w:t xml:space="preserve"> zákona č. 182/2006, insolvenční zákon, ve znění pozdějších předpisů,</w:t>
      </w:r>
      <w:r>
        <w:rPr>
          <w:rFonts w:cs="Arial"/>
          <w:color w:val="000000"/>
          <w:szCs w:val="20"/>
        </w:rPr>
        <w:t xml:space="preserve"> vůči podniku žadatele,</w:t>
      </w:r>
    </w:p>
    <w:p w:rsidR="0086352A" w:rsidRPr="002F0745" w:rsidRDefault="0086352A" w:rsidP="0086352A">
      <w:pPr>
        <w:autoSpaceDN w:val="0"/>
        <w:spacing w:after="1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d) situace, kdy by</w:t>
      </w:r>
      <w:r w:rsidRPr="002F0745">
        <w:rPr>
          <w:rFonts w:cs="Arial"/>
          <w:color w:val="000000"/>
          <w:szCs w:val="20"/>
        </w:rPr>
        <w:t xml:space="preserve"> podnik obdržel podporu na záchranu a zatím nesplatil půjčku neb</w:t>
      </w:r>
      <w:r>
        <w:rPr>
          <w:rFonts w:cs="Arial"/>
          <w:color w:val="000000"/>
          <w:szCs w:val="20"/>
        </w:rPr>
        <w:t>o neukončil záruku, nebo kdy by</w:t>
      </w:r>
      <w:r w:rsidRPr="002F0745">
        <w:rPr>
          <w:rFonts w:cs="Arial"/>
          <w:color w:val="000000"/>
          <w:szCs w:val="20"/>
        </w:rPr>
        <w:t xml:space="preserve"> obdržel podporu na restrukturalizaci a stále se na něj uplatňuje plán restrukturalizace, </w:t>
      </w:r>
    </w:p>
    <w:p w:rsidR="0086352A" w:rsidRPr="002F0745" w:rsidRDefault="0086352A" w:rsidP="0086352A">
      <w:pPr>
        <w:autoSpaceDN w:val="0"/>
        <w:spacing w:after="120"/>
        <w:rPr>
          <w:rFonts w:cs="Arial"/>
          <w:color w:val="000000"/>
          <w:szCs w:val="20"/>
        </w:rPr>
      </w:pPr>
      <w:r w:rsidRPr="002F0745">
        <w:rPr>
          <w:rFonts w:cs="Arial"/>
          <w:color w:val="000000"/>
          <w:szCs w:val="20"/>
        </w:rPr>
        <w:t>e) v případě podniku, který není malým nebo středním podnikem,</w:t>
      </w:r>
      <w:r>
        <w:rPr>
          <w:rFonts w:cs="Arial"/>
          <w:color w:val="000000"/>
          <w:szCs w:val="20"/>
        </w:rPr>
        <w:t xml:space="preserve"> situace že by</w:t>
      </w:r>
      <w:r w:rsidRPr="002F0745">
        <w:rPr>
          <w:rFonts w:cs="Arial"/>
          <w:color w:val="000000"/>
          <w:szCs w:val="20"/>
        </w:rPr>
        <w:t xml:space="preserve"> v uplynulých dvou letech: </w:t>
      </w:r>
    </w:p>
    <w:p w:rsidR="0086352A" w:rsidRPr="002F0745" w:rsidRDefault="0086352A" w:rsidP="0086352A">
      <w:pPr>
        <w:autoSpaceDN w:val="0"/>
        <w:spacing w:after="120"/>
        <w:ind w:left="708"/>
        <w:rPr>
          <w:rFonts w:cs="Arial"/>
          <w:color w:val="000000"/>
          <w:szCs w:val="20"/>
        </w:rPr>
      </w:pPr>
      <w:r w:rsidRPr="002F0745">
        <w:rPr>
          <w:rFonts w:cs="Arial"/>
          <w:color w:val="000000"/>
          <w:szCs w:val="20"/>
        </w:rPr>
        <w:t>1) účetní poměr dluhu spo</w:t>
      </w:r>
      <w:r>
        <w:rPr>
          <w:rFonts w:cs="Arial"/>
          <w:color w:val="000000"/>
          <w:szCs w:val="20"/>
        </w:rPr>
        <w:t>lečnosti k vlastnímu kapitálu byl</w:t>
      </w:r>
      <w:r w:rsidRPr="002F0745">
        <w:rPr>
          <w:rFonts w:cs="Arial"/>
          <w:color w:val="000000"/>
          <w:szCs w:val="20"/>
        </w:rPr>
        <w:t xml:space="preserve"> vyšší než 7,5 a současně</w:t>
      </w:r>
    </w:p>
    <w:p w:rsidR="0086352A" w:rsidRDefault="0086352A" w:rsidP="0086352A">
      <w:pPr>
        <w:autoSpaceDN w:val="0"/>
        <w:spacing w:after="120"/>
        <w:ind w:left="708"/>
        <w:rPr>
          <w:rFonts w:cs="Arial"/>
          <w:color w:val="000000"/>
          <w:szCs w:val="20"/>
        </w:rPr>
      </w:pPr>
      <w:r w:rsidRPr="002F0745">
        <w:rPr>
          <w:rFonts w:cs="Arial"/>
          <w:color w:val="000000"/>
          <w:szCs w:val="20"/>
        </w:rPr>
        <w:t>2) poměr úrokového krytí hospodářského výsledku společnosti před úroky, zdaněním a od</w:t>
      </w:r>
      <w:r>
        <w:rPr>
          <w:rFonts w:cs="Arial"/>
          <w:color w:val="000000"/>
          <w:szCs w:val="20"/>
        </w:rPr>
        <w:t>pisy (EBITDA) byl nižší než 1,0.</w:t>
      </w:r>
    </w:p>
    <w:p w:rsidR="0086352A" w:rsidRDefault="0086352A" w:rsidP="0086352A">
      <w:pPr>
        <w:pStyle w:val="Zkladntext"/>
      </w:pPr>
    </w:p>
    <w:p w:rsidR="0086352A" w:rsidRPr="00571855" w:rsidRDefault="0086352A" w:rsidP="0086352A">
      <w:pPr>
        <w:pStyle w:val="Zkladntext"/>
      </w:pPr>
    </w:p>
    <w:p w:rsidR="0086352A" w:rsidRDefault="0086352A" w:rsidP="0086352A">
      <w:pPr>
        <w:pStyle w:val="Odstavecseseznamem"/>
        <w:autoSpaceDE w:val="0"/>
        <w:autoSpaceDN w:val="0"/>
        <w:adjustRightInd w:val="0"/>
        <w:jc w:val="left"/>
        <w:rPr>
          <w:rFonts w:cs="Aria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6352A" w:rsidRPr="00EB4367" w:rsidTr="00AF055F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A" w:rsidRPr="00EB4367" w:rsidRDefault="0086352A" w:rsidP="00AF055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EB4367">
              <w:rPr>
                <w:rFonts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A" w:rsidRPr="00EB4367" w:rsidRDefault="0086352A" w:rsidP="00AF055F">
            <w:pPr>
              <w:rPr>
                <w:rFonts w:cs="Arial"/>
              </w:rPr>
            </w:pPr>
            <w:r w:rsidRPr="00EB4367">
              <w:rPr>
                <w:rFonts w:cs="Arial"/>
                <w:sz w:val="18"/>
                <w:szCs w:val="18"/>
              </w:rPr>
              <w:t> </w:t>
            </w:r>
          </w:p>
          <w:p w:rsidR="0086352A" w:rsidRPr="00EB4367" w:rsidRDefault="0086352A" w:rsidP="00AF055F">
            <w:pPr>
              <w:ind w:firstLineChars="100" w:firstLine="200"/>
              <w:rPr>
                <w:rFonts w:cs="Arial"/>
              </w:rPr>
            </w:pPr>
            <w:r w:rsidRPr="00EB4367">
              <w:rPr>
                <w:rFonts w:cs="Arial"/>
              </w:rPr>
              <w:t> </w:t>
            </w:r>
          </w:p>
        </w:tc>
      </w:tr>
      <w:tr w:rsidR="0086352A" w:rsidRPr="00EB4367" w:rsidTr="00AF055F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A" w:rsidRPr="00EB4367" w:rsidRDefault="0086352A" w:rsidP="00AF055F">
            <w:pPr>
              <w:rPr>
                <w:rFonts w:cs="Arial"/>
                <w:sz w:val="18"/>
                <w:szCs w:val="18"/>
              </w:rPr>
            </w:pPr>
          </w:p>
        </w:tc>
      </w:tr>
      <w:tr w:rsidR="0086352A" w:rsidRPr="00EB4367" w:rsidTr="00AF055F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A" w:rsidRPr="00EB4367" w:rsidRDefault="0086352A" w:rsidP="00AF055F">
            <w:pPr>
              <w:rPr>
                <w:rFonts w:cs="Arial"/>
                <w:sz w:val="18"/>
                <w:szCs w:val="18"/>
              </w:rPr>
            </w:pPr>
            <w:r w:rsidRPr="00EB4367">
              <w:rPr>
                <w:rFonts w:cs="Arial"/>
                <w:b/>
                <w:bCs/>
                <w:sz w:val="18"/>
                <w:szCs w:val="18"/>
              </w:rPr>
              <w:lastRenderedPageBreak/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A" w:rsidRPr="00EB4367" w:rsidRDefault="0086352A" w:rsidP="00AF05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352A" w:rsidRPr="00EB4367" w:rsidRDefault="0086352A" w:rsidP="00AF055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52A" w:rsidRPr="00EB4367" w:rsidRDefault="0086352A" w:rsidP="00AF055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EB4367">
              <w:rPr>
                <w:rFonts w:cs="Arial"/>
                <w:b/>
                <w:bCs/>
                <w:sz w:val="18"/>
                <w:szCs w:val="18"/>
              </w:rPr>
              <w:t>Razítko</w:t>
            </w:r>
            <w:r w:rsidRPr="00EB4367">
              <w:rPr>
                <w:rFonts w:cs="Arial"/>
                <w:sz w:val="18"/>
                <w:szCs w:val="18"/>
              </w:rPr>
              <w:t xml:space="preserve"> </w:t>
            </w:r>
            <w:r w:rsidRPr="00EB4367">
              <w:rPr>
                <w:rFonts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52A" w:rsidRPr="00EB4367" w:rsidRDefault="0086352A" w:rsidP="00AF055F">
            <w:pPr>
              <w:ind w:firstLineChars="100" w:firstLine="200"/>
              <w:rPr>
                <w:rFonts w:cs="Arial"/>
              </w:rPr>
            </w:pPr>
            <w:r w:rsidRPr="00EB4367">
              <w:rPr>
                <w:rFonts w:cs="Arial"/>
              </w:rPr>
              <w:t> </w:t>
            </w:r>
          </w:p>
        </w:tc>
      </w:tr>
    </w:tbl>
    <w:p w:rsidR="0086352A" w:rsidRPr="00083172" w:rsidRDefault="0086352A" w:rsidP="0086352A">
      <w:pPr>
        <w:rPr>
          <w:rFonts w:cs="Arial"/>
        </w:rPr>
      </w:pPr>
    </w:p>
    <w:p w:rsidR="0086352A" w:rsidRDefault="0086352A" w:rsidP="0086352A"/>
    <w:p w:rsidR="0086352A" w:rsidRDefault="0086352A" w:rsidP="0086352A">
      <w:pPr>
        <w:rPr>
          <w:rFonts w:cs="Arial"/>
          <w:szCs w:val="20"/>
          <w:lang w:eastAsia="en-US"/>
        </w:rPr>
      </w:pPr>
    </w:p>
    <w:p w:rsidR="0086352A" w:rsidRDefault="0086352A" w:rsidP="0086352A">
      <w:pPr>
        <w:rPr>
          <w:rFonts w:cs="Arial"/>
          <w:szCs w:val="20"/>
          <w:lang w:eastAsia="en-US"/>
        </w:rPr>
      </w:pPr>
    </w:p>
    <w:p w:rsidR="00822FB3" w:rsidRPr="0086352A" w:rsidRDefault="00822FB3" w:rsidP="0086352A"/>
    <w:sectPr w:rsidR="00822FB3" w:rsidRPr="008635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04" w:rsidRDefault="00A52704" w:rsidP="0086352A">
      <w:r>
        <w:separator/>
      </w:r>
    </w:p>
  </w:endnote>
  <w:endnote w:type="continuationSeparator" w:id="0">
    <w:p w:rsidR="00A52704" w:rsidRDefault="00A52704" w:rsidP="0086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04" w:rsidRDefault="00A52704" w:rsidP="0086352A">
      <w:r>
        <w:separator/>
      </w:r>
    </w:p>
  </w:footnote>
  <w:footnote w:type="continuationSeparator" w:id="0">
    <w:p w:rsidR="00A52704" w:rsidRDefault="00A52704" w:rsidP="0086352A">
      <w:r>
        <w:continuationSeparator/>
      </w:r>
    </w:p>
  </w:footnote>
  <w:footnote w:id="1">
    <w:p w:rsidR="0086352A" w:rsidRPr="00D72615" w:rsidRDefault="0086352A" w:rsidP="008635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54370">
        <w:rPr>
          <w:rFonts w:ascii="Arial" w:hAnsi="Arial" w:cs="Arial"/>
          <w:bCs/>
          <w:sz w:val="18"/>
        </w:rPr>
        <w:t xml:space="preserve">Registrační číslo se vyplňuje </w:t>
      </w:r>
      <w:r>
        <w:rPr>
          <w:rFonts w:ascii="Arial" w:hAnsi="Arial" w:cs="Arial"/>
          <w:bCs/>
          <w:sz w:val="18"/>
        </w:rPr>
        <w:t>v případě, že</w:t>
      </w:r>
      <w:r w:rsidRPr="00D72615">
        <w:rPr>
          <w:rFonts w:ascii="Arial" w:hAnsi="Arial" w:cs="Arial"/>
          <w:bCs/>
          <w:sz w:val="18"/>
        </w:rPr>
        <w:t xml:space="preserve"> žadatel předkládá prohlášení dodatečně.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696"/>
    </w:tblGrid>
    <w:tr w:rsidR="0086352A" w:rsidRPr="000F7C4C" w:rsidTr="00AF055F">
      <w:tc>
        <w:tcPr>
          <w:tcW w:w="4606" w:type="dxa"/>
        </w:tcPr>
        <w:p w:rsidR="0086352A" w:rsidRPr="000F7C4C" w:rsidRDefault="0086352A" w:rsidP="0086352A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0F7C4C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DB22DE7" wp14:editId="7797CA29">
                <wp:extent cx="3273552" cy="655320"/>
                <wp:effectExtent l="0" t="0" r="3175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zahlav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552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86352A" w:rsidRPr="000F7C4C" w:rsidRDefault="0086352A" w:rsidP="0086352A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0F7C4C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15337F88" wp14:editId="73B048F6">
                <wp:extent cx="658495" cy="658495"/>
                <wp:effectExtent l="0" t="0" r="8255" b="8255"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6352A" w:rsidRDefault="008635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FBF"/>
    <w:multiLevelType w:val="multilevel"/>
    <w:tmpl w:val="99E6B89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PP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2A"/>
    <w:rsid w:val="00822FB3"/>
    <w:rsid w:val="0086352A"/>
    <w:rsid w:val="00A5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4CB1-3F51-44E5-A778-4EEA7A26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Zkladntext"/>
    <w:qFormat/>
    <w:rsid w:val="0086352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adpis2"/>
    <w:next w:val="Normln"/>
    <w:link w:val="Nadpis1Char"/>
    <w:qFormat/>
    <w:rsid w:val="0086352A"/>
    <w:pPr>
      <w:numPr>
        <w:numId w:val="1"/>
      </w:numPr>
      <w:spacing w:before="120" w:after="120" w:line="240" w:lineRule="auto"/>
      <w:jc w:val="both"/>
      <w:outlineLvl w:val="0"/>
    </w:pPr>
    <w:rPr>
      <w:rFonts w:ascii="Arial" w:hAnsi="Arial"/>
      <w:b/>
      <w:iCs/>
      <w:color w:val="000000" w:themeColor="text1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352A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86352A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customStyle="1" w:styleId="Nadpis3">
    <w:name w:val="Nadpis3"/>
    <w:basedOn w:val="Nadpis1"/>
    <w:qFormat/>
    <w:rsid w:val="0086352A"/>
    <w:pPr>
      <w:numPr>
        <w:ilvl w:val="2"/>
      </w:numPr>
      <w:tabs>
        <w:tab w:val="num" w:pos="360"/>
      </w:tabs>
    </w:pPr>
    <w:rPr>
      <w:sz w:val="22"/>
    </w:rPr>
  </w:style>
  <w:style w:type="paragraph" w:customStyle="1" w:styleId="Nadpis4">
    <w:name w:val="Nadpis4"/>
    <w:basedOn w:val="Nadpis1"/>
    <w:qFormat/>
    <w:rsid w:val="0086352A"/>
    <w:pPr>
      <w:numPr>
        <w:ilvl w:val="3"/>
      </w:numPr>
      <w:tabs>
        <w:tab w:val="num" w:pos="360"/>
      </w:tabs>
    </w:pPr>
    <w:rPr>
      <w:sz w:val="22"/>
    </w:rPr>
  </w:style>
  <w:style w:type="paragraph" w:customStyle="1" w:styleId="PPNadpis2">
    <w:name w:val="PP Nadpis 2"/>
    <w:basedOn w:val="Nadpis1"/>
    <w:qFormat/>
    <w:rsid w:val="0086352A"/>
    <w:pPr>
      <w:numPr>
        <w:ilvl w:val="1"/>
      </w:numPr>
      <w:tabs>
        <w:tab w:val="num" w:pos="360"/>
      </w:tabs>
    </w:pPr>
    <w:rPr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35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nhideWhenUsed/>
    <w:rsid w:val="008635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6352A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unhideWhenUsed/>
    <w:rsid w:val="0086352A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86352A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86352A"/>
    <w:pPr>
      <w:ind w:left="720"/>
      <w:contextualSpacing/>
    </w:p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rsid w:val="0086352A"/>
    <w:rPr>
      <w:rFonts w:ascii="Arial" w:eastAsia="Times New Roman" w:hAnsi="Arial" w:cs="Times New Roman"/>
      <w:sz w:val="20"/>
      <w:szCs w:val="24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rsid w:val="0086352A"/>
    <w:rPr>
      <w:vertAlign w:val="superscript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Char Char Char1,o,Char,Footnote Text Char1"/>
    <w:basedOn w:val="Normln"/>
    <w:link w:val="TextpoznpodarouChar"/>
    <w:uiPriority w:val="99"/>
    <w:qFormat/>
    <w:rsid w:val="0086352A"/>
    <w:pPr>
      <w:widowControl w:val="0"/>
      <w:suppressLineNumbers/>
      <w:suppressAutoHyphens/>
      <w:ind w:left="283" w:hanging="283"/>
      <w:jc w:val="left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86352A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635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352A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863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Čaban Vít (MHMP, FON)</dc:creator>
  <cp:keywords/>
  <dc:description/>
  <cp:lastModifiedBy>Čaban Vít (MHMP, FON)</cp:lastModifiedBy>
  <cp:revision>1</cp:revision>
  <dcterms:created xsi:type="dcterms:W3CDTF">2019-05-15T08:48:00Z</dcterms:created>
  <dcterms:modified xsi:type="dcterms:W3CDTF">2019-05-15T08:56:00Z</dcterms:modified>
</cp:coreProperties>
</file>